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430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sz w:val="44"/>
          <w:szCs w:val="44"/>
          <w:shd w:val="clear" w:fill="FFFFFF"/>
        </w:rPr>
      </w:pPr>
      <w:r>
        <w:rPr>
          <w:rFonts w:hint="eastAsia" w:ascii="方正小标宋简体" w:hAnsi="方正小标宋简体" w:eastAsia="方正小标宋简体" w:cs="方正小标宋简体"/>
          <w:b w:val="0"/>
          <w:bCs w:val="0"/>
          <w:sz w:val="44"/>
          <w:szCs w:val="44"/>
          <w:shd w:val="clear" w:fill="FFFFFF"/>
        </w:rPr>
        <w:t>石家庄市藁城区</w:t>
      </w:r>
      <w:r>
        <w:rPr>
          <w:rFonts w:hint="eastAsia" w:ascii="方正小标宋简体" w:hAnsi="方正小标宋简体" w:eastAsia="方正小标宋简体" w:cs="方正小标宋简体"/>
          <w:b w:val="0"/>
          <w:bCs w:val="0"/>
          <w:sz w:val="44"/>
          <w:szCs w:val="44"/>
          <w:shd w:val="clear" w:fill="FFFFFF"/>
          <w:lang w:val="en-US" w:eastAsia="zh-CN"/>
        </w:rPr>
        <w:t>住宅小区</w:t>
      </w:r>
    </w:p>
    <w:p w14:paraId="3F374E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val="0"/>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shd w:val="clear" w:fill="FFFFFF"/>
          <w:lang w:eastAsia="zh-CN"/>
        </w:rPr>
        <w:t>非经营性公共</w:t>
      </w:r>
      <w:r>
        <w:rPr>
          <w:rFonts w:hint="eastAsia" w:ascii="方正小标宋简体" w:hAnsi="方正小标宋简体" w:eastAsia="方正小标宋简体" w:cs="方正小标宋简体"/>
          <w:b w:val="0"/>
          <w:bCs w:val="0"/>
          <w:sz w:val="44"/>
          <w:szCs w:val="44"/>
          <w:shd w:val="clear" w:fill="FFFFFF"/>
        </w:rPr>
        <w:t>设施建设管理移交实施意见</w:t>
      </w:r>
      <w:r>
        <w:rPr>
          <w:rFonts w:hint="eastAsia" w:ascii="方正小标宋简体" w:hAnsi="方正小标宋简体" w:eastAsia="方正小标宋简体" w:cs="方正小标宋简体"/>
          <w:b w:val="0"/>
          <w:bCs w:val="0"/>
          <w:sz w:val="44"/>
          <w:szCs w:val="44"/>
          <w:shd w:val="clear" w:fill="FFFFFF"/>
          <w:lang w:eastAsia="zh-CN"/>
        </w:rPr>
        <w:t>（</w:t>
      </w:r>
      <w:r>
        <w:rPr>
          <w:rFonts w:hint="eastAsia" w:ascii="方正小标宋简体" w:hAnsi="方正小标宋简体" w:eastAsia="方正小标宋简体" w:cs="方正小标宋简体"/>
          <w:b w:val="0"/>
          <w:bCs w:val="0"/>
          <w:sz w:val="44"/>
          <w:szCs w:val="44"/>
          <w:shd w:val="clear" w:fill="FFFFFF"/>
          <w:lang w:val="en-US" w:eastAsia="zh-CN"/>
        </w:rPr>
        <w:t>征求意见稿</w:t>
      </w:r>
      <w:r>
        <w:rPr>
          <w:rFonts w:hint="eastAsia" w:ascii="方正小标宋简体" w:hAnsi="方正小标宋简体" w:eastAsia="方正小标宋简体" w:cs="方正小标宋简体"/>
          <w:b w:val="0"/>
          <w:bCs w:val="0"/>
          <w:sz w:val="44"/>
          <w:szCs w:val="44"/>
          <w:shd w:val="clear" w:fill="FFFFFF"/>
          <w:lang w:eastAsia="zh-CN"/>
        </w:rPr>
        <w:t>）</w:t>
      </w:r>
    </w:p>
    <w:p w14:paraId="32D2AA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val="0"/>
        <w:spacing w:before="0" w:beforeAutospacing="0" w:after="0" w:afterAutospacing="0" w:line="560" w:lineRule="exact"/>
        <w:ind w:left="0" w:right="0" w:firstLine="640"/>
        <w:jc w:val="left"/>
        <w:textAlignment w:val="auto"/>
        <w:rPr>
          <w:rFonts w:hint="eastAsia" w:ascii="仿宋_GB2312" w:hAnsi="仿宋_GB2312" w:eastAsia="仿宋_GB2312" w:cs="仿宋_GB2312"/>
          <w:sz w:val="32"/>
          <w:szCs w:val="32"/>
          <w:shd w:val="clear" w:fill="FFFFFF"/>
        </w:rPr>
      </w:pPr>
    </w:p>
    <w:p w14:paraId="5358E7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right="0" w:firstLine="641"/>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为加强</w:t>
      </w:r>
      <w:r>
        <w:rPr>
          <w:rFonts w:hint="eastAsia" w:ascii="仿宋_GB2312" w:hAnsi="仿宋_GB2312" w:eastAsia="仿宋_GB2312" w:cs="仿宋_GB2312"/>
          <w:sz w:val="32"/>
          <w:szCs w:val="32"/>
          <w:shd w:val="clear" w:fill="FFFFFF"/>
          <w:lang w:eastAsia="zh-CN"/>
        </w:rPr>
        <w:t>城镇</w:t>
      </w:r>
      <w:r>
        <w:rPr>
          <w:rFonts w:hint="eastAsia" w:ascii="仿宋_GB2312" w:hAnsi="仿宋_GB2312" w:eastAsia="仿宋_GB2312" w:cs="仿宋_GB2312"/>
          <w:sz w:val="32"/>
          <w:szCs w:val="32"/>
          <w:shd w:val="clear" w:fill="FFFFFF"/>
          <w:lang w:val="en-US" w:eastAsia="zh-CN"/>
        </w:rPr>
        <w:t>住宅小区</w:t>
      </w:r>
      <w:r>
        <w:rPr>
          <w:rFonts w:hint="eastAsia" w:ascii="仿宋_GB2312" w:hAnsi="仿宋_GB2312" w:eastAsia="仿宋_GB2312" w:cs="仿宋_GB2312"/>
          <w:sz w:val="32"/>
          <w:szCs w:val="32"/>
          <w:shd w:val="clear" w:fill="FFFFFF"/>
          <w:lang w:eastAsia="zh-CN"/>
        </w:rPr>
        <w:t>非经营性公共</w:t>
      </w:r>
      <w:r>
        <w:rPr>
          <w:rFonts w:hint="eastAsia" w:ascii="仿宋_GB2312" w:hAnsi="仿宋_GB2312" w:eastAsia="仿宋_GB2312" w:cs="仿宋_GB2312"/>
          <w:sz w:val="32"/>
          <w:szCs w:val="32"/>
          <w:shd w:val="clear" w:fill="FFFFFF"/>
        </w:rPr>
        <w:t>设施建设管理</w:t>
      </w:r>
      <w:r>
        <w:rPr>
          <w:rFonts w:hint="eastAsia" w:ascii="仿宋_GB2312" w:hAnsi="仿宋_GB2312" w:eastAsia="仿宋_GB2312" w:cs="仿宋_GB2312"/>
          <w:sz w:val="32"/>
          <w:szCs w:val="32"/>
          <w:shd w:val="clear" w:fill="FFFFFF"/>
          <w:lang w:eastAsia="zh-CN"/>
        </w:rPr>
        <w:t>移交</w:t>
      </w:r>
      <w:r>
        <w:rPr>
          <w:rFonts w:hint="eastAsia" w:ascii="仿宋_GB2312" w:hAnsi="仿宋_GB2312" w:eastAsia="仿宋_GB2312" w:cs="仿宋_GB2312"/>
          <w:sz w:val="32"/>
          <w:szCs w:val="32"/>
          <w:shd w:val="clear" w:fill="FFFFFF"/>
        </w:rPr>
        <w:t>工作，明确相关责任，规范</w:t>
      </w:r>
      <w:r>
        <w:rPr>
          <w:rFonts w:hint="eastAsia" w:ascii="仿宋_GB2312" w:hAnsi="仿宋_GB2312" w:eastAsia="仿宋_GB2312" w:cs="仿宋_GB2312"/>
          <w:sz w:val="32"/>
          <w:szCs w:val="32"/>
          <w:shd w:val="clear" w:fill="FFFFFF"/>
          <w:lang w:eastAsia="zh-CN"/>
        </w:rPr>
        <w:t>建设、</w:t>
      </w:r>
      <w:r>
        <w:rPr>
          <w:rFonts w:hint="eastAsia" w:ascii="仿宋_GB2312" w:hAnsi="仿宋_GB2312" w:eastAsia="仿宋_GB2312" w:cs="仿宋_GB2312"/>
          <w:sz w:val="32"/>
          <w:szCs w:val="32"/>
          <w:shd w:val="clear" w:fill="FFFFFF"/>
        </w:rPr>
        <w:t>验收、移交</w:t>
      </w:r>
      <w:r>
        <w:rPr>
          <w:rFonts w:hint="eastAsia" w:ascii="仿宋_GB2312" w:hAnsi="仿宋_GB2312" w:eastAsia="仿宋_GB2312" w:cs="仿宋_GB2312"/>
          <w:sz w:val="32"/>
          <w:szCs w:val="32"/>
          <w:shd w:val="clear" w:fill="FFFFFF"/>
          <w:lang w:eastAsia="zh-CN"/>
        </w:rPr>
        <w:t>、管理</w:t>
      </w:r>
      <w:r>
        <w:rPr>
          <w:rFonts w:hint="eastAsia" w:ascii="仿宋_GB2312" w:hAnsi="仿宋_GB2312" w:eastAsia="仿宋_GB2312" w:cs="仿宋_GB2312"/>
          <w:sz w:val="32"/>
          <w:szCs w:val="32"/>
          <w:shd w:val="clear" w:fill="FFFFFF"/>
        </w:rPr>
        <w:t>行为，</w:t>
      </w:r>
      <w:r>
        <w:rPr>
          <w:rFonts w:hint="eastAsia" w:ascii="仿宋_GB2312" w:hAnsi="仿宋_GB2312" w:eastAsia="仿宋_GB2312" w:cs="仿宋_GB2312"/>
          <w:sz w:val="32"/>
          <w:szCs w:val="32"/>
        </w:rPr>
        <w:t>确保与</w:t>
      </w:r>
      <w:r>
        <w:rPr>
          <w:rFonts w:hint="eastAsia" w:ascii="仿宋_GB2312" w:hAnsi="仿宋_GB2312" w:eastAsia="仿宋_GB2312" w:cs="仿宋_GB2312"/>
          <w:sz w:val="32"/>
          <w:szCs w:val="32"/>
          <w:lang w:val="en-US" w:eastAsia="zh-CN"/>
        </w:rPr>
        <w:t>主体工程</w:t>
      </w:r>
      <w:r>
        <w:rPr>
          <w:rFonts w:hint="eastAsia" w:ascii="仿宋_GB2312" w:hAnsi="仿宋_GB2312" w:eastAsia="仿宋_GB2312" w:cs="仿宋_GB2312"/>
          <w:sz w:val="32"/>
          <w:szCs w:val="32"/>
        </w:rPr>
        <w:t>同步规划、同步建设、同步验收、同步交付使用，</w:t>
      </w:r>
      <w:r>
        <w:rPr>
          <w:rFonts w:hint="eastAsia" w:ascii="仿宋_GB2312" w:hAnsi="仿宋_GB2312" w:eastAsia="仿宋_GB2312" w:cs="仿宋_GB2312"/>
          <w:sz w:val="32"/>
          <w:szCs w:val="32"/>
          <w:shd w:val="clear" w:fill="FFFFFF"/>
        </w:rPr>
        <w:t>保障居住服务品质，依据《</w:t>
      </w:r>
      <w:r>
        <w:rPr>
          <w:rFonts w:hint="eastAsia" w:ascii="仿宋_GB2312" w:hAnsi="仿宋_GB2312" w:eastAsia="仿宋_GB2312" w:cs="仿宋_GB2312"/>
          <w:sz w:val="32"/>
          <w:szCs w:val="32"/>
          <w:shd w:val="clear" w:fill="FFFFFF"/>
          <w:lang w:val="en-US" w:eastAsia="zh-CN"/>
        </w:rPr>
        <w:t>河北省人民政府办公厅关于加强城市住宅小区非经营性公共设施规划建设管理工作的意见》（冀政办字〔2021〕96号</w:t>
      </w:r>
      <w:r>
        <w:rPr>
          <w:rFonts w:hint="eastAsia" w:ascii="仿宋_GB2312" w:hAnsi="仿宋_GB2312" w:eastAsia="仿宋_GB2312" w:cs="仿宋_GB2312"/>
          <w:sz w:val="32"/>
          <w:szCs w:val="32"/>
          <w:shd w:val="clear" w:fill="FFFFFF"/>
        </w:rPr>
        <w:t>）</w:t>
      </w:r>
      <w:r>
        <w:rPr>
          <w:rFonts w:hint="eastAsia" w:ascii="仿宋_GB2312" w:hAnsi="仿宋_GB2312" w:eastAsia="仿宋_GB2312" w:cs="仿宋_GB2312"/>
          <w:sz w:val="32"/>
          <w:szCs w:val="32"/>
          <w:shd w:val="clear" w:fill="FFFFFF"/>
          <w:lang w:eastAsia="zh-CN"/>
        </w:rPr>
        <w:t>、石家庄市住房和城乡建设局等十部门印发《关于加强基层社区非经营性公共</w:t>
      </w:r>
      <w:r>
        <w:rPr>
          <w:rFonts w:hint="eastAsia" w:ascii="仿宋_GB2312" w:hAnsi="仿宋_GB2312" w:eastAsia="仿宋_GB2312" w:cs="仿宋_GB2312"/>
          <w:sz w:val="32"/>
          <w:szCs w:val="32"/>
          <w:shd w:val="clear" w:fill="FFFFFF"/>
        </w:rPr>
        <w:t>设施</w:t>
      </w:r>
      <w:r>
        <w:rPr>
          <w:rFonts w:hint="eastAsia" w:ascii="仿宋_GB2312" w:hAnsi="仿宋_GB2312" w:eastAsia="仿宋_GB2312" w:cs="仿宋_GB2312"/>
          <w:sz w:val="32"/>
          <w:szCs w:val="32"/>
          <w:shd w:val="clear" w:fill="FFFFFF"/>
          <w:lang w:eastAsia="zh-CN"/>
        </w:rPr>
        <w:t>建设管理工作的意见》的通知（石住建办</w:t>
      </w:r>
      <w:r>
        <w:rPr>
          <w:rFonts w:hint="eastAsia" w:ascii="仿宋_GB2312" w:hAnsi="仿宋_GB2312" w:eastAsia="仿宋_GB2312" w:cs="仿宋_GB2312"/>
          <w:sz w:val="32"/>
          <w:szCs w:val="32"/>
          <w:shd w:val="clear" w:fill="FFFFFF"/>
        </w:rPr>
        <w:t>〔2019〕</w:t>
      </w:r>
      <w:r>
        <w:rPr>
          <w:rFonts w:hint="eastAsia" w:ascii="仿宋_GB2312" w:hAnsi="仿宋_GB2312" w:eastAsia="仿宋_GB2312" w:cs="仿宋_GB2312"/>
          <w:sz w:val="32"/>
          <w:szCs w:val="32"/>
          <w:shd w:val="clear" w:fill="FFFFFF"/>
          <w:lang w:val="en-US" w:eastAsia="zh-CN"/>
        </w:rPr>
        <w:t>148</w:t>
      </w:r>
      <w:r>
        <w:rPr>
          <w:rFonts w:hint="eastAsia" w:ascii="仿宋_GB2312" w:hAnsi="仿宋_GB2312" w:eastAsia="仿宋_GB2312" w:cs="仿宋_GB2312"/>
          <w:sz w:val="32"/>
          <w:szCs w:val="32"/>
          <w:shd w:val="clear" w:fill="FFFFFF"/>
        </w:rPr>
        <w:t>号</w:t>
      </w:r>
      <w:r>
        <w:rPr>
          <w:rFonts w:hint="eastAsia" w:ascii="仿宋_GB2312" w:hAnsi="仿宋_GB2312" w:eastAsia="仿宋_GB2312" w:cs="仿宋_GB2312"/>
          <w:sz w:val="32"/>
          <w:szCs w:val="32"/>
          <w:shd w:val="clear" w:fill="FFFFFF"/>
          <w:lang w:eastAsia="zh-CN"/>
        </w:rPr>
        <w:t>）</w:t>
      </w:r>
      <w:r>
        <w:rPr>
          <w:rFonts w:hint="eastAsia" w:ascii="仿宋_GB2312" w:hAnsi="仿宋_GB2312" w:eastAsia="仿宋_GB2312" w:cs="仿宋_GB2312"/>
          <w:sz w:val="32"/>
          <w:szCs w:val="32"/>
          <w:shd w:val="clear" w:fill="FFFFFF"/>
        </w:rPr>
        <w:t>等</w:t>
      </w:r>
      <w:r>
        <w:rPr>
          <w:rFonts w:hint="eastAsia" w:ascii="仿宋_GB2312" w:hAnsi="仿宋_GB2312" w:eastAsia="仿宋_GB2312" w:cs="仿宋_GB2312"/>
          <w:sz w:val="32"/>
          <w:szCs w:val="32"/>
          <w:shd w:val="clear" w:fill="FFFFFF"/>
          <w:lang w:eastAsia="zh-CN"/>
        </w:rPr>
        <w:t>相关</w:t>
      </w:r>
      <w:r>
        <w:rPr>
          <w:rFonts w:hint="eastAsia" w:ascii="仿宋_GB2312" w:hAnsi="仿宋_GB2312" w:eastAsia="仿宋_GB2312" w:cs="仿宋_GB2312"/>
          <w:sz w:val="32"/>
          <w:szCs w:val="32"/>
          <w:shd w:val="clear" w:fill="FFFFFF"/>
        </w:rPr>
        <w:t>规定，结合我区实际，制定本意见。</w:t>
      </w:r>
    </w:p>
    <w:p w14:paraId="356FE279">
      <w:pPr>
        <w:keepNext w:val="0"/>
        <w:keepLines w:val="0"/>
        <w:pageBreakBefore w:val="0"/>
        <w:kinsoku/>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CESI黑体-GB2312" w:hAnsi="CESI黑体-GB2312" w:eastAsia="CESI黑体-GB2312" w:cs="CESI黑体-GB2312"/>
          <w:sz w:val="32"/>
          <w:szCs w:val="32"/>
        </w:rPr>
        <w:t>一、总体要求</w:t>
      </w:r>
      <w:r>
        <w:rPr>
          <w:rFonts w:hint="eastAsia" w:ascii="仿宋_GB2312" w:hAnsi="仿宋_GB2312" w:eastAsia="仿宋_GB2312" w:cs="仿宋_GB2312"/>
          <w:sz w:val="32"/>
          <w:szCs w:val="32"/>
        </w:rPr>
        <w:t xml:space="preserve"> </w:t>
      </w:r>
    </w:p>
    <w:p w14:paraId="1AF9B0D4">
      <w:pPr>
        <w:keepNext w:val="0"/>
        <w:keepLines w:val="0"/>
        <w:pageBreakBefore w:val="0"/>
        <w:kinsoku/>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习近平新时代中国特色社会主义思想为指导，全面贯彻落实党的二十大精神，牢固树立以人民为中心的发展思想，按照高质量发展要求，以问题为导向，以规划为引领，统筹规划、科学配置城市基层非经营性公共设施，健全完善监督管理机制，加快补齐社区公共服务短板，为群众提供宜居、舒适、安全、便捷的居住环境，增强人民群众的幸福感、获得感。</w:t>
      </w:r>
    </w:p>
    <w:p w14:paraId="61AEE916">
      <w:pPr>
        <w:keepNext w:val="0"/>
        <w:keepLines w:val="0"/>
        <w:pageBreakBefore w:val="0"/>
        <w:kinsoku/>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住宅小区</w:t>
      </w:r>
      <w:r>
        <w:rPr>
          <w:rFonts w:hint="eastAsia" w:ascii="仿宋_GB2312" w:hAnsi="仿宋_GB2312" w:eastAsia="仿宋_GB2312" w:cs="仿宋_GB2312"/>
          <w:color w:val="000000" w:themeColor="text1"/>
          <w:sz w:val="32"/>
          <w:szCs w:val="32"/>
          <w14:textFill>
            <w14:solidFill>
              <w14:schemeClr w14:val="tx1"/>
            </w14:solidFill>
          </w14:textFill>
        </w:rPr>
        <w:t>非经营性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公共设施</w:t>
      </w:r>
      <w:r>
        <w:rPr>
          <w:rFonts w:hint="eastAsia" w:ascii="仿宋_GB2312" w:hAnsi="仿宋_GB2312" w:eastAsia="仿宋_GB2312" w:cs="仿宋_GB2312"/>
          <w:color w:val="000000" w:themeColor="text1"/>
          <w:sz w:val="32"/>
          <w:szCs w:val="32"/>
          <w14:textFill>
            <w14:solidFill>
              <w14:schemeClr w14:val="tx1"/>
            </w14:solidFill>
          </w14:textFill>
        </w:rPr>
        <w:t>主要包括：</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幼儿园</w:t>
      </w:r>
      <w:r>
        <w:rPr>
          <w:rFonts w:hint="eastAsia" w:ascii="仿宋_GB2312" w:hAnsi="仿宋_GB2312" w:eastAsia="仿宋_GB2312" w:cs="仿宋_GB2312"/>
          <w:color w:val="000000" w:themeColor="text1"/>
          <w:sz w:val="32"/>
          <w:szCs w:val="32"/>
          <w:lang w:eastAsia="zh-CN"/>
          <w14:textFill>
            <w14:solidFill>
              <w14:schemeClr w14:val="tx1"/>
            </w14:solidFill>
          </w14:textFill>
        </w:rPr>
        <w:t>、社区卫生服务中心（站）、文化活动中心（站）、健身运动场（中心）、养老服务设施（养老院、托老所（社区老年人日间照料中心））、社区综合服务设施（社区服务中心、社区服务站、警务室社区居民服务用房等）、物业管理用房、</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公共厕所、垃圾收集点</w:t>
      </w:r>
      <w:r>
        <w:rPr>
          <w:rFonts w:hint="eastAsia" w:ascii="仿宋_GB2312" w:hAnsi="仿宋_GB2312" w:eastAsia="仿宋_GB2312" w:cs="仿宋_GB2312"/>
          <w:color w:val="000000" w:themeColor="text1"/>
          <w:sz w:val="32"/>
          <w:szCs w:val="32"/>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公共服务设施</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开发建设单位应当按照规划审批要求，确保非经营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性公共设施</w:t>
      </w:r>
      <w:r>
        <w:rPr>
          <w:rFonts w:hint="eastAsia" w:ascii="仿宋_GB2312" w:hAnsi="仿宋_GB2312" w:eastAsia="仿宋_GB2312" w:cs="仿宋_GB2312"/>
          <w:color w:val="000000" w:themeColor="text1"/>
          <w:sz w:val="32"/>
          <w:szCs w:val="32"/>
          <w14:textFill>
            <w14:solidFill>
              <w14:schemeClr w14:val="tx1"/>
            </w14:solidFill>
          </w14:textFill>
        </w:rPr>
        <w:t>与主体工程同步规划、同步设计、同步施工、同步交付使用。</w:t>
      </w:r>
    </w:p>
    <w:p w14:paraId="2CDA9131">
      <w:pPr>
        <w:keepNext w:val="0"/>
        <w:keepLines w:val="0"/>
        <w:pageBreakBefore w:val="0"/>
        <w:numPr>
          <w:ilvl w:val="0"/>
          <w:numId w:val="1"/>
        </w:numPr>
        <w:kinsoku/>
        <w:overflowPunct/>
        <w:topLinePunct w:val="0"/>
        <w:autoSpaceDE/>
        <w:autoSpaceDN/>
        <w:bidi w:val="0"/>
        <w:adjustRightInd/>
        <w:spacing w:line="560" w:lineRule="exact"/>
        <w:ind w:firstLine="640" w:firstLineChars="200"/>
        <w:jc w:val="left"/>
        <w:textAlignment w:val="auto"/>
        <w:rPr>
          <w:rFonts w:hint="eastAsia" w:ascii="CESI黑体-GB2312" w:hAnsi="CESI黑体-GB2312" w:eastAsia="CESI黑体-GB2312" w:cs="CESI黑体-GB2312"/>
          <w:sz w:val="32"/>
          <w:szCs w:val="32"/>
          <w:lang w:val="en-US" w:eastAsia="zh-CN"/>
        </w:rPr>
      </w:pPr>
      <w:r>
        <w:rPr>
          <w:rFonts w:hint="eastAsia" w:ascii="CESI黑体-GB2312" w:hAnsi="CESI黑体-GB2312" w:eastAsia="CESI黑体-GB2312" w:cs="CESI黑体-GB2312"/>
          <w:sz w:val="32"/>
          <w:szCs w:val="32"/>
        </w:rPr>
        <w:t>规划</w:t>
      </w:r>
      <w:r>
        <w:rPr>
          <w:rFonts w:hint="eastAsia" w:ascii="CESI黑体-GB2312" w:hAnsi="CESI黑体-GB2312" w:eastAsia="CESI黑体-GB2312" w:cs="CESI黑体-GB2312"/>
          <w:sz w:val="32"/>
          <w:szCs w:val="32"/>
          <w:lang w:val="en-US" w:eastAsia="zh-CN"/>
        </w:rPr>
        <w:t>管控</w:t>
      </w:r>
      <w:r>
        <w:rPr>
          <w:rFonts w:hint="eastAsia" w:ascii="CESI黑体-GB2312" w:hAnsi="CESI黑体-GB2312" w:eastAsia="CESI黑体-GB2312" w:cs="CESI黑体-GB2312"/>
          <w:sz w:val="32"/>
          <w:szCs w:val="32"/>
        </w:rPr>
        <w:t>与建设</w:t>
      </w:r>
      <w:r>
        <w:rPr>
          <w:rFonts w:hint="eastAsia" w:ascii="CESI黑体-GB2312" w:hAnsi="CESI黑体-GB2312" w:eastAsia="CESI黑体-GB2312" w:cs="CESI黑体-GB2312"/>
          <w:sz w:val="32"/>
          <w:szCs w:val="32"/>
          <w:lang w:val="en-US" w:eastAsia="zh-CN"/>
        </w:rPr>
        <w:t>实施监管</w:t>
      </w:r>
    </w:p>
    <w:p w14:paraId="0DA9C4EB">
      <w:pPr>
        <w:keepNext w:val="0"/>
        <w:keepLines w:val="0"/>
        <w:pageBreakBefore w:val="0"/>
        <w:numPr>
          <w:ilvl w:val="0"/>
          <w:numId w:val="0"/>
        </w:numPr>
        <w:kinsoku/>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w:t>
      </w:r>
      <w:r>
        <w:rPr>
          <w:rFonts w:hint="eastAsia" w:ascii="楷体_GB2312" w:hAnsi="楷体_GB2312" w:eastAsia="楷体_GB2312" w:cs="楷体_GB2312"/>
          <w:color w:val="000000" w:themeColor="text1"/>
          <w:sz w:val="32"/>
          <w:szCs w:val="32"/>
          <w14:textFill>
            <w14:solidFill>
              <w14:schemeClr w14:val="tx1"/>
            </w14:solidFill>
          </w14:textFill>
        </w:rPr>
        <w:t>严格配建标准。</w:t>
      </w:r>
      <w:r>
        <w:rPr>
          <w:rFonts w:hint="eastAsia" w:ascii="仿宋_GB2312" w:hAnsi="仿宋_GB2312" w:eastAsia="仿宋_GB2312" w:cs="仿宋_GB2312"/>
          <w:color w:val="000000" w:themeColor="text1"/>
          <w:sz w:val="32"/>
          <w:szCs w:val="32"/>
          <w14:textFill>
            <w14:solidFill>
              <w14:schemeClr w14:val="tx1"/>
            </w14:solidFill>
          </w14:textFill>
        </w:rPr>
        <w:t>要严格执行《</w:t>
      </w:r>
      <w:bookmarkStart w:id="0" w:name="OLE_LINK2"/>
      <w:r>
        <w:rPr>
          <w:rFonts w:hint="eastAsia" w:ascii="仿宋_GB2312" w:hAnsi="仿宋_GB2312" w:eastAsia="仿宋_GB2312" w:cs="仿宋_GB2312"/>
          <w:color w:val="000000" w:themeColor="text1"/>
          <w:sz w:val="32"/>
          <w:szCs w:val="32"/>
          <w14:textFill>
            <w14:solidFill>
              <w14:schemeClr w14:val="tx1"/>
            </w14:solidFill>
          </w14:textFill>
        </w:rPr>
        <w:t>城市居住区规划设计标准</w:t>
      </w:r>
      <w:bookmarkEnd w:id="0"/>
      <w:r>
        <w:rPr>
          <w:rFonts w:hint="eastAsia" w:ascii="仿宋_GB2312" w:hAnsi="仿宋_GB2312" w:eastAsia="仿宋_GB2312" w:cs="仿宋_GB2312"/>
          <w:color w:val="000000" w:themeColor="text1"/>
          <w:sz w:val="32"/>
          <w:szCs w:val="32"/>
          <w14:textFill>
            <w14:solidFill>
              <w14:schemeClr w14:val="tx1"/>
            </w14:solidFill>
          </w14:textFill>
        </w:rPr>
        <w:t>》《河北省城乡公共服务设施配置和建设标准》</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《石家庄市教育设施规划建设管理条例》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等规划标准</w:t>
      </w:r>
      <w:r>
        <w:rPr>
          <w:rFonts w:hint="eastAsia" w:ascii="仿宋_GB2312" w:hAnsi="仿宋_GB2312" w:eastAsia="仿宋_GB2312" w:cs="仿宋_GB2312"/>
          <w:color w:val="000000" w:themeColor="text1"/>
          <w:sz w:val="32"/>
          <w:szCs w:val="32"/>
          <w14:textFill>
            <w14:solidFill>
              <w14:schemeClr w14:val="tx1"/>
            </w14:solidFill>
          </w14:textFill>
        </w:rPr>
        <w:t>，做到配建设施内容和标准相统一。自然资源和规划部门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国土空间总体规划中，要统筹不同层面的各类公共服务设施功能配置和布局，合理预留建设空间。编制控制性详细规划，要落实上位规划要求，明确非经营性公共设施的位置、规模和规划控制要求，并细化到具体地块。在规划方案审查时，</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自然资源和规划部门应就非经营性公共设施规划内容书面征求相关行业主管部门意见或组织相关行业主管部门进行联合审查。相关行业主管部门</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应对征求意见内容进行认真研究，并提出明确意见。</w:t>
      </w:r>
    </w:p>
    <w:p w14:paraId="6018A406">
      <w:pPr>
        <w:keepNext w:val="0"/>
        <w:keepLines w:val="0"/>
        <w:pageBreakBefore w:val="0"/>
        <w:kinsoku/>
        <w:overflowPunct/>
        <w:topLinePunct w:val="0"/>
        <w:autoSpaceDE/>
        <w:autoSpaceDN/>
        <w:bidi w:val="0"/>
        <w:adjustRightInd/>
        <w:spacing w:line="560" w:lineRule="exact"/>
        <w:ind w:firstLine="640" w:firstLineChars="200"/>
        <w:jc w:val="left"/>
        <w:textAlignment w:val="auto"/>
        <w:rPr>
          <w:rFonts w:hint="default"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eastAsia="zh-CN"/>
          <w14:textFill>
            <w14:solidFill>
              <w14:schemeClr w14:val="tx1"/>
            </w14:solidFill>
          </w14:textFill>
        </w:rPr>
        <w:t>加强土地出让管理。</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自然资源和规划部门在发布</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住宅小区项目土地使用权出让公告时</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，要将规划条件和配套非经营性公共设施的</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建设、移交等内容，作为土地使用条件予以公布，纳入招拍挂交易文件，明确约定出让用地中需配套建设的非经营性公共设施内容及要求，有配建幼儿园的，还应在居民住宅小区土地出让合同或者划拨决定书中，明确配建幼儿园的规划条件，产权国有、建成后移交所在地人民政府等内容。</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并在《建设工程规划许可证》附件中予以载明。</w:t>
      </w:r>
    </w:p>
    <w:p w14:paraId="52FBA0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土地出让后</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办理建筑工程施工许</w:t>
      </w:r>
      <w:r>
        <w:rPr>
          <w:rFonts w:hint="eastAsia" w:ascii="仿宋_GB2312" w:hAnsi="仿宋_GB2312" w:eastAsia="仿宋_GB2312" w:cs="仿宋_GB2312"/>
          <w:color w:val="000000" w:themeColor="text1"/>
          <w:sz w:val="32"/>
          <w:szCs w:val="32"/>
          <w:highlight w:val="none"/>
          <w14:textFill>
            <w14:solidFill>
              <w14:schemeClr w14:val="tx1"/>
            </w14:solidFill>
          </w14:textFill>
        </w:rPr>
        <w:t>可之前，</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行政审批部门通知非经营性公共设施</w:t>
      </w:r>
      <w:r>
        <w:rPr>
          <w:rFonts w:hint="eastAsia" w:ascii="仿宋_GB2312" w:hAnsi="仿宋_GB2312" w:eastAsia="仿宋_GB2312" w:cs="仿宋_GB2312"/>
          <w:color w:val="000000" w:themeColor="text1"/>
          <w:sz w:val="32"/>
          <w:szCs w:val="32"/>
          <w:highlight w:val="none"/>
          <w14:textFill>
            <w14:solidFill>
              <w14:schemeClr w14:val="tx1"/>
            </w14:solidFill>
          </w14:textFill>
        </w:rPr>
        <w:t>行业</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管理</w:t>
      </w:r>
      <w:r>
        <w:rPr>
          <w:rFonts w:hint="eastAsia" w:ascii="仿宋_GB2312" w:hAnsi="仿宋_GB2312" w:eastAsia="仿宋_GB2312" w:cs="仿宋_GB2312"/>
          <w:color w:val="000000" w:themeColor="text1"/>
          <w:sz w:val="32"/>
          <w:szCs w:val="32"/>
          <w:highlight w:val="none"/>
          <w14:textFill>
            <w14:solidFill>
              <w14:schemeClr w14:val="tx1"/>
            </w14:solidFill>
          </w14:textFill>
        </w:rPr>
        <w:t>部门按照职责分工与土地使用权</w:t>
      </w:r>
      <w:r>
        <w:rPr>
          <w:rFonts w:hint="eastAsia" w:ascii="仿宋_GB2312" w:hAnsi="仿宋_GB2312" w:eastAsia="仿宋_GB2312" w:cs="仿宋_GB2312"/>
          <w:color w:val="000000" w:themeColor="text1"/>
          <w:sz w:val="32"/>
          <w:szCs w:val="32"/>
          <w14:textFill>
            <w14:solidFill>
              <w14:schemeClr w14:val="tx1"/>
            </w14:solidFill>
          </w14:textFill>
        </w:rPr>
        <w:t>竞得人签订配套非经营性公共设施建设和使用协议，明确建设标准、开（竣）工时间、产权归属、交付使用条件、交付方式和违约责任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并严格监督落实。</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相关行业主管部门在合同签订后15个工作日内报住建部门备案</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建设过程中，建设项目依法转让的，配套非经营性公共设施建设义务一并转移，并重新签订协议。</w:t>
      </w:r>
    </w:p>
    <w:p w14:paraId="4171DDBE">
      <w:pPr>
        <w:keepNext w:val="0"/>
        <w:keepLines w:val="0"/>
        <w:pageBreakBefore w:val="0"/>
        <w:numPr>
          <w:ilvl w:val="0"/>
          <w:numId w:val="2"/>
        </w:numPr>
        <w:kinsoku/>
        <w:wordWrap/>
        <w:overflowPunct/>
        <w:topLinePunct w:val="0"/>
        <w:autoSpaceDE/>
        <w:autoSpaceDN/>
        <w:bidi w:val="0"/>
        <w:adjustRightInd/>
        <w:spacing w:line="560" w:lineRule="exact"/>
        <w:ind w:left="-10" w:leftChars="0" w:firstLine="640" w:firstLineChars="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强化建设过程监管。</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配建的非经营性公共设施项目要与主体工程同步办理工程规划许可手续和施工许可手续，并将配建非经营性公共设施项目是否符合经批准的修建性详细规划或总平面设计方案，作为工程规划许可的重要条件，凡与规划要求不符的，一律不得办理配套项目及主体工程的工程规划许可。建设单位必须严格按规划和协议约定建设社区非经营性公共设施，不得擅自修改规划或不按约定的建设时序进行建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确需变更的，必须按照法定程序履行审批手续。</w:t>
      </w:r>
    </w:p>
    <w:p w14:paraId="59B2F6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自然资源和规划、住建、综合执法等部门，要按照职责分工，</w:t>
      </w:r>
      <w:r>
        <w:rPr>
          <w:rFonts w:hint="eastAsia" w:ascii="仿宋_GB2312" w:hAnsi="仿宋_GB2312" w:eastAsia="仿宋_GB2312" w:cs="仿宋_GB2312"/>
          <w:color w:val="000000" w:themeColor="text1"/>
          <w:sz w:val="32"/>
          <w:szCs w:val="32"/>
          <w:highlight w:val="none"/>
          <w14:textFill>
            <w14:solidFill>
              <w14:schemeClr w14:val="tx1"/>
            </w14:solidFill>
          </w14:textFill>
        </w:rPr>
        <w:t>将</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住宅小区</w:t>
      </w:r>
      <w:r>
        <w:rPr>
          <w:rFonts w:hint="eastAsia" w:ascii="仿宋_GB2312" w:hAnsi="仿宋_GB2312" w:eastAsia="仿宋_GB2312" w:cs="仿宋_GB2312"/>
          <w:color w:val="000000" w:themeColor="text1"/>
          <w:sz w:val="32"/>
          <w:szCs w:val="32"/>
          <w14:textFill>
            <w14:solidFill>
              <w14:schemeClr w14:val="tx1"/>
            </w14:solidFill>
          </w14:textFill>
        </w:rPr>
        <w:t>非经营性公共设施建设情况作为监管重点，对建设单位违反国有土地使用权出让合同、擅自改变配套公共设施项目内容、规模和位置，工程质量存在问题以及违反相关法律、法规和工程建设标准的，依法依规严肃查处，并责令建设单位及时整改到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住建部门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要</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加强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监督房地产开发企业在销售场所公示非经营性公共设施的设计方案。</w:t>
      </w:r>
    </w:p>
    <w:p w14:paraId="3F994F23">
      <w:pPr>
        <w:keepNext w:val="0"/>
        <w:keepLines w:val="0"/>
        <w:pageBreakBefore w:val="0"/>
        <w:kinsoku/>
        <w:overflowPunct/>
        <w:topLinePunct w:val="0"/>
        <w:autoSpaceDE/>
        <w:autoSpaceDN/>
        <w:bidi w:val="0"/>
        <w:adjustRightInd/>
        <w:spacing w:line="560" w:lineRule="exact"/>
        <w:ind w:firstLine="640" w:firstLineChars="200"/>
        <w:jc w:val="left"/>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三、验收</w:t>
      </w:r>
    </w:p>
    <w:p w14:paraId="12CE7BCE">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四</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严格项目竣工验收。</w:t>
      </w:r>
      <w:r>
        <w:rPr>
          <w:rFonts w:hint="eastAsia" w:ascii="仿宋_GB2312" w:hAnsi="仿宋_GB2312" w:eastAsia="仿宋_GB2312" w:cs="仿宋_GB2312"/>
          <w:color w:val="000000" w:themeColor="text1"/>
          <w:sz w:val="32"/>
          <w:szCs w:val="32"/>
          <w:highlight w:val="none"/>
          <w14:textFill>
            <w14:solidFill>
              <w14:schemeClr w14:val="tx1"/>
            </w14:solidFill>
          </w14:textFill>
        </w:rPr>
        <w:t>自然资源和规划部门进行规划</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验收</w:t>
      </w:r>
      <w:r>
        <w:rPr>
          <w:rFonts w:hint="eastAsia" w:ascii="仿宋_GB2312" w:hAnsi="仿宋_GB2312" w:eastAsia="仿宋_GB2312" w:cs="仿宋_GB2312"/>
          <w:color w:val="000000" w:themeColor="text1"/>
          <w:sz w:val="32"/>
          <w:szCs w:val="32"/>
          <w:highlight w:val="none"/>
          <w14:textFill>
            <w14:solidFill>
              <w14:schemeClr w14:val="tx1"/>
            </w14:solidFill>
          </w14:textFill>
        </w:rPr>
        <w:t>时，应当</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按照规划批准的设计文件，</w:t>
      </w:r>
      <w:r>
        <w:rPr>
          <w:rFonts w:hint="eastAsia" w:ascii="仿宋_GB2312" w:hAnsi="仿宋_GB2312" w:eastAsia="仿宋_GB2312" w:cs="仿宋_GB2312"/>
          <w:color w:val="000000" w:themeColor="text1"/>
          <w:sz w:val="32"/>
          <w:szCs w:val="32"/>
          <w:highlight w:val="none"/>
          <w14:textFill>
            <w14:solidFill>
              <w14:schemeClr w14:val="tx1"/>
            </w14:solidFill>
          </w14:textFill>
        </w:rPr>
        <w:t>对非经营性</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公共设施</w:t>
      </w:r>
      <w:r>
        <w:rPr>
          <w:rFonts w:hint="eastAsia" w:ascii="仿宋_GB2312" w:hAnsi="仿宋_GB2312" w:eastAsia="仿宋_GB2312" w:cs="仿宋_GB2312"/>
          <w:color w:val="000000" w:themeColor="text1"/>
          <w:sz w:val="32"/>
          <w:szCs w:val="32"/>
          <w:highlight w:val="none"/>
          <w14:textFill>
            <w14:solidFill>
              <w14:schemeClr w14:val="tx1"/>
            </w14:solidFill>
          </w14:textFill>
        </w:rPr>
        <w:t>的位置、面积、功能进行实地核查，查验非经营性</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公共设施是否</w:t>
      </w:r>
      <w:r>
        <w:rPr>
          <w:rFonts w:hint="eastAsia" w:ascii="仿宋_GB2312" w:hAnsi="仿宋_GB2312" w:eastAsia="仿宋_GB2312" w:cs="仿宋_GB2312"/>
          <w:color w:val="000000" w:themeColor="text1"/>
          <w:sz w:val="32"/>
          <w:szCs w:val="32"/>
          <w:highlight w:val="none"/>
          <w14:textFill>
            <w14:solidFill>
              <w14:schemeClr w14:val="tx1"/>
            </w14:solidFill>
          </w14:textFill>
        </w:rPr>
        <w:t>按规划要求完成建设；非经营性</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公共设施</w:t>
      </w:r>
      <w:r>
        <w:rPr>
          <w:rFonts w:hint="eastAsia" w:ascii="仿宋_GB2312" w:hAnsi="仿宋_GB2312" w:eastAsia="仿宋_GB2312" w:cs="仿宋_GB2312"/>
          <w:color w:val="000000" w:themeColor="text1"/>
          <w:sz w:val="32"/>
          <w:szCs w:val="32"/>
          <w:highlight w:val="none"/>
          <w14:textFill>
            <w14:solidFill>
              <w14:schemeClr w14:val="tx1"/>
            </w14:solidFill>
          </w14:textFill>
        </w:rPr>
        <w:t>未按要求配建的，不予通过规划</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验收</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14:paraId="1F485819">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行政审批部门牵头做好住宅小区项目联合验收，验收合格的及时竣工验收备案。</w:t>
      </w:r>
    </w:p>
    <w:p w14:paraId="23F16A1E">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在对住宅小区建设项目联合验收的同时，由住建牵头，规划配合联合非经营性公共设施</w:t>
      </w:r>
      <w:r>
        <w:rPr>
          <w:rFonts w:hint="eastAsia" w:ascii="仿宋_GB2312" w:hAnsi="仿宋_GB2312" w:eastAsia="仿宋_GB2312" w:cs="仿宋_GB2312"/>
          <w:color w:val="000000" w:themeColor="text1"/>
          <w:sz w:val="32"/>
          <w:szCs w:val="32"/>
          <w:highlight w:val="none"/>
          <w14:textFill>
            <w14:solidFill>
              <w14:schemeClr w14:val="tx1"/>
            </w14:solidFill>
          </w14:textFill>
        </w:rPr>
        <w:t>行业</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管理</w:t>
      </w:r>
      <w:r>
        <w:rPr>
          <w:rFonts w:hint="eastAsia" w:ascii="仿宋_GB2312" w:hAnsi="仿宋_GB2312" w:eastAsia="仿宋_GB2312" w:cs="仿宋_GB2312"/>
          <w:color w:val="000000" w:themeColor="text1"/>
          <w:sz w:val="32"/>
          <w:szCs w:val="32"/>
          <w:highlight w:val="none"/>
          <w14:textFill>
            <w14:solidFill>
              <w14:schemeClr w14:val="tx1"/>
            </w14:solidFill>
          </w14:textFill>
        </w:rPr>
        <w:t>部门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按照配建</w:t>
      </w:r>
      <w:r>
        <w:rPr>
          <w:rFonts w:hint="eastAsia" w:ascii="仿宋_GB2312" w:hAnsi="仿宋_GB2312" w:eastAsia="仿宋_GB2312" w:cs="仿宋_GB2312"/>
          <w:color w:val="000000" w:themeColor="text1"/>
          <w:sz w:val="32"/>
          <w:szCs w:val="32"/>
          <w:highlight w:val="none"/>
          <w14:textFill>
            <w14:solidFill>
              <w14:schemeClr w14:val="tx1"/>
            </w14:solidFill>
          </w14:textFill>
        </w:rPr>
        <w:t>协议</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约定的内容、标准等相关要求</w:t>
      </w:r>
      <w:r>
        <w:rPr>
          <w:rFonts w:hint="eastAsia" w:ascii="仿宋_GB2312" w:hAnsi="仿宋_GB2312" w:eastAsia="仿宋_GB2312" w:cs="仿宋_GB2312"/>
          <w:color w:val="000000" w:themeColor="text1"/>
          <w:sz w:val="32"/>
          <w:szCs w:val="32"/>
          <w:highlight w:val="none"/>
          <w14:textFill>
            <w14:solidFill>
              <w14:schemeClr w14:val="tx1"/>
            </w14:solidFill>
          </w14:textFill>
        </w:rPr>
        <w:t>对</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公配建设施</w:t>
      </w:r>
      <w:r>
        <w:rPr>
          <w:rFonts w:hint="eastAsia" w:ascii="仿宋_GB2312" w:hAnsi="仿宋_GB2312" w:eastAsia="仿宋_GB2312" w:cs="仿宋_GB2312"/>
          <w:color w:val="000000" w:themeColor="text1"/>
          <w:sz w:val="32"/>
          <w:szCs w:val="32"/>
          <w:highlight w:val="none"/>
          <w14:textFill>
            <w14:solidFill>
              <w14:schemeClr w14:val="tx1"/>
            </w14:solidFill>
          </w14:textFill>
        </w:rPr>
        <w:t>进行</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核验</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核验符合配建协议约定的，在竣工备案后</w:t>
      </w:r>
      <w:r>
        <w:rPr>
          <w:rFonts w:hint="eastAsia" w:ascii="仿宋_GB2312" w:hAnsi="仿宋_GB2312" w:eastAsia="仿宋_GB2312" w:cs="仿宋_GB2312"/>
          <w:color w:val="000000" w:themeColor="text1"/>
          <w:sz w:val="32"/>
          <w:szCs w:val="32"/>
          <w:highlight w:val="none"/>
          <w14:textFill>
            <w14:solidFill>
              <w14:schemeClr w14:val="tx1"/>
            </w14:solidFill>
          </w14:textFill>
        </w:rPr>
        <w:t>如期</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接收使用</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核验不符合配建协议约定的，相关行业主管部门根据协议提出整改意见，督促开发单位限期整改到位，整改到位后接受使用。</w:t>
      </w:r>
      <w:r>
        <w:rPr>
          <w:rFonts w:hint="eastAsia" w:ascii="仿宋_GB2312" w:hAnsi="仿宋_GB2312" w:eastAsia="仿宋_GB2312" w:cs="仿宋_GB2312"/>
          <w:color w:val="000000" w:themeColor="text1"/>
          <w:sz w:val="32"/>
          <w:szCs w:val="32"/>
          <w:highlight w:val="none"/>
          <w14:textFill>
            <w14:solidFill>
              <w14:schemeClr w14:val="tx1"/>
            </w14:solidFill>
          </w14:textFill>
        </w:rPr>
        <w:t>对属于分期建设、且按照非经营性公共设施建设和使用协议约定</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同步竣工</w:t>
      </w:r>
      <w:r>
        <w:rPr>
          <w:rFonts w:hint="eastAsia" w:ascii="仿宋_GB2312" w:hAnsi="仿宋_GB2312" w:eastAsia="仿宋_GB2312" w:cs="仿宋_GB2312"/>
          <w:color w:val="000000" w:themeColor="text1"/>
          <w:sz w:val="32"/>
          <w:szCs w:val="32"/>
          <w:highlight w:val="none"/>
          <w14:textFill>
            <w14:solidFill>
              <w14:schemeClr w14:val="tx1"/>
            </w14:solidFill>
          </w14:textFill>
        </w:rPr>
        <w:t>的非经营性公共设施项目，可实行分期</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核验</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14:paraId="70258A24">
      <w:pPr>
        <w:keepNext w:val="0"/>
        <w:keepLines w:val="0"/>
        <w:pageBreakBefore w:val="0"/>
        <w:kinsoku/>
        <w:overflowPunct/>
        <w:topLinePunct w:val="0"/>
        <w:autoSpaceDE/>
        <w:autoSpaceDN/>
        <w:bidi w:val="0"/>
        <w:adjustRightInd/>
        <w:spacing w:line="560" w:lineRule="exact"/>
        <w:ind w:firstLine="640" w:firstLineChars="200"/>
        <w:jc w:val="left"/>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四、移交与使用</w:t>
      </w:r>
      <w:r>
        <w:rPr>
          <w:rFonts w:hint="eastAsia" w:ascii="CESI黑体-GB2312" w:hAnsi="CESI黑体-GB2312" w:eastAsia="CESI黑体-GB2312" w:cs="CESI黑体-GB2312"/>
          <w:sz w:val="32"/>
          <w:szCs w:val="32"/>
          <w:lang w:val="en-US" w:eastAsia="zh-CN"/>
        </w:rPr>
        <w:t>管理</w:t>
      </w:r>
      <w:r>
        <w:rPr>
          <w:rFonts w:hint="eastAsia" w:ascii="CESI黑体-GB2312" w:hAnsi="CESI黑体-GB2312" w:eastAsia="CESI黑体-GB2312" w:cs="CESI黑体-GB2312"/>
          <w:sz w:val="32"/>
          <w:szCs w:val="32"/>
        </w:rPr>
        <w:t xml:space="preserve"> </w:t>
      </w:r>
    </w:p>
    <w:p w14:paraId="03F23841">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（五）</w:t>
      </w:r>
      <w:r>
        <w:rPr>
          <w:rFonts w:hint="eastAsia" w:ascii="楷体_GB2312" w:hAnsi="楷体_GB2312" w:eastAsia="楷体_GB2312" w:cs="楷体_GB2312"/>
          <w:color w:val="000000" w:themeColor="text1"/>
          <w:sz w:val="32"/>
          <w:szCs w:val="32"/>
          <w:shd w:val="clear" w:fill="FFFFFF"/>
          <w:lang w:val="en-US" w:eastAsia="zh-CN"/>
          <w14:textFill>
            <w14:solidFill>
              <w14:schemeClr w14:val="tx1"/>
            </w14:solidFill>
          </w14:textFill>
        </w:rPr>
        <w:t>规范设施项目移交程序。</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住宅小区竣工验收完成后</w:t>
      </w:r>
      <w:r>
        <w:rPr>
          <w:rFonts w:hint="eastAsia" w:ascii="楷体_GB2312" w:hAnsi="楷体_GB2312" w:eastAsia="楷体_GB2312" w:cs="楷体_GB2312"/>
          <w:color w:val="000000" w:themeColor="text1"/>
          <w:sz w:val="32"/>
          <w:szCs w:val="32"/>
          <w:highlight w:val="none"/>
          <w:shd w:val="clear" w:fill="FFFFFF"/>
          <w:lang w:val="en-US" w:eastAsia="zh-CN"/>
          <w14:textFill>
            <w14:solidFill>
              <w14:schemeClr w14:val="tx1"/>
            </w14:solidFill>
          </w14:textFill>
        </w:rPr>
        <w:t>，</w:t>
      </w:r>
      <w:bookmarkStart w:id="1" w:name="OLE_LINK1"/>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相关行业主管部门</w:t>
      </w:r>
      <w:bookmarkEnd w:id="1"/>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开展非经营性配套公共设施移交工作，对达到配建协议约定交付使用条件的，及时与建设单位办理移交手续。</w:t>
      </w:r>
      <w:r>
        <w:rPr>
          <w:rFonts w:hint="eastAsia" w:ascii="仿宋_GB2312" w:hAnsi="仿宋_GB2312" w:eastAsia="仿宋_GB2312" w:cs="仿宋_GB2312"/>
          <w:color w:val="000000" w:themeColor="text1"/>
          <w:sz w:val="32"/>
          <w:szCs w:val="32"/>
          <w:highlight w:val="none"/>
          <w:shd w:val="clear" w:fill="FFFFFF"/>
          <w14:textFill>
            <w14:solidFill>
              <w14:schemeClr w14:val="tx1"/>
            </w14:solidFill>
          </w14:textFill>
        </w:rPr>
        <w:t>开发建设单位应当在</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非经营性</w:t>
      </w:r>
      <w:r>
        <w:rPr>
          <w:rFonts w:hint="eastAsia" w:ascii="仿宋_GB2312" w:hAnsi="仿宋_GB2312" w:eastAsia="仿宋_GB2312" w:cs="仿宋_GB2312"/>
          <w:color w:val="000000" w:themeColor="text1"/>
          <w:sz w:val="32"/>
          <w:szCs w:val="32"/>
          <w:highlight w:val="none"/>
          <w:shd w:val="clear" w:fill="FFFFFF"/>
          <w14:textFill>
            <w14:solidFill>
              <w14:schemeClr w14:val="tx1"/>
            </w14:solidFill>
          </w14:textFill>
        </w:rPr>
        <w:t>公建配套设施竣工备案手续完结</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之日起15个工作</w:t>
      </w:r>
      <w:r>
        <w:rPr>
          <w:rFonts w:hint="eastAsia" w:ascii="仿宋_GB2312" w:hAnsi="仿宋_GB2312" w:eastAsia="仿宋_GB2312" w:cs="仿宋_GB2312"/>
          <w:color w:val="000000" w:themeColor="text1"/>
          <w:sz w:val="32"/>
          <w:szCs w:val="32"/>
          <w:highlight w:val="none"/>
          <w:shd w:val="clear" w:fill="FFFFFF"/>
          <w14:textFill>
            <w14:solidFill>
              <w14:schemeClr w14:val="tx1"/>
            </w14:solidFill>
          </w14:textFill>
        </w:rPr>
        <w:t>日内，</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向相关行业主管部门提交书面移交申请和移交材料。</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教育设施移交区教育局、医疗卫生设施移交区卫生健康局、文化、体育设施移交区文化体育和旅游局、养老设施移交区民政局、居委会、社区服务用房移交社区、公共厕所（沿街）、生活垃圾分类收集站移交区城管综合执法大队、为社区配套的便民市场（商业网点、菜市场）移交区发展和改革局（商务部门负责）。未纳入移交内容的其他攻坚配套设施，由区政府制定职能部门</w:t>
      </w:r>
      <w:bookmarkStart w:id="2" w:name="_GoBack"/>
      <w:bookmarkEnd w:id="2"/>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负责监管。</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接收单位收到开发建设单位书面移交申请之日起</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30</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个工作日内，完成非经营性公建设施相关资料审核</w:t>
      </w: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符合要求的，与开发建设单位办理移交手续</w:t>
      </w: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不符合要求的</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收</w:t>
      </w:r>
      <w:r>
        <w:rPr>
          <w:rFonts w:hint="eastAsia" w:ascii="仿宋_GB2312" w:hAnsi="仿宋_GB2312" w:eastAsia="仿宋_GB2312" w:cs="仿宋_GB2312"/>
          <w:color w:val="000000" w:themeColor="text1"/>
          <w:sz w:val="32"/>
          <w:szCs w:val="32"/>
          <w:lang w:eastAsia="zh-CN"/>
          <w14:textFill>
            <w14:solidFill>
              <w14:schemeClr w14:val="tx1"/>
            </w14:solidFill>
          </w14:textFill>
        </w:rPr>
        <w:t>单位</w:t>
      </w:r>
      <w:r>
        <w:rPr>
          <w:rFonts w:hint="eastAsia" w:ascii="仿宋_GB2312" w:hAnsi="仿宋_GB2312" w:eastAsia="仿宋_GB2312" w:cs="仿宋_GB2312"/>
          <w:color w:val="000000" w:themeColor="text1"/>
          <w:sz w:val="32"/>
          <w:szCs w:val="32"/>
          <w14:textFill>
            <w14:solidFill>
              <w14:schemeClr w14:val="tx1"/>
            </w14:solidFill>
          </w14:textFill>
        </w:rPr>
        <w:t>提出整改意见，督促建设单位限期整改到位。</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移交手续完成之日起7个工作日内，非经营性公配建接收单位向住建部门备案。</w:t>
      </w:r>
    </w:p>
    <w:p w14:paraId="7F04708E">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移交手续完成后，及时办理产权登记，把配建协议、移交协议等相关资料及时向区财政局备案。</w:t>
      </w:r>
    </w:p>
    <w:p w14:paraId="09CC9A12">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pPr>
      <w:r>
        <w:rPr>
          <w:rFonts w:hint="eastAsia" w:ascii="楷体_GB2312" w:hAnsi="楷体_GB2312" w:eastAsia="楷体_GB2312" w:cs="楷体_GB2312"/>
          <w:color w:val="000000" w:themeColor="text1"/>
          <w:kern w:val="2"/>
          <w:sz w:val="32"/>
          <w:szCs w:val="32"/>
          <w:shd w:val="clear" w:fill="FFFFFF"/>
          <w:lang w:val="en-US" w:eastAsia="zh-CN" w:bidi="ar-SA"/>
          <w14:textFill>
            <w14:solidFill>
              <w14:schemeClr w14:val="tx1"/>
            </w14:solidFill>
          </w14:textFill>
        </w:rPr>
        <w:t>（七）加强项目使用管理。</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住宅小区</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非经营性公建设施移交后，接受单位要按照规划确定的使用用途和有关规定进行使用、管理和维护</w:t>
      </w: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未经依法批准，接收单位</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不得无故不接收，不得闲置</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或擅自挪作他用</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，不得变更为经营性设施</w:t>
      </w: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w:t>
      </w:r>
    </w:p>
    <w:p w14:paraId="7AEDF6D3">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住宅小区</w:t>
      </w:r>
      <w:r>
        <w:rPr>
          <w:rFonts w:hint="eastAsia" w:ascii="仿宋_GB2312" w:hAnsi="仿宋_GB2312" w:eastAsia="仿宋_GB2312" w:cs="仿宋_GB2312"/>
          <w:color w:val="000000" w:themeColor="text1"/>
          <w:sz w:val="32"/>
          <w:szCs w:val="32"/>
          <w:highlight w:val="none"/>
          <w:shd w:val="clear" w:fill="FFFFFF"/>
          <w14:textFill>
            <w14:solidFill>
              <w14:schemeClr w14:val="tx1"/>
            </w14:solidFill>
          </w14:textFill>
        </w:rPr>
        <w:t>非经营性公建设施办理移交手续前，由开</w:t>
      </w:r>
      <w:r>
        <w:rPr>
          <w:rFonts w:hint="eastAsia" w:ascii="仿宋_GB2312" w:hAnsi="仿宋_GB2312" w:eastAsia="仿宋_GB2312" w:cs="仿宋_GB2312"/>
          <w:sz w:val="32"/>
          <w:szCs w:val="32"/>
          <w:highlight w:val="none"/>
          <w:shd w:val="clear" w:fill="FFFFFF"/>
        </w:rPr>
        <w:t>发建设单位按照相关规定实施养护、管理</w:t>
      </w:r>
      <w:r>
        <w:rPr>
          <w:rFonts w:hint="eastAsia" w:ascii="仿宋_GB2312" w:hAnsi="仿宋_GB2312" w:eastAsia="仿宋_GB2312" w:cs="仿宋_GB2312"/>
          <w:sz w:val="32"/>
          <w:szCs w:val="32"/>
          <w:highlight w:val="none"/>
          <w:shd w:val="clear" w:fill="FFFFFF"/>
          <w:lang w:eastAsia="zh-CN"/>
        </w:rPr>
        <w:t>。</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住宅小区</w:t>
      </w:r>
      <w:r>
        <w:rPr>
          <w:rFonts w:hint="eastAsia" w:ascii="仿宋_GB2312" w:hAnsi="仿宋_GB2312" w:eastAsia="仿宋_GB2312" w:cs="仿宋_GB2312"/>
          <w:color w:val="000000" w:themeColor="text1"/>
          <w:sz w:val="32"/>
          <w:szCs w:val="32"/>
          <w:highlight w:val="none"/>
          <w:shd w:val="clear" w:fill="FFFFFF"/>
          <w14:textFill>
            <w14:solidFill>
              <w14:schemeClr w14:val="tx1"/>
            </w14:solidFill>
          </w14:textFill>
        </w:rPr>
        <w:t>非经营性公建设施办理移交</w:t>
      </w:r>
      <w:r>
        <w:rPr>
          <w:rFonts w:hint="eastAsia" w:ascii="仿宋_GB2312" w:hAnsi="仿宋_GB2312" w:eastAsia="仿宋_GB2312" w:cs="仿宋_GB2312"/>
          <w:sz w:val="32"/>
          <w:szCs w:val="32"/>
          <w:highlight w:val="none"/>
          <w:shd w:val="clear" w:fill="FFFFFF"/>
        </w:rPr>
        <w:t>后</w:t>
      </w:r>
      <w:r>
        <w:rPr>
          <w:rFonts w:hint="eastAsia" w:ascii="仿宋_GB2312" w:hAnsi="仿宋_GB2312" w:eastAsia="仿宋_GB2312" w:cs="仿宋_GB2312"/>
          <w:sz w:val="32"/>
          <w:szCs w:val="32"/>
          <w:highlight w:val="none"/>
          <w:shd w:val="clear" w:fill="FFFFFF"/>
          <w:lang w:eastAsia="zh-CN"/>
        </w:rPr>
        <w:t>，</w:t>
      </w:r>
      <w:r>
        <w:rPr>
          <w:rFonts w:hint="eastAsia" w:ascii="仿宋_GB2312" w:hAnsi="仿宋_GB2312" w:eastAsia="仿宋_GB2312" w:cs="仿宋_GB2312"/>
          <w:sz w:val="32"/>
          <w:szCs w:val="32"/>
          <w:highlight w:val="none"/>
          <w:shd w:val="clear" w:fill="FFFFFF"/>
          <w:lang w:val="en-US" w:eastAsia="zh-CN"/>
        </w:rPr>
        <w:t>建设单位承担质量保修期内的保修责任。移交后超过质量保修期的，</w:t>
      </w:r>
      <w:r>
        <w:rPr>
          <w:rFonts w:hint="eastAsia" w:ascii="仿宋_GB2312" w:hAnsi="仿宋_GB2312" w:eastAsia="仿宋_GB2312" w:cs="仿宋_GB2312"/>
          <w:sz w:val="32"/>
          <w:szCs w:val="32"/>
          <w:highlight w:val="none"/>
          <w:shd w:val="clear" w:fill="FFFFFF"/>
        </w:rPr>
        <w:t>由接收单位根据相关</w:t>
      </w:r>
      <w:r>
        <w:rPr>
          <w:rFonts w:hint="eastAsia" w:ascii="仿宋_GB2312" w:hAnsi="仿宋_GB2312" w:eastAsia="仿宋_GB2312" w:cs="仿宋_GB2312"/>
          <w:sz w:val="32"/>
          <w:szCs w:val="32"/>
          <w:highlight w:val="none"/>
          <w:shd w:val="clear" w:fill="FFFFFF"/>
          <w:lang w:val="en-US" w:eastAsia="zh-CN"/>
        </w:rPr>
        <w:t>规定负责房屋质量安全、设施维护，不得破坏，确保交付6个月内投入运行使用。</w:t>
      </w:r>
      <w:r>
        <w:rPr>
          <w:rFonts w:hint="eastAsia" w:ascii="仿宋_GB2312" w:hAnsi="仿宋_GB2312" w:eastAsia="仿宋_GB2312" w:cs="仿宋_GB2312"/>
          <w:color w:val="000000" w:themeColor="text1"/>
          <w:sz w:val="32"/>
          <w:szCs w:val="32"/>
          <w:highlight w:val="none"/>
          <w:shd w:val="clear" w:fill="FFFFFF"/>
          <w:lang w:val="en-US" w:eastAsia="zh-CN"/>
          <w14:textFill>
            <w14:solidFill>
              <w14:schemeClr w14:val="tx1"/>
            </w14:solidFill>
          </w14:textFill>
        </w:rPr>
        <w:t>对擅自改变用途的，由自然资源和规划、行政审批、综合执法等部门按照职责分工依法依规严肃查处。</w:t>
      </w:r>
    </w:p>
    <w:p w14:paraId="3D5079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八</w:t>
      </w:r>
      <w:r>
        <w:rPr>
          <w:rFonts w:hint="eastAsia" w:ascii="仿宋_GB2312" w:hAnsi="仿宋_GB2312" w:eastAsia="仿宋_GB2312" w:cs="仿宋_GB2312"/>
          <w:color w:val="000000" w:themeColor="text1"/>
          <w:sz w:val="32"/>
          <w:szCs w:val="32"/>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对开发建设单位未按照规定移交</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非经营性公共</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配套设施</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或</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逾期</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不</w:t>
      </w:r>
      <w:r>
        <w:rPr>
          <w:rFonts w:hint="eastAsia" w:ascii="仿宋_GB2312" w:hAnsi="仿宋_GB2312" w:eastAsia="仿宋_GB2312" w:cs="仿宋_GB2312"/>
          <w:color w:val="000000" w:themeColor="text1"/>
          <w:sz w:val="32"/>
          <w:szCs w:val="32"/>
          <w:shd w:val="clear" w:fill="FFFFFF"/>
          <w14:textFill>
            <w14:solidFill>
              <w14:schemeClr w14:val="tx1"/>
            </w14:solidFill>
          </w14:textFill>
        </w:rPr>
        <w:t>移交的，</w:t>
      </w:r>
      <w:r>
        <w:rPr>
          <w:rFonts w:hint="eastAsia" w:ascii="仿宋_GB2312" w:hAnsi="仿宋_GB2312" w:eastAsia="仿宋_GB2312" w:cs="仿宋_GB2312"/>
          <w:color w:val="000000" w:themeColor="text1"/>
          <w:sz w:val="32"/>
          <w:szCs w:val="32"/>
          <w:shd w:val="clear" w:fill="FFFFFF"/>
          <w:lang w:val="en-US" w:eastAsia="zh-CN"/>
          <w14:textFill>
            <w14:solidFill>
              <w14:schemeClr w14:val="tx1"/>
            </w14:solidFill>
          </w14:textFill>
        </w:rPr>
        <w:t>由接收单位按照配建协议中载明的违约责任依法依规处置。</w:t>
      </w:r>
    </w:p>
    <w:p w14:paraId="2B1EDD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60" w:lineRule="exact"/>
        <w:ind w:right="0" w:firstLine="640" w:firstLineChars="200"/>
        <w:jc w:val="left"/>
        <w:textAlignment w:val="auto"/>
        <w:rPr>
          <w:rFonts w:hint="eastAsia" w:ascii="CESI黑体-GB2312" w:hAnsi="CESI黑体-GB2312" w:eastAsia="CESI黑体-GB2312" w:cs="CESI黑体-GB2312"/>
          <w:color w:val="000000" w:themeColor="text1"/>
          <w:sz w:val="32"/>
          <w:szCs w:val="32"/>
          <w:shd w:val="clear" w:fill="FFFFFF"/>
          <w14:textFill>
            <w14:solidFill>
              <w14:schemeClr w14:val="tx1"/>
            </w14:solidFill>
          </w14:textFill>
        </w:rPr>
      </w:pPr>
      <w:r>
        <w:rPr>
          <w:rFonts w:hint="eastAsia" w:ascii="CESI黑体-GB2312" w:hAnsi="CESI黑体-GB2312" w:eastAsia="CESI黑体-GB2312" w:cs="CESI黑体-GB2312"/>
          <w:color w:val="000000" w:themeColor="text1"/>
          <w:sz w:val="32"/>
          <w:szCs w:val="32"/>
          <w:shd w:val="clear" w:fill="FFFFFF"/>
          <w14:textFill>
            <w14:solidFill>
              <w14:schemeClr w14:val="tx1"/>
            </w14:solidFill>
          </w14:textFill>
        </w:rPr>
        <w:t xml:space="preserve">六、附则 </w:t>
      </w:r>
    </w:p>
    <w:p w14:paraId="0DBB78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C00000"/>
          <w:sz w:val="32"/>
          <w:szCs w:val="32"/>
          <w:lang w:val="en-US" w:eastAsia="zh-CN"/>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九</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auto"/>
          <w:sz w:val="32"/>
          <w:szCs w:val="32"/>
          <w:lang w:val="en-US" w:eastAsia="zh-CN"/>
        </w:rPr>
        <w:t>本意见实施前，业主已入住小区但尚未办理竣工备案手续的历史遗留项目，原则上公配建接收单位与开发单位先签订移交意向协议，待办理竣工备案后正式投入使用。</w:t>
      </w:r>
    </w:p>
    <w:p w14:paraId="0CCEE3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（十）本实施意见自印发之日起施行。原《石家庄市藁城区住宅小区公建配套设施建设管理移交实施意见》（藁政字【2019】16号）废止。</w:t>
      </w:r>
    </w:p>
    <w:p w14:paraId="42E6E7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BDAA233C">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B2F23"/>
    <w:multiLevelType w:val="singleLevel"/>
    <w:tmpl w:val="90FB2F23"/>
    <w:lvl w:ilvl="0" w:tentative="0">
      <w:start w:val="2"/>
      <w:numFmt w:val="chineseCounting"/>
      <w:suff w:val="nothing"/>
      <w:lvlText w:val="%1、"/>
      <w:lvlJc w:val="left"/>
      <w:rPr>
        <w:rFonts w:hint="eastAsia"/>
      </w:rPr>
    </w:lvl>
  </w:abstractNum>
  <w:abstractNum w:abstractNumId="1">
    <w:nsid w:val="F652C008"/>
    <w:multiLevelType w:val="singleLevel"/>
    <w:tmpl w:val="F652C008"/>
    <w:lvl w:ilvl="0" w:tentative="0">
      <w:start w:val="3"/>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92E9A"/>
    <w:rsid w:val="0104319F"/>
    <w:rsid w:val="01087E6C"/>
    <w:rsid w:val="01960151"/>
    <w:rsid w:val="01E077DA"/>
    <w:rsid w:val="034E115B"/>
    <w:rsid w:val="058F079F"/>
    <w:rsid w:val="061A57A4"/>
    <w:rsid w:val="069E11AE"/>
    <w:rsid w:val="06E07B42"/>
    <w:rsid w:val="08835B9E"/>
    <w:rsid w:val="0A982EAE"/>
    <w:rsid w:val="0AC04FD2"/>
    <w:rsid w:val="0CA31CA7"/>
    <w:rsid w:val="0D890249"/>
    <w:rsid w:val="0E1174CA"/>
    <w:rsid w:val="0F0E26D8"/>
    <w:rsid w:val="0FE77C5B"/>
    <w:rsid w:val="0FF3E249"/>
    <w:rsid w:val="120507F3"/>
    <w:rsid w:val="126713F6"/>
    <w:rsid w:val="12ED111C"/>
    <w:rsid w:val="12FB1A22"/>
    <w:rsid w:val="13367851"/>
    <w:rsid w:val="146A7B98"/>
    <w:rsid w:val="16132910"/>
    <w:rsid w:val="165B5D52"/>
    <w:rsid w:val="16A67C62"/>
    <w:rsid w:val="16D11A9A"/>
    <w:rsid w:val="17B80644"/>
    <w:rsid w:val="18114EF8"/>
    <w:rsid w:val="18C833AE"/>
    <w:rsid w:val="19CD0284"/>
    <w:rsid w:val="1A7D3F57"/>
    <w:rsid w:val="1AC55101"/>
    <w:rsid w:val="1B4033E8"/>
    <w:rsid w:val="1E837F39"/>
    <w:rsid w:val="1F191DF5"/>
    <w:rsid w:val="1F447F84"/>
    <w:rsid w:val="20C70D97"/>
    <w:rsid w:val="21983FAB"/>
    <w:rsid w:val="21CA2D6D"/>
    <w:rsid w:val="22547F11"/>
    <w:rsid w:val="237F2D74"/>
    <w:rsid w:val="25031203"/>
    <w:rsid w:val="252C29F6"/>
    <w:rsid w:val="254C2520"/>
    <w:rsid w:val="25CB17D5"/>
    <w:rsid w:val="27331BA9"/>
    <w:rsid w:val="27625503"/>
    <w:rsid w:val="29A356D2"/>
    <w:rsid w:val="2BB52E97"/>
    <w:rsid w:val="2D044EC1"/>
    <w:rsid w:val="2E220F58"/>
    <w:rsid w:val="2E3C7227"/>
    <w:rsid w:val="2E7C1B5D"/>
    <w:rsid w:val="2F8C58C1"/>
    <w:rsid w:val="320C5330"/>
    <w:rsid w:val="320D27D3"/>
    <w:rsid w:val="321F1780"/>
    <w:rsid w:val="324C5149"/>
    <w:rsid w:val="334A4192"/>
    <w:rsid w:val="33832702"/>
    <w:rsid w:val="33DC33BB"/>
    <w:rsid w:val="34F1332F"/>
    <w:rsid w:val="34F73C6F"/>
    <w:rsid w:val="350055E2"/>
    <w:rsid w:val="35027FB1"/>
    <w:rsid w:val="3526723B"/>
    <w:rsid w:val="35C645E7"/>
    <w:rsid w:val="360079B8"/>
    <w:rsid w:val="360C66FA"/>
    <w:rsid w:val="38282576"/>
    <w:rsid w:val="38864AB1"/>
    <w:rsid w:val="38CA1D14"/>
    <w:rsid w:val="3B287A28"/>
    <w:rsid w:val="3BEB4564"/>
    <w:rsid w:val="3C0F7575"/>
    <w:rsid w:val="3CCB5CDE"/>
    <w:rsid w:val="3D52334E"/>
    <w:rsid w:val="3D7C782D"/>
    <w:rsid w:val="3EF66698"/>
    <w:rsid w:val="3F067DF1"/>
    <w:rsid w:val="3F6E0244"/>
    <w:rsid w:val="3FEC25D6"/>
    <w:rsid w:val="40C71684"/>
    <w:rsid w:val="41010107"/>
    <w:rsid w:val="41825B16"/>
    <w:rsid w:val="422F1CC4"/>
    <w:rsid w:val="423657C8"/>
    <w:rsid w:val="423E6CE3"/>
    <w:rsid w:val="44394E90"/>
    <w:rsid w:val="444F681C"/>
    <w:rsid w:val="454F0669"/>
    <w:rsid w:val="45BD5AC1"/>
    <w:rsid w:val="45C32A77"/>
    <w:rsid w:val="46D04AE0"/>
    <w:rsid w:val="47023E47"/>
    <w:rsid w:val="474732EB"/>
    <w:rsid w:val="478163F5"/>
    <w:rsid w:val="487F127C"/>
    <w:rsid w:val="4A4D0966"/>
    <w:rsid w:val="4CA8770E"/>
    <w:rsid w:val="4DD43F56"/>
    <w:rsid w:val="4E3C6C58"/>
    <w:rsid w:val="4F55288C"/>
    <w:rsid w:val="50741221"/>
    <w:rsid w:val="54CE5E66"/>
    <w:rsid w:val="561C3E71"/>
    <w:rsid w:val="56D67A28"/>
    <w:rsid w:val="57216159"/>
    <w:rsid w:val="585319C3"/>
    <w:rsid w:val="59844E8A"/>
    <w:rsid w:val="59CD5C58"/>
    <w:rsid w:val="5BCD41D2"/>
    <w:rsid w:val="5CEB5F7D"/>
    <w:rsid w:val="5DFF85F9"/>
    <w:rsid w:val="5EBA6E7E"/>
    <w:rsid w:val="5F8A1908"/>
    <w:rsid w:val="60995727"/>
    <w:rsid w:val="629F1B80"/>
    <w:rsid w:val="6322496A"/>
    <w:rsid w:val="63CA52B8"/>
    <w:rsid w:val="63EE7CFC"/>
    <w:rsid w:val="66FF28C9"/>
    <w:rsid w:val="673D45A5"/>
    <w:rsid w:val="682644FC"/>
    <w:rsid w:val="68637F1A"/>
    <w:rsid w:val="68BB0586"/>
    <w:rsid w:val="6A0F1719"/>
    <w:rsid w:val="6AC427C8"/>
    <w:rsid w:val="6DD324BF"/>
    <w:rsid w:val="6E360CF6"/>
    <w:rsid w:val="6E4520CE"/>
    <w:rsid w:val="6E4F792C"/>
    <w:rsid w:val="6E65530E"/>
    <w:rsid w:val="6E7A0545"/>
    <w:rsid w:val="6FEC16F5"/>
    <w:rsid w:val="70CB1E0B"/>
    <w:rsid w:val="7131788B"/>
    <w:rsid w:val="71BB3119"/>
    <w:rsid w:val="71D01C98"/>
    <w:rsid w:val="72D952DF"/>
    <w:rsid w:val="72F40A0F"/>
    <w:rsid w:val="73723D17"/>
    <w:rsid w:val="7503356D"/>
    <w:rsid w:val="755F3FF7"/>
    <w:rsid w:val="76945771"/>
    <w:rsid w:val="76BE08D5"/>
    <w:rsid w:val="78264B19"/>
    <w:rsid w:val="78784B7B"/>
    <w:rsid w:val="794459B2"/>
    <w:rsid w:val="79E32480"/>
    <w:rsid w:val="7A91169D"/>
    <w:rsid w:val="7A9271B6"/>
    <w:rsid w:val="7BF2396E"/>
    <w:rsid w:val="7C6F5FF4"/>
    <w:rsid w:val="7DE333DD"/>
    <w:rsid w:val="7F4F4177"/>
    <w:rsid w:val="7FF113D0"/>
    <w:rsid w:val="9F53C259"/>
    <w:rsid w:val="9FF6F0CB"/>
    <w:rsid w:val="DF5DB15A"/>
    <w:rsid w:val="EFEBBA7C"/>
    <w:rsid w:val="FD3C7AB1"/>
    <w:rsid w:val="FFFE8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rPr>
      <w:sz w:val="24"/>
    </w:rPr>
  </w:style>
  <w:style w:type="character" w:styleId="6">
    <w:name w:val="Strong"/>
    <w:basedOn w:val="5"/>
    <w:qFormat/>
    <w:uiPriority w:val="0"/>
    <w:rPr>
      <w:b/>
    </w:rPr>
  </w:style>
  <w:style w:type="character" w:styleId="7">
    <w:name w:val="FollowedHyperlink"/>
    <w:basedOn w:val="5"/>
    <w:qFormat/>
    <w:uiPriority w:val="0"/>
    <w:rPr>
      <w:color w:val="000000"/>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Typewriter"/>
    <w:basedOn w:val="5"/>
    <w:qFormat/>
    <w:uiPriority w:val="0"/>
    <w:rPr>
      <w:rFonts w:ascii="Courier New" w:hAnsi="Courier New"/>
      <w:sz w:val="24"/>
      <w:szCs w:val="24"/>
    </w:rPr>
  </w:style>
  <w:style w:type="character" w:styleId="11">
    <w:name w:val="HTML Acronym"/>
    <w:basedOn w:val="5"/>
    <w:qFormat/>
    <w:uiPriority w:val="0"/>
  </w:style>
  <w:style w:type="character" w:styleId="12">
    <w:name w:val="HTML Variable"/>
    <w:basedOn w:val="5"/>
    <w:qFormat/>
    <w:uiPriority w:val="0"/>
  </w:style>
  <w:style w:type="character" w:styleId="13">
    <w:name w:val="Hyperlink"/>
    <w:basedOn w:val="5"/>
    <w:qFormat/>
    <w:uiPriority w:val="0"/>
    <w:rPr>
      <w:color w:val="000000"/>
      <w:u w:val="none"/>
    </w:rPr>
  </w:style>
  <w:style w:type="character" w:styleId="14">
    <w:name w:val="HTML Code"/>
    <w:basedOn w:val="5"/>
    <w:qFormat/>
    <w:uiPriority w:val="0"/>
    <w:rPr>
      <w:rFonts w:ascii="Courier New" w:hAnsi="Courier New"/>
      <w:sz w:val="24"/>
      <w:szCs w:val="24"/>
    </w:rPr>
  </w:style>
  <w:style w:type="character" w:styleId="15">
    <w:name w:val="HTML Cite"/>
    <w:basedOn w:val="5"/>
    <w:qFormat/>
    <w:uiPriority w:val="0"/>
  </w:style>
  <w:style w:type="character" w:styleId="16">
    <w:name w:val="HTML Keyboard"/>
    <w:basedOn w:val="5"/>
    <w:qFormat/>
    <w:uiPriority w:val="0"/>
    <w:rPr>
      <w:rFonts w:ascii="Courier New" w:hAnsi="Courier New"/>
      <w:sz w:val="24"/>
      <w:szCs w:val="24"/>
    </w:rPr>
  </w:style>
  <w:style w:type="character" w:styleId="17">
    <w:name w:val="HTML Sample"/>
    <w:basedOn w:val="5"/>
    <w:qFormat/>
    <w:uiPriority w:val="0"/>
    <w:rPr>
      <w:rFonts w:ascii="Courier New" w:hAnsi="Courier New"/>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3039</Words>
  <Characters>3055</Characters>
  <Lines>0</Lines>
  <Paragraphs>0</Paragraphs>
  <TotalTime>128</TotalTime>
  <ScaleCrop>false</ScaleCrop>
  <LinksUpToDate>false</LinksUpToDate>
  <CharactersWithSpaces>3058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Administrator</dc:creator>
  <cp:lastModifiedBy>13323011735</cp:lastModifiedBy>
  <cp:lastPrinted>2026-09-15T01:28:00Z</cp:lastPrinted>
  <dcterms:modified xsi:type="dcterms:W3CDTF">2026-09-17T06:42:05Z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202CAFF7E35609701D0F686A73E59D40</vt:lpwstr>
  </property>
  <property fmtid="{D5CDD505-2E9C-101B-9397-08002B2CF9AE}" pid="4" name="KSOTemplateDocerSaveRecord">
    <vt:lpwstr>eyJoZGlkIjoiZTNhMzhmNjU3NDU2YjNiYWExNDJlM2Y4YTNjMzYyNWIiLCJ1c2VySWQiOiIxNTUwMjQwMDk2In0=</vt:lpwstr>
  </property>
</Properties>
</file>