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420D6">
      <w:pPr>
        <w:keepNext w:val="0"/>
        <w:keepLines w:val="0"/>
        <w:pageBreakBefore w:val="0"/>
        <w:widowControl w:val="0"/>
        <w:kinsoku/>
        <w:wordWrap/>
        <w:overflowPunct/>
        <w:topLinePunct w:val="0"/>
        <w:autoSpaceDE/>
        <w:autoSpaceDN/>
        <w:bidi w:val="0"/>
        <w:adjustRightInd w:val="0"/>
        <w:snapToGrid w:val="0"/>
        <w:spacing w:line="560" w:lineRule="exact"/>
        <w:ind w:left="0" w:right="0"/>
        <w:textAlignment w:val="auto"/>
        <w:outlineLvl w:val="9"/>
        <w:rPr>
          <w:rFonts w:hint="eastAsia"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lang w:val="en-US" w:eastAsia="zh-CN"/>
        </w:rPr>
        <w:t>5</w:t>
      </w:r>
    </w:p>
    <w:p w14:paraId="209A2E62">
      <w:pPr>
        <w:keepNext w:val="0"/>
        <w:keepLines w:val="0"/>
        <w:pageBreakBefore w:val="0"/>
        <w:widowControl w:val="0"/>
        <w:kinsoku/>
        <w:wordWrap/>
        <w:overflowPunct/>
        <w:topLinePunct w:val="0"/>
        <w:autoSpaceDE/>
        <w:autoSpaceDN/>
        <w:bidi w:val="0"/>
        <w:adjustRightInd/>
        <w:snapToGrid w:val="0"/>
        <w:spacing w:line="560" w:lineRule="exact"/>
        <w:ind w:left="0" w:right="0"/>
        <w:textAlignment w:val="auto"/>
        <w:outlineLvl w:val="9"/>
        <w:rPr>
          <w:rFonts w:ascii="仿宋" w:hAnsi="仿宋" w:eastAsia="仿宋" w:cs="仿宋"/>
          <w:sz w:val="32"/>
          <w:szCs w:val="32"/>
        </w:rPr>
      </w:pPr>
    </w:p>
    <w:p w14:paraId="25A8493B">
      <w:pPr>
        <w:keepNext w:val="0"/>
        <w:keepLines w:val="0"/>
        <w:pageBreakBefore w:val="0"/>
        <w:widowControl w:val="0"/>
        <w:kinsoku/>
        <w:wordWrap/>
        <w:overflowPunct/>
        <w:topLinePunct w:val="0"/>
        <w:autoSpaceDE/>
        <w:autoSpaceDN/>
        <w:bidi w:val="0"/>
        <w:spacing w:line="560" w:lineRule="exact"/>
        <w:ind w:left="0" w:leftChars="0" w:right="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藁城区文化广电体育和旅游局</w:t>
      </w:r>
      <w:r>
        <w:rPr>
          <w:rFonts w:hint="eastAsia" w:ascii="方正小标宋简体" w:hAnsi="方正小标宋简体" w:eastAsia="方正小标宋简体" w:cs="方正小标宋简体"/>
          <w:b w:val="0"/>
          <w:bCs w:val="0"/>
          <w:sz w:val="44"/>
          <w:szCs w:val="44"/>
        </w:rPr>
        <w:t>部门</w:t>
      </w:r>
    </w:p>
    <w:p w14:paraId="2866DFB5">
      <w:pPr>
        <w:keepNext w:val="0"/>
        <w:keepLines w:val="0"/>
        <w:pageBreakBefore w:val="0"/>
        <w:widowControl w:val="0"/>
        <w:kinsoku/>
        <w:wordWrap/>
        <w:overflowPunct/>
        <w:topLinePunct w:val="0"/>
        <w:autoSpaceDE/>
        <w:autoSpaceDN/>
        <w:bidi w:val="0"/>
        <w:spacing w:line="560" w:lineRule="exact"/>
        <w:ind w:left="0" w:leftChars="0" w:right="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简体" w:hAnsi="方正小标宋简体" w:eastAsia="方正小标宋简体" w:cs="方正小标宋简体"/>
          <w:b w:val="0"/>
          <w:bCs w:val="0"/>
          <w:sz w:val="44"/>
          <w:szCs w:val="44"/>
        </w:rPr>
        <w:t>年度绩效自评工作报告</w:t>
      </w:r>
    </w:p>
    <w:p w14:paraId="5FBC000C">
      <w:pPr>
        <w:keepNext w:val="0"/>
        <w:keepLines w:val="0"/>
        <w:pageBreakBefore w:val="0"/>
        <w:widowControl w:val="0"/>
        <w:kinsoku/>
        <w:wordWrap/>
        <w:overflowPunct/>
        <w:topLinePunct w:val="0"/>
        <w:autoSpaceDE/>
        <w:autoSpaceDN/>
        <w:bidi w:val="0"/>
        <w:adjustRightInd/>
        <w:snapToGrid w:val="0"/>
        <w:spacing w:line="560" w:lineRule="exact"/>
        <w:ind w:left="0" w:right="0" w:firstLine="643" w:firstLineChars="200"/>
        <w:textAlignment w:val="auto"/>
        <w:outlineLvl w:val="9"/>
        <w:rPr>
          <w:rFonts w:ascii="仿宋" w:hAnsi="仿宋" w:eastAsia="仿宋" w:cs="仿宋"/>
          <w:b/>
          <w:sz w:val="32"/>
          <w:szCs w:val="32"/>
        </w:rPr>
      </w:pPr>
    </w:p>
    <w:p w14:paraId="46B7D9E9">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outlineLvl w:val="9"/>
        <w:rPr>
          <w:rFonts w:hint="eastAsia" w:ascii="黑体" w:hAnsi="黑体" w:eastAsia="黑体" w:cs="黑体"/>
          <w:sz w:val="32"/>
          <w:szCs w:val="36"/>
          <w:lang w:eastAsia="zh-CN"/>
        </w:rPr>
      </w:pPr>
      <w:r>
        <w:rPr>
          <w:rFonts w:hint="eastAsia" w:ascii="黑体" w:hAnsi="黑体" w:eastAsia="黑体" w:cs="黑体"/>
          <w:sz w:val="32"/>
          <w:szCs w:val="36"/>
          <w:lang w:eastAsia="zh-CN"/>
        </w:rPr>
        <w:t>一、绩效自评工作组织开展情况</w:t>
      </w:r>
    </w:p>
    <w:p w14:paraId="1150FEB2">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按照上级文件的有关要求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实际情况，经局</w:t>
      </w:r>
      <w:r>
        <w:rPr>
          <w:rFonts w:hint="eastAsia" w:ascii="仿宋_GB2312" w:hAnsi="仿宋_GB2312" w:eastAsia="仿宋_GB2312" w:cs="仿宋_GB2312"/>
          <w:sz w:val="32"/>
          <w:szCs w:val="32"/>
          <w:lang w:eastAsia="zh-CN"/>
        </w:rPr>
        <w:t>领导班子</w:t>
      </w:r>
      <w:r>
        <w:rPr>
          <w:rFonts w:hint="eastAsia" w:ascii="仿宋_GB2312" w:hAnsi="仿宋_GB2312" w:eastAsia="仿宋_GB2312" w:cs="仿宋_GB2312"/>
          <w:sz w:val="32"/>
          <w:szCs w:val="32"/>
        </w:rPr>
        <w:t>研究决定，</w:t>
      </w:r>
      <w:r>
        <w:rPr>
          <w:rFonts w:hint="eastAsia" w:ascii="仿宋_GB2312" w:hAnsi="仿宋_GB2312" w:eastAsia="仿宋_GB2312" w:cs="仿宋_GB2312"/>
          <w:sz w:val="32"/>
          <w:szCs w:val="32"/>
          <w:lang w:eastAsia="zh-CN"/>
        </w:rPr>
        <w:t>组织专人负责</w:t>
      </w:r>
      <w:r>
        <w:rPr>
          <w:rFonts w:hint="eastAsia" w:ascii="仿宋_GB2312" w:hAnsi="仿宋_GB2312" w:eastAsia="仿宋_GB2312" w:cs="仿宋_GB2312"/>
          <w:sz w:val="32"/>
          <w:szCs w:val="32"/>
          <w:lang w:val="en-US" w:eastAsia="zh-CN"/>
        </w:rPr>
        <w:t>2025年项目自评工作</w:t>
      </w:r>
      <w:r>
        <w:rPr>
          <w:rFonts w:hint="eastAsia" w:ascii="仿宋_GB2312" w:hAnsi="仿宋_GB2312" w:eastAsia="仿宋_GB2312" w:cs="仿宋_GB2312"/>
          <w:sz w:val="32"/>
          <w:szCs w:val="32"/>
        </w:rPr>
        <w:t>，制定了</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年自评工作方案，为自评工作做好准备。</w:t>
      </w:r>
    </w:p>
    <w:p w14:paraId="5D090BF3">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outlineLvl w:val="9"/>
        <w:rPr>
          <w:rFonts w:hint="eastAsia" w:ascii="黑体" w:hAnsi="黑体" w:eastAsia="黑体" w:cs="黑体"/>
          <w:sz w:val="32"/>
          <w:szCs w:val="36"/>
          <w:lang w:eastAsia="zh-CN"/>
        </w:rPr>
      </w:pP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自评绩效项目共有</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首先对</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个项目的实际完成情况进行了解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与年初预算制定的绩效目标相比较，均已完成年初预算绩效目标;其次对项目资金的使用情况进行评价，通过查阅有关项目收入支出</w:t>
      </w:r>
      <w:r>
        <w:rPr>
          <w:rFonts w:hint="eastAsia" w:ascii="仿宋_GB2312" w:hAnsi="仿宋_GB2312" w:eastAsia="仿宋_GB2312" w:cs="仿宋_GB2312"/>
          <w:sz w:val="32"/>
          <w:szCs w:val="32"/>
          <w:lang w:eastAsia="zh-CN"/>
        </w:rPr>
        <w:t>明细账</w:t>
      </w:r>
      <w:r>
        <w:rPr>
          <w:rFonts w:hint="eastAsia" w:ascii="仿宋_GB2312" w:hAnsi="仿宋_GB2312" w:eastAsia="仿宋_GB2312" w:cs="仿宋_GB2312"/>
          <w:sz w:val="32"/>
          <w:szCs w:val="32"/>
        </w:rPr>
        <w:t>，审核项目资金是否专款专用、支出进度是否达到年初计划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最后，对项目实施过程中存在的问题进行分析讨论，并提出可行性建议和措施。</w:t>
      </w:r>
      <w:r>
        <w:rPr>
          <w:rFonts w:hint="eastAsia" w:ascii="黑体" w:hAnsi="黑体" w:eastAsia="黑体" w:cs="黑体"/>
          <w:sz w:val="32"/>
          <w:szCs w:val="36"/>
          <w:lang w:eastAsia="zh-CN"/>
        </w:rPr>
        <w:t>二、绩效目标实现情况</w:t>
      </w:r>
    </w:p>
    <w:p w14:paraId="41EA612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2025年我部门高效率地使用了各项资金，</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整体绩效目标基本实现，</w:t>
      </w:r>
      <w:r>
        <w:rPr>
          <w:rFonts w:hint="eastAsia" w:ascii="仿宋_GB2312" w:hAnsi="仿宋_GB2312" w:eastAsia="仿宋_GB2312" w:cs="仿宋_GB2312"/>
          <w:sz w:val="32"/>
          <w:szCs w:val="32"/>
          <w:lang w:val="en-US" w:eastAsia="zh-CN"/>
        </w:rPr>
        <w:t>公共文化服务水平持续提升，举办多种文化体育活动及培训，文化下乡及三进演出等活动按时完成。加强了非物质文化遗产的宣传保护和开发利用，强化对全区文保单位的日常保养和维护，重点针对各文物点开展安全隐患大排查，确保文物安全无损毁、无破坏、无遗失、无被盗。文旅产业转型加快升级，坚持优化环境、项目带动、融合发展，文化产业发展进一步提速，推动文旅产业项目建设，打造文旅产业精品。全域旅游创建稳步推进，文旅市场整治规范有序。坚持以扫黑除恶专项斗争为切入点，坚持规范和繁荣两手抓，切实加强文化旅游市场管理，各类违法违规经营行为得到有效遏制，文旅市场活力得到彰显。</w:t>
      </w:r>
      <w:r>
        <w:rPr>
          <w:rFonts w:hint="eastAsia" w:ascii="仿宋_GB2312" w:hAnsi="仿宋_GB2312" w:eastAsia="仿宋_GB2312" w:cs="仿宋_GB2312"/>
          <w:sz w:val="32"/>
          <w:szCs w:val="32"/>
          <w:lang w:eastAsia="zh-CN"/>
        </w:rPr>
        <w:t>年度支出合理，</w:t>
      </w:r>
      <w:r>
        <w:rPr>
          <w:rFonts w:hint="eastAsia" w:ascii="仿宋_GB2312" w:hAnsi="仿宋_GB2312" w:eastAsia="仿宋_GB2312" w:cs="仿宋_GB2312"/>
          <w:sz w:val="32"/>
          <w:szCs w:val="32"/>
          <w:lang w:val="en-US" w:eastAsia="zh-CN"/>
        </w:rPr>
        <w:t>收支</w:t>
      </w:r>
      <w:r>
        <w:rPr>
          <w:rFonts w:hint="eastAsia" w:ascii="仿宋_GB2312" w:hAnsi="仿宋_GB2312" w:eastAsia="仿宋_GB2312" w:cs="仿宋_GB2312"/>
          <w:sz w:val="32"/>
          <w:szCs w:val="32"/>
          <w:lang w:eastAsia="zh-CN"/>
        </w:rPr>
        <w:t>平衡，绩效目标完成率高，效果明显。总体评价为优秀。</w:t>
      </w:r>
    </w:p>
    <w:p w14:paraId="519A063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0" w:firstLineChars="200"/>
        <w:textAlignment w:val="auto"/>
        <w:outlineLvl w:val="9"/>
        <w:rPr>
          <w:rFonts w:hint="eastAsia"/>
          <w:lang w:eastAsia="zh-CN"/>
        </w:rPr>
      </w:pPr>
      <w:r>
        <w:rPr>
          <w:rFonts w:hint="eastAsia" w:ascii="仿宋_GB2312" w:hAnsi="仿宋_GB2312" w:eastAsia="仿宋_GB2312" w:cs="仿宋_GB2312"/>
          <w:sz w:val="32"/>
          <w:szCs w:val="32"/>
          <w:lang w:eastAsia="zh-CN"/>
        </w:rPr>
        <w:t>但仍有部分项目资金执行率低，2022年第二批新增债券藁城区四明楼古建筑基础设施及配套建设项目受大气管控等因素影响工程进度较慢。石财教【20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lang w:eastAsia="zh-CN"/>
        </w:rPr>
        <w:t>号中央公共文化服务体系建设补助资金由于年底财政结账未能及时支出，等结转资金下达后支付剩余资金。石财教【20</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127</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年市级公共文化服务体系资金（一般项目）等文化系列活动全部完成后支出剩余资金。</w:t>
      </w:r>
    </w:p>
    <w:p w14:paraId="3C3BA317">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outlineLvl w:val="9"/>
        <w:rPr>
          <w:rFonts w:hint="eastAsia" w:ascii="黑体" w:hAnsi="黑体" w:eastAsia="黑体" w:cs="黑体"/>
          <w:sz w:val="32"/>
          <w:szCs w:val="36"/>
          <w:lang w:eastAsia="zh-CN"/>
        </w:rPr>
      </w:pPr>
      <w:r>
        <w:rPr>
          <w:rFonts w:hint="eastAsia" w:ascii="黑体" w:hAnsi="黑体" w:eastAsia="黑体" w:cs="黑体"/>
          <w:sz w:val="32"/>
          <w:szCs w:val="36"/>
          <w:lang w:eastAsia="zh-CN"/>
        </w:rPr>
        <w:t>三、绩效目标设定质量情况</w:t>
      </w:r>
    </w:p>
    <w:p w14:paraId="0E501C4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本部门通过绩效自评结果对比倒查的年初绩效目标，年初绩效目标设定较为清晰准确，绩效指标较为全面完整、科学合理，绩效标准恰当适宜、易于评价，从整体来看绩效目标基本都能实现。</w:t>
      </w:r>
    </w:p>
    <w:p w14:paraId="0A5BA86F">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outlineLvl w:val="9"/>
        <w:rPr>
          <w:rFonts w:hint="eastAsia" w:ascii="黑体" w:hAnsi="黑体" w:eastAsia="黑体" w:cs="黑体"/>
          <w:sz w:val="32"/>
          <w:szCs w:val="36"/>
          <w:lang w:eastAsia="zh-CN"/>
        </w:rPr>
      </w:pPr>
      <w:r>
        <w:rPr>
          <w:rFonts w:hint="eastAsia" w:ascii="黑体" w:hAnsi="黑体" w:eastAsia="黑体" w:cs="黑体"/>
          <w:sz w:val="32"/>
          <w:szCs w:val="36"/>
          <w:lang w:eastAsia="zh-CN"/>
        </w:rPr>
        <w:t>四、整改措施及结果应用</w:t>
      </w:r>
    </w:p>
    <w:p w14:paraId="4E32BF5E">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严格按照预算项目绩效自评管理办法，及时开展项目落实，为全年工作的开展提供了保障，但还是存在绩效</w:t>
      </w:r>
      <w:r>
        <w:rPr>
          <w:rFonts w:hint="eastAsia" w:ascii="仿宋_GB2312" w:hAnsi="仿宋_GB2312" w:eastAsia="仿宋_GB2312" w:cs="仿宋_GB2312"/>
          <w:sz w:val="32"/>
          <w:szCs w:val="32"/>
          <w:lang w:eastAsia="zh-CN"/>
        </w:rPr>
        <w:t>制</w:t>
      </w:r>
      <w:r>
        <w:rPr>
          <w:rFonts w:hint="eastAsia" w:ascii="仿宋_GB2312" w:hAnsi="仿宋_GB2312" w:eastAsia="仿宋_GB2312" w:cs="仿宋_GB2312"/>
          <w:sz w:val="32"/>
          <w:szCs w:val="32"/>
        </w:rPr>
        <w:t>度不健全、绩效管理质量不高、年初预算偏差过大的问题，以后将从以下几个方面加强绩效管理:</w:t>
      </w:r>
    </w:p>
    <w:p w14:paraId="6E54A75C">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是细化预算编制工作。进一步强化单位预算管理意识，严格按照预算编制的相关制度和要求，公用经费根据单位的年度工作重点和项目专项工作规划，本着“勤俭节约、保障运转”的原则进行预算的编制。编制范围尽可能的全面、完整，进一步提高预算编制的科学性、合理性、严谨性和可控性，尽最大可能减少预决算执行差异。</w:t>
      </w:r>
    </w:p>
    <w:p w14:paraId="75F743FD">
      <w:pPr>
        <w:keepNext w:val="0"/>
        <w:keepLines w:val="0"/>
        <w:pageBreakBefore w:val="0"/>
        <w:widowControl w:val="0"/>
        <w:kinsoku/>
        <w:wordWrap/>
        <w:overflowPunct/>
        <w:topLinePunct w:val="0"/>
        <w:autoSpaceDE/>
        <w:autoSpaceDN/>
        <w:bidi w:val="0"/>
        <w:adjustRightInd/>
        <w:snapToGrid w:val="0"/>
        <w:spacing w:line="560" w:lineRule="exact"/>
        <w:ind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强化绩效管理意识。进一步强化绩效理念，将绩效管理理念贯穿于资金分配到资金使用全过程，加大资金整合力度，强化专项资金管理，把有限的资金用在刀刃上，提高财政资金使用效益。同时，抓好内控制度建设，进一步降低行政成本，确保资金安全。</w:t>
      </w:r>
    </w:p>
    <w:p w14:paraId="78AEDC29">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是加强绩效制度建设。完善绩效管理和评价制度，加强预算编制的前瞻性。编制预算时充分考虑本部门的发展规划，结合上一年度预算执行情况和本年度预算收支变化因素，科学、合理地编制预算草案。</w:t>
      </w:r>
      <w:r>
        <w:rPr>
          <w:rFonts w:hint="eastAsia" w:ascii="仿宋_GB2312" w:hAnsi="仿宋_GB2312" w:eastAsia="仿宋_GB2312" w:cs="仿宋_GB2312"/>
          <w:sz w:val="32"/>
          <w:szCs w:val="32"/>
          <w:lang w:eastAsia="zh-CN"/>
        </w:rPr>
        <w:t>项目绩效评价指标设置多样化，易于实施评价。</w:t>
      </w:r>
    </w:p>
    <w:p w14:paraId="46029269">
      <w:pPr>
        <w:widowControl w:val="0"/>
        <w:wordWrap/>
        <w:adjustRightInd/>
        <w:snapToGrid w:val="0"/>
        <w:spacing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是强化绩效目标管理。把绩效目标作为项目实施的前置条件，提高资金使用的合理性和科学性。严格按各项法律、法规、规章制度执行财务核算，尽可能地做到决算与预算相互</w:t>
      </w:r>
      <w:r>
        <w:rPr>
          <w:rFonts w:hint="eastAsia" w:ascii="仿宋_GB2312" w:hAnsi="仿宋_GB2312" w:eastAsia="仿宋_GB2312" w:cs="仿宋_GB2312"/>
          <w:sz w:val="32"/>
          <w:szCs w:val="32"/>
          <w:lang w:eastAsia="zh-CN"/>
        </w:rPr>
        <w:t>衔接</w:t>
      </w:r>
      <w:bookmarkStart w:id="0" w:name="_GoBack"/>
      <w:bookmarkEnd w:id="0"/>
      <w:r>
        <w:rPr>
          <w:rFonts w:hint="eastAsia" w:ascii="仿宋_GB2312" w:hAnsi="仿宋_GB2312" w:eastAsia="仿宋_GB2312" w:cs="仿宋_GB2312"/>
          <w:sz w:val="32"/>
          <w:szCs w:val="32"/>
        </w:rPr>
        <w:t>。</w:t>
      </w:r>
    </w:p>
    <w:p w14:paraId="7A8115B4">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是加强绩效运行监管。加强重大项目的事前、事中、事后监督管理，</w:t>
      </w:r>
      <w:r>
        <w:rPr>
          <w:rFonts w:hint="eastAsia" w:ascii="仿宋_GB2312" w:hAnsi="仿宋_GB2312" w:eastAsia="仿宋_GB2312" w:cs="仿宋_GB2312"/>
          <w:sz w:val="32"/>
          <w:szCs w:val="32"/>
          <w:lang w:eastAsia="zh-CN"/>
        </w:rPr>
        <w:t>加强项目实施各部门沟通联系，</w:t>
      </w:r>
      <w:r>
        <w:rPr>
          <w:rFonts w:hint="eastAsia" w:ascii="仿宋_GB2312" w:hAnsi="仿宋_GB2312" w:eastAsia="仿宋_GB2312" w:cs="仿宋_GB2312"/>
          <w:sz w:val="32"/>
          <w:szCs w:val="32"/>
        </w:rPr>
        <w:t>将资金同项目实施质量挂钩，提升资金的使用效能。</w:t>
      </w:r>
    </w:p>
    <w:p w14:paraId="03361E3C">
      <w:pPr>
        <w:pStyle w:val="2"/>
        <w:rPr>
          <w:rFonts w:hint="eastAsia" w:ascii="仿宋_GB2312" w:hAnsi="仿宋_GB2312" w:eastAsia="仿宋_GB2312" w:cs="仿宋_GB2312"/>
          <w:sz w:val="32"/>
          <w:szCs w:val="32"/>
        </w:rPr>
      </w:pPr>
    </w:p>
    <w:p w14:paraId="28BFEA6C">
      <w:pPr>
        <w:pStyle w:val="2"/>
        <w:rPr>
          <w:rFonts w:hint="eastAsia" w:ascii="仿宋_GB2312" w:hAnsi="仿宋_GB2312" w:eastAsia="仿宋_GB2312" w:cs="仿宋_GB2312"/>
          <w:sz w:val="32"/>
          <w:szCs w:val="32"/>
        </w:rPr>
      </w:pPr>
    </w:p>
    <w:p w14:paraId="769687F3">
      <w:pPr>
        <w:pStyle w:val="2"/>
        <w:rPr>
          <w:rFonts w:hint="eastAsia" w:ascii="仿宋_GB2312" w:hAnsi="仿宋_GB2312" w:eastAsia="仿宋_GB2312" w:cs="仿宋_GB2312"/>
          <w:sz w:val="32"/>
          <w:szCs w:val="32"/>
        </w:rPr>
      </w:pPr>
    </w:p>
    <w:p w14:paraId="7B6FCCA1">
      <w:pPr>
        <w:pStyle w:val="2"/>
        <w:rPr>
          <w:rFonts w:hint="eastAsia" w:ascii="仿宋_GB2312" w:hAnsi="仿宋_GB2312" w:eastAsia="仿宋_GB2312" w:cs="仿宋_GB2312"/>
          <w:sz w:val="32"/>
          <w:szCs w:val="32"/>
        </w:rPr>
      </w:pPr>
    </w:p>
    <w:p w14:paraId="67D50D69">
      <w:pPr>
        <w:pStyle w:val="2"/>
        <w:jc w:val="righ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藁城区文化广电体育和旅游局</w:t>
      </w:r>
    </w:p>
    <w:p w14:paraId="50A28404">
      <w:pPr>
        <w:pStyle w:val="2"/>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2026年4月29日</w:t>
      </w:r>
    </w:p>
    <w:p w14:paraId="4B290373">
      <w:pPr>
        <w:pStyle w:val="2"/>
        <w:rPr>
          <w:rFonts w:hint="eastAsia" w:ascii="仿宋_GB2312" w:hAnsi="仿宋_GB2312" w:eastAsia="仿宋_GB2312" w:cs="仿宋_GB2312"/>
          <w:sz w:val="32"/>
          <w:szCs w:val="32"/>
          <w:lang w:eastAsia="zh-CN"/>
        </w:rPr>
      </w:pPr>
    </w:p>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ABEB7">
    <w:r>
      <w:rPr>
        <w:rFonts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2250" cy="153035"/>
              <wp:effectExtent l="0" t="0" r="0" b="0"/>
              <wp:wrapNone/>
              <wp:docPr id="4097" name="Quad Arrow 3073"/>
              <wp:cNvGraphicFramePr/>
              <a:graphic xmlns:a="http://schemas.openxmlformats.org/drawingml/2006/main">
                <a:graphicData uri="http://schemas.microsoft.com/office/word/2010/wordprocessingShape">
                  <wps:wsp>
                    <wps:cNvSpPr/>
                    <wps:spPr>
                      <a:xfrm>
                        <a:off x="0" y="0"/>
                        <a:ext cx="222163" cy="153339"/>
                      </a:xfrm>
                      <a:prstGeom prst="rect">
                        <a:avLst/>
                      </a:prstGeom>
                      <a:noFill/>
                      <a:ln w="9525" cap="flat" cmpd="sng">
                        <a:noFill/>
                        <a:prstDash val="solid"/>
                        <a:miter/>
                      </a:ln>
                    </wps:spPr>
                    <wps:txbx>
                      <w:txbxContent>
                        <w:p w14:paraId="708EB76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vert="horz" wrap="none" lIns="0" tIns="0" rIns="0" bIns="0" anchor="t" anchorCtr="0" upright="1">
                      <a:spAutoFit/>
                    </wps:bodyPr>
                  </wps:wsp>
                </a:graphicData>
              </a:graphic>
            </wp:anchor>
          </w:drawing>
        </mc:Choice>
        <mc:Fallback>
          <w:pict>
            <v:rect id="Quad Arrow 3073" o:spid="_x0000_s1026" o:spt="1" style="position:absolute;left:0pt;margin-top:0pt;height:12.05pt;width:17.5pt;mso-position-horizontal:center;mso-position-horizontal-relative:margin;mso-wrap-style:none;z-index:251659264;mso-width-relative:page;mso-height-relative:page;" filled="f" stroked="f" coordsize="21600,21600" o:gfxdata="UEsDBAoAAAAAAIdO4kAAAAAAAAAAAAAAAAAEAAAAZHJzL1BLAwQUAAAACACHTuJA9hets9EAAAAD&#10;AQAADwAAAGRycy9kb3ducmV2LnhtbE2PzU7DMBCE70i8g7VI3Kid8KMqxOkBqRIgLk37AG68+RH2&#10;OrLdprw9Cxe4jDSa1cy39ebinThjTFMgDcVKgUDqgp1o0HDYb+/WIFI2ZI0LhBq+MMGmub6qTWXD&#10;Qjs8t3kQXEKpMhrGnOdKytSN6E1ahRmJsz5EbzLbOEgbzcLl3slSqSfpzUS8MJoZX0bsPtuT1yD3&#10;7XZZty6q8F72H+7tdddj0Pr2plDPIDJe8t8x/OAzOjTMdAwnskk4DfxI/lXO7h/ZHTWUDwXIppb/&#10;2ZtvUEsDBBQAAAAIAIdO4kBX/u9Y/QEAAPsDAAAOAAAAZHJzL2Uyb0RvYy54bWytU8tu2zAQvBfo&#10;PxC815KlOqkFy0FQI0WBok2R5gNoirII8IVd2pL79V1KfgTpJYdcpCG5HO4Mh6u7wRp2UIDau5rP&#10;ZzlnyknfaLer+fOfh09fOMMoXCOMd6rmR4X8bv3xw6oPlSp8502jgBGJw6oPNe9iDFWWoeyUFTjz&#10;QTlabD1YEWkIu6wB0RO7NVmR5zdZ76EJ4KVCpNnNtMhPjPAWQt+2WqqNl3urXJxYQRkRSRJ2OiBf&#10;j922rZLxV9uiiszUnJTG8UuHEN6mb7ZeiWoHInRanloQb2nhlSYrtKNDL1QbEQXbg/6PymoJHn0b&#10;Z9LbbBIyOkIq5vkrb546EdSohazGcDEd349W/jw8AtNNzT/ny1vOnLB057/3omH3AL5nZX5bJpf6&#10;gBUVP4VHOI2QYJI8tGDTn8SwYXT2eHFWDZFJmiyKYn5TciZpab4oy3KZOLPr5gAYvylvWQI1B7q4&#10;0U9x+IFxKj2XpLOcf9DG0LyojGN9zZeLYkH0ggLZUhAI2kCi0O1Gmhf1iWYjsGMHQZlAb3QzpcDq&#10;qJI26so4+iXFk8aE4rAdaDHBrW+OZBq9Ieq08/CXs54SVHNHD4Yz893RBaWwnQGcwfYMhJO0sebU&#10;6AS/ximU+wB61xHvfOwbw/0+ktbRguvZp+4oE2O7p/ym0L0cj1XXN7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YXrbPRAAAAAwEAAA8AAAAAAAAAAQAgAAAAIgAAAGRycy9kb3ducmV2LnhtbFBL&#10;AQIUABQAAAAIAIdO4kBX/u9Y/QEAAPsDAAAOAAAAAAAAAAEAIAAAACABAABkcnMvZTJvRG9jLnht&#10;bFBLBQYAAAAABgAGAFkBAACPBQAAAAA=&#10;">
              <v:fill on="f" focussize="0,0"/>
              <v:stroke on="f" joinstyle="miter"/>
              <v:imagedata o:title=""/>
              <o:lock v:ext="edit" aspectratio="f"/>
              <v:textbox inset="0mm,0mm,0mm,0mm" style="mso-fit-shape-to-text:t;">
                <w:txbxContent>
                  <w:p w14:paraId="708EB76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8F382">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MzVhZTBlNDUyZWUxNDVhMjNkN2E1NjFlOTE5NDcifQ=="/>
  </w:docVars>
  <w:rsids>
    <w:rsidRoot w:val="00000000"/>
    <w:rsid w:val="0FB2072D"/>
    <w:rsid w:val="34392B1E"/>
    <w:rsid w:val="36D31B95"/>
    <w:rsid w:val="37CA74A4"/>
    <w:rsid w:val="4B7F4DEE"/>
    <w:rsid w:val="608C2868"/>
    <w:rsid w:val="646B5807"/>
    <w:rsid w:val="6A402FFC"/>
    <w:rsid w:val="6D6B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link w:val="12"/>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heading 1 Char"/>
    <w:basedOn w:val="9"/>
    <w:link w:val="3"/>
    <w:qFormat/>
    <w:uiPriority w:val="0"/>
    <w:rPr>
      <w:rFonts w:ascii="Times New Roman" w:hAnsi="Times New Roman" w:eastAsia="宋体" w:cs="Times New Roman"/>
      <w:b/>
      <w:bCs/>
      <w:kern w:val="44"/>
      <w:sz w:val="44"/>
      <w:szCs w:val="44"/>
      <w:lang w:val="en-US" w:eastAsia="zh-CN" w:bidi="ar-SA"/>
    </w:rPr>
  </w:style>
  <w:style w:type="character" w:customStyle="1" w:styleId="11">
    <w:name w:val="heading 2 Char"/>
    <w:basedOn w:val="9"/>
    <w:link w:val="4"/>
    <w:qFormat/>
    <w:uiPriority w:val="0"/>
    <w:rPr>
      <w:rFonts w:ascii="Times New Roman" w:hAnsi="Times New Roman" w:eastAsia="黑体" w:cs="Times New Roman"/>
      <w:b/>
      <w:bCs/>
      <w:kern w:val="2"/>
      <w:sz w:val="32"/>
      <w:szCs w:val="32"/>
      <w:lang w:val="en-US" w:eastAsia="zh-CN" w:bidi="ar-SA"/>
    </w:rPr>
  </w:style>
  <w:style w:type="character" w:customStyle="1" w:styleId="12">
    <w:name w:val="heading 3 Char"/>
    <w:basedOn w:val="9"/>
    <w:link w:val="5"/>
    <w:qFormat/>
    <w:uiPriority w:val="0"/>
    <w:rPr>
      <w:rFonts w:ascii="Times New Roman"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Company>
  <Pages>4</Pages>
  <Words>1521</Words>
  <Characters>1556</Characters>
  <Lines>0</Lines>
  <Paragraphs>13</Paragraphs>
  <TotalTime>67</TotalTime>
  <ScaleCrop>false</ScaleCrop>
  <LinksUpToDate>false</LinksUpToDate>
  <CharactersWithSpaces>1581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2019-11-14T00:58:00Z</dcterms:created>
  <dc:creator>user</dc:creator>
  <cp:lastModifiedBy>13323011735</cp:lastModifiedBy>
  <cp:lastPrinted>2024-03-06T07:40:00Z</cp:lastPrinted>
  <dcterms:modified xsi:type="dcterms:W3CDTF">2026-07-23T01:17:52Z</dcterms:modified>
  <dc:title>附件2：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FC3DD79B4E0B49FA893484E2A2D1C1F8_13</vt:lpwstr>
  </property>
  <property fmtid="{D5CDD505-2E9C-101B-9397-08002B2CF9AE}" pid="4" name="KSOTemplateDocerSaveRecord">
    <vt:lpwstr>eyJoZGlkIjoiZTNhMzhmNjU3NDU2YjNiYWExNDJlM2Y4YTNjMzYyNWIiLCJ1c2VySWQiOiIxNTUwMjQwMDk2In0=</vt:lpwstr>
  </property>
</Properties>
</file>