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6F42D"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35D2F401">
      <w:pPr>
        <w:snapToGrid w:val="0"/>
        <w:spacing w:beforeLines="100" w:afterLines="50" w:line="560" w:lineRule="exact"/>
        <w:jc w:val="center"/>
        <w:rPr>
          <w:rFonts w:cs="方正小标宋简体" w:asciiTheme="majorEastAsia" w:hAnsiTheme="majorEastAsia" w:eastAsiaTheme="majorEastAsia"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sz w:val="44"/>
          <w:szCs w:val="44"/>
        </w:rPr>
        <w:t>藁城区融媒体中心</w:t>
      </w:r>
    </w:p>
    <w:p w14:paraId="3448D71E">
      <w:pPr>
        <w:snapToGrid w:val="0"/>
        <w:spacing w:beforeLines="100" w:afterLines="50" w:line="560" w:lineRule="exact"/>
        <w:jc w:val="center"/>
        <w:rPr>
          <w:rFonts w:cs="方正小标宋简体" w:asciiTheme="majorEastAsia" w:hAnsiTheme="majorEastAsia" w:eastAsiaTheme="majorEastAsia"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sz w:val="44"/>
          <w:szCs w:val="44"/>
        </w:rPr>
        <w:t>2025年度整体支出绩效自评报告</w:t>
      </w:r>
    </w:p>
    <w:p w14:paraId="4FC600AE">
      <w:pPr>
        <w:pStyle w:val="5"/>
        <w:tabs>
          <w:tab w:val="left" w:pos="523"/>
        </w:tabs>
        <w:spacing w:line="60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贯彻落实区委区政府《关于全面落实预算绩效管理的实施意见》（藁发〔2019〕9号）文件精神，遵循“科学性、规范性、客观性和公正性”的原则，现对本部门2025年度整体支出情况实施财政支出绩效评价，形成本评价报告。</w:t>
      </w:r>
    </w:p>
    <w:p w14:paraId="2F501C56">
      <w:pPr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一、部门基本情况</w:t>
      </w:r>
    </w:p>
    <w:p w14:paraId="79DC7FC2">
      <w:pPr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（一）部门概况</w:t>
      </w:r>
    </w:p>
    <w:p w14:paraId="2AB77495">
      <w:pPr>
        <w:numPr>
          <w:ilvl w:val="0"/>
          <w:numId w:val="1"/>
        </w:numPr>
        <w:snapToGrid w:val="0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基本情况</w:t>
      </w:r>
    </w:p>
    <w:p w14:paraId="67122D9D">
      <w:pPr>
        <w:pStyle w:val="5"/>
        <w:tabs>
          <w:tab w:val="left" w:pos="523"/>
        </w:tabs>
        <w:spacing w:line="60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2019年，根据中共藁城区委机构编制委员会下发了《关于设立藁城区融媒体中心的通知》（藁编〔2019〕15号）,整合藁城广播电视台与藁城报社两家单位，设立藁城区融媒体中心,为区委直属事业单位，公益二类，规格正科级，经费形式为财政性资金基本保障，核定事业编制49个,编制来源为原藁城区广播电视台全额事业编制36名和原藁城报社全额事业编制13名，设主任1名(正科级),副主任2名（副科级），内设新闻采编部、新媒体部、平媒部、专题部、策划运营部、发射播出部、办公室、总编室8个部室。</w:t>
      </w:r>
    </w:p>
    <w:p w14:paraId="748561F2">
      <w:pPr>
        <w:numPr>
          <w:ilvl w:val="0"/>
          <w:numId w:val="1"/>
        </w:numPr>
        <w:snapToGrid w:val="0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部门职责</w:t>
      </w:r>
    </w:p>
    <w:p w14:paraId="68F95CCD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负责区域内各类新闻资讯的采集和编辑;宣传上级党委的决策部署,中心工作及重点工作,宣传本地党委和政府工作安排,传播本地政经资讯;向基层干部群众提供政务服务、生活服务、社会传播、教育培训等综合服务。</w:t>
      </w:r>
    </w:p>
    <w:p w14:paraId="6DAFE287">
      <w:pPr>
        <w:pStyle w:val="14"/>
        <w:rPr>
          <w:rFonts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ascii="仿宋" w:hAnsi="仿宋" w:eastAsia="仿宋" w:cs="仿宋"/>
          <w:kern w:val="2"/>
          <w:sz w:val="32"/>
          <w:szCs w:val="32"/>
          <w:lang w:eastAsia="zh-CN"/>
        </w:rPr>
        <w:t>（二）加快推进藁城区广电媒体和新媒体的全面融合。</w:t>
      </w:r>
    </w:p>
    <w:p w14:paraId="561D295A">
      <w:pPr>
        <w:pStyle w:val="14"/>
        <w:rPr>
          <w:rFonts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ascii="仿宋" w:hAnsi="仿宋" w:eastAsia="仿宋" w:cs="仿宋"/>
          <w:kern w:val="2"/>
          <w:sz w:val="32"/>
          <w:szCs w:val="32"/>
          <w:lang w:eastAsia="zh-CN"/>
        </w:rPr>
        <w:t>（三）将融媒体中心打造成“资源通融、内容兼容、宣传互融、利益共融”的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新兴媒体</w:t>
      </w:r>
      <w:r>
        <w:rPr>
          <w:rFonts w:ascii="仿宋" w:hAnsi="仿宋" w:eastAsia="仿宋" w:cs="仿宋"/>
          <w:kern w:val="2"/>
          <w:sz w:val="32"/>
          <w:szCs w:val="32"/>
          <w:lang w:eastAsia="zh-CN"/>
        </w:rPr>
        <w:t>平台，做大做强主流媒体，从而聚集起海量用户。</w:t>
      </w:r>
    </w:p>
    <w:p w14:paraId="2F6D5DEE">
      <w:pPr>
        <w:pStyle w:val="14"/>
        <w:rPr>
          <w:rFonts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ascii="仿宋" w:hAnsi="仿宋" w:eastAsia="仿宋" w:cs="仿宋"/>
          <w:kern w:val="2"/>
          <w:sz w:val="32"/>
          <w:szCs w:val="32"/>
          <w:lang w:eastAsia="zh-CN"/>
        </w:rPr>
        <w:t>（四）为现代传播体系的形成打下良好基础，不断提高藁城融媒体中心新闻舆论的传播力、引导力、影响力、公信力；通过讲好藁城故事，进一步提升藁城对外的知名度和美誉度。</w:t>
      </w:r>
    </w:p>
    <w:p w14:paraId="4C6366FD">
      <w:pPr>
        <w:pStyle w:val="14"/>
        <w:rPr>
          <w:rFonts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ascii="仿宋" w:hAnsi="仿宋" w:eastAsia="仿宋" w:cs="仿宋"/>
          <w:kern w:val="2"/>
          <w:sz w:val="32"/>
          <w:szCs w:val="32"/>
          <w:lang w:eastAsia="zh-CN"/>
        </w:rPr>
        <w:t>（五）贯彻落实党的宣传、创作方针政策，加强本区电视、网络新媒体阵地管理，把握正确的舆论导向和创作导向。</w:t>
      </w:r>
    </w:p>
    <w:p w14:paraId="277E6926">
      <w:pPr>
        <w:pStyle w:val="14"/>
        <w:rPr>
          <w:rFonts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ascii="仿宋" w:hAnsi="仿宋" w:eastAsia="仿宋" w:cs="仿宋"/>
          <w:kern w:val="2"/>
          <w:sz w:val="32"/>
          <w:szCs w:val="32"/>
          <w:lang w:eastAsia="zh-CN"/>
        </w:rPr>
        <w:t>（六）完成区委、区政府交办的其他任务。</w:t>
      </w:r>
    </w:p>
    <w:p w14:paraId="76043574">
      <w:pPr>
        <w:snapToGrid w:val="0"/>
        <w:spacing w:line="56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3、内设股室及人员数量</w:t>
      </w:r>
    </w:p>
    <w:p w14:paraId="16552336">
      <w:pPr>
        <w:pStyle w:val="14"/>
        <w:rPr>
          <w:rFonts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经区委编委会研究，藁城区融媒体中心设有办公室、总编室、新闻采编部、发射播出部、策划运营部、新媒体部、平媒部8个内设股室。截至2025年年底我单位在职人数为41人，其中中层人员8人，劳务派遣人员5人，截止年底临聘人员4名，有线电视台19名自收自支人员作为下属单位人员，也挂靠在融媒体中心。</w:t>
      </w:r>
      <w:bookmarkStart w:id="0" w:name="_GoBack"/>
      <w:bookmarkEnd w:id="0"/>
    </w:p>
    <w:p w14:paraId="781F035B">
      <w:pPr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（二）部门收支预决算情况</w:t>
      </w:r>
    </w:p>
    <w:p w14:paraId="6FC64AB2"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 2025年预算收入金额：22354795.89元，预算支出金额：22354795.89元。</w:t>
      </w:r>
    </w:p>
    <w:p w14:paraId="241D43BF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2025年决算收入金额：19863037.13元，决算支出金额：19863037.13元,其中</w:t>
      </w:r>
      <w:r>
        <w:rPr>
          <w:rFonts w:hint="eastAsia" w:ascii="仿宋" w:hAnsi="仿宋" w:eastAsia="仿宋" w:cs="仿宋"/>
          <w:sz w:val="32"/>
          <w:szCs w:val="32"/>
        </w:rPr>
        <w:t>项目支出12168266.86元。</w:t>
      </w:r>
    </w:p>
    <w:p w14:paraId="4ACCB1E9">
      <w:pPr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（三）部门整体支出绩效目标、指标</w:t>
      </w:r>
    </w:p>
    <w:p w14:paraId="1E085595">
      <w:pPr>
        <w:snapToGrid w:val="0"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坚持以习近平新时代中国特色社会主义思想为指导，围绕融媒体自身特点，确定“新、智、融、监”职能定位，坚持守正创新，围绕全区工作大局</w:t>
      </w:r>
      <w:r>
        <w:rPr>
          <w:rFonts w:ascii="仿宋" w:hAnsi="仿宋" w:eastAsia="仿宋" w:cs="宋体"/>
          <w:kern w:val="0"/>
          <w:sz w:val="32"/>
          <w:szCs w:val="32"/>
        </w:rPr>
        <w:t>,</w:t>
      </w:r>
      <w:r>
        <w:rPr>
          <w:rFonts w:hint="eastAsia" w:ascii="仿宋" w:hAnsi="仿宋" w:eastAsia="仿宋" w:cs="宋体"/>
          <w:kern w:val="0"/>
          <w:sz w:val="32"/>
          <w:szCs w:val="32"/>
        </w:rPr>
        <w:t>统筹广播、新媒体、电视宣传工作，切实加强意识形态管理；做优“智慧融媒体”，构建全媒体传播格局，着力推进各媒体深度融合发展；做强“法治融媒体”，做好“综合融媒体”，繁荣广播电视和网络视听节目精品创作生产；加快优化升级，加快推进藁城区原有纸媒、广电媒体和新媒体的全面融合，加快优化升级，提升融媒体中心公共服务能力和水平。积极履职尽责，勇于担当作为、锐意改革创新，向基层干部群众提供政务服务、生活服务、社会传播、教育培训等综合服务，不断提高藁城融媒体中心新闻舆论的传播力、引导力、影响力、公信力；通过讲好藁城故事，进一步提升藁城对外的知名度和美誉度。</w:t>
      </w:r>
    </w:p>
    <w:p w14:paraId="4566AD38">
      <w:pPr>
        <w:numPr>
          <w:ilvl w:val="0"/>
          <w:numId w:val="2"/>
        </w:numPr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自评工作开展情况</w:t>
      </w:r>
    </w:p>
    <w:p w14:paraId="75EC354C">
      <w:pPr>
        <w:snapToGrid w:val="0"/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（一）自评的组织工作</w:t>
      </w:r>
    </w:p>
    <w:p w14:paraId="4BC8301B">
      <w:pPr>
        <w:snapToGrid w:val="0"/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确保绩效自评工作规范有序开展，我单位高度重视，严格执行省、市、区绩效管理工作有关规定，由主要领导牵头、相关业务科室及财务人员共同参与绩效评价工作，明确职责分工、压实工作责任，进一步规范财政资金管理，强化财政支出绩效理念，提升部门责任意识，提高资金使用效益，切实提升绩效管理水平。</w:t>
      </w:r>
    </w:p>
    <w:p w14:paraId="26DB90DF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（二）自评的方法和过程</w:t>
      </w:r>
    </w:p>
    <w:p w14:paraId="2FA8E3C4">
      <w:pPr>
        <w:snapToGrid w:val="0"/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根据绩效评价的要求，成立了自评工作领导小组，对照自评方案进行研究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部署</w:t>
      </w:r>
      <w:r>
        <w:rPr>
          <w:rFonts w:hint="eastAsia" w:ascii="仿宋" w:hAnsi="仿宋" w:eastAsia="仿宋" w:cs="仿宋_GB2312"/>
          <w:sz w:val="32"/>
          <w:szCs w:val="32"/>
        </w:rPr>
        <w:t>，党组成员及各股室全程参与，按照自评方案的要求，对照各实施项目的内容逐条逐项自评，及时发现问题，查找原因，纠正偏差，为下一步工作夯实基础。</w:t>
      </w:r>
    </w:p>
    <w:p w14:paraId="6E665CA1">
      <w:pPr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三、部门整体支出绩效目标实现情况及指标分析</w:t>
      </w:r>
    </w:p>
    <w:p w14:paraId="31BF5AA7">
      <w:pPr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（一）总体绩效目标实现情况</w:t>
      </w:r>
    </w:p>
    <w:p w14:paraId="2E7D3ED5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2025年我单位较高效率的使用了各项资金，基本完成了项目的绩效目标，基本完成了一事一议，会计监督检查、评审中心评审等工作，项目综合评价为优秀。</w:t>
      </w:r>
    </w:p>
    <w:p w14:paraId="277E170E">
      <w:pPr>
        <w:spacing w:line="56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（二）分项绩效目标实现情况及指标分析</w:t>
      </w:r>
    </w:p>
    <w:p w14:paraId="31FE7CC5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解决广电大楼遗留问题资金（2024），2025年该项目预算</w:t>
      </w:r>
      <w:r>
        <w:rPr>
          <w:rFonts w:ascii="仿宋" w:hAnsi="仿宋" w:eastAsia="仿宋" w:cs="仿宋"/>
          <w:sz w:val="32"/>
          <w:szCs w:val="32"/>
        </w:rPr>
        <w:t>794.429589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</w:t>
      </w:r>
    </w:p>
    <w:p w14:paraId="2112CB61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2025年度取暖费，2025年该项目预算</w:t>
      </w:r>
      <w:r>
        <w:rPr>
          <w:rFonts w:ascii="仿宋" w:hAnsi="仿宋" w:eastAsia="仿宋" w:cs="仿宋"/>
          <w:sz w:val="32"/>
          <w:szCs w:val="32"/>
        </w:rPr>
        <w:t>7.75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万元，预算执行率100%，资金到位率100%。</w:t>
      </w:r>
    </w:p>
    <w:p w14:paraId="37690578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电视台自收自支人员项目（追加经费），2025年该项目预算</w:t>
      </w:r>
      <w:r>
        <w:rPr>
          <w:rFonts w:ascii="仿宋" w:hAnsi="仿宋" w:eastAsia="仿宋" w:cs="仿宋"/>
          <w:sz w:val="32"/>
          <w:szCs w:val="32"/>
        </w:rPr>
        <w:t>14.621011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万元，预算执行率100%，资金到位率100%。</w:t>
      </w:r>
    </w:p>
    <w:p w14:paraId="2924DEE2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4.劳务派遣人员经费，2025年该项目预算</w:t>
      </w:r>
      <w:r>
        <w:rPr>
          <w:rFonts w:ascii="仿宋" w:hAnsi="仿宋" w:eastAsia="仿宋" w:cs="仿宋"/>
          <w:sz w:val="32"/>
          <w:szCs w:val="32"/>
        </w:rPr>
        <w:t>27.180276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万元，预算执行率100%，资金到位率100%。</w:t>
      </w:r>
    </w:p>
    <w:p w14:paraId="72F597F6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5.电视台运行费，2025年该项目预算</w:t>
      </w:r>
      <w:r>
        <w:rPr>
          <w:rFonts w:ascii="仿宋" w:hAnsi="仿宋" w:eastAsia="仿宋" w:cs="仿宋"/>
          <w:sz w:val="32"/>
          <w:szCs w:val="32"/>
        </w:rPr>
        <w:t>23.11333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万元，预算执行率100%，资金到位率100%。</w:t>
      </w:r>
    </w:p>
    <w:p w14:paraId="4737FB28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6.融媒体中心办公经费，2025年该项目预算</w:t>
      </w:r>
      <w:r>
        <w:rPr>
          <w:rFonts w:ascii="仿宋" w:hAnsi="仿宋" w:eastAsia="仿宋" w:cs="仿宋"/>
          <w:sz w:val="32"/>
          <w:szCs w:val="32"/>
        </w:rPr>
        <w:t>44.23248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万元，预算执行率100%，资金到位率100%。</w:t>
      </w:r>
    </w:p>
    <w:p w14:paraId="3379320B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7.电视台自收自支人员经费，2025年该项目预算</w:t>
      </w:r>
      <w:r>
        <w:rPr>
          <w:rFonts w:ascii="仿宋" w:hAnsi="仿宋" w:eastAsia="仿宋" w:cs="仿宋"/>
          <w:sz w:val="32"/>
          <w:szCs w:val="32"/>
        </w:rPr>
        <w:t>305.5</w:t>
      </w:r>
      <w:r>
        <w:rPr>
          <w:rFonts w:hint="eastAsia" w:ascii="仿宋" w:hAnsi="仿宋" w:eastAsia="仿宋" w:cs="仿宋"/>
          <w:sz w:val="32"/>
          <w:szCs w:val="32"/>
        </w:rPr>
        <w:t>万元，预算执行率100%，资金到位率100%。</w:t>
      </w:r>
    </w:p>
    <w:p w14:paraId="6BF089BA">
      <w:pPr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四、评价结论和评价等级</w:t>
      </w:r>
    </w:p>
    <w:p w14:paraId="6E44C4DB">
      <w:pPr>
        <w:pStyle w:val="16"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 w:cs="仿宋_GB2312"/>
          <w:sz w:val="32"/>
          <w:szCs w:val="32"/>
        </w:rPr>
        <w:t>通过2025年绩效自评，2025年年初绩效目标设定质量较好，绩效目标设定比较清晰准确，绩效指标比较全面完整、科学合理，绩效标准比较恰当适宜、易于评价。</w:t>
      </w:r>
      <w:r>
        <w:rPr>
          <w:rFonts w:hint="eastAsia" w:ascii="仿宋" w:hAnsi="仿宋" w:eastAsia="仿宋" w:cs="仿宋"/>
          <w:sz w:val="32"/>
          <w:szCs w:val="32"/>
        </w:rPr>
        <w:t>我部门专项资金到位率和支出率达到90%以上，各项目的预期绩效目标完成率在85%以上，评价结果为优秀。</w:t>
      </w:r>
    </w:p>
    <w:p w14:paraId="6B21B05B">
      <w:pPr>
        <w:pStyle w:val="15"/>
        <w:numPr>
          <w:ilvl w:val="0"/>
          <w:numId w:val="3"/>
        </w:numPr>
        <w:snapToGrid w:val="0"/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存在的问题及改进措施</w:t>
      </w:r>
    </w:p>
    <w:p w14:paraId="3DEF5E99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（一）存在的主要问题</w:t>
      </w:r>
    </w:p>
    <w:p w14:paraId="724C7FE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2025年，我单位严格按照预算项目绩效自评管理办法，及时开展项目落实，为全年工作的开展提供了保障，但还是存在绩效制度不健全、绩效管理质量不高的问题</w:t>
      </w:r>
    </w:p>
    <w:p w14:paraId="25CFA71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（二）针对问题提出具体的改进措施或建议</w:t>
      </w:r>
    </w:p>
    <w:p w14:paraId="44233897">
      <w:pPr>
        <w:numPr>
          <w:ilvl w:val="0"/>
          <w:numId w:val="4"/>
        </w:numPr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加强绩效制度建设。完善绩效管理和评价管理，加强预算编制的前瞻性。</w:t>
      </w:r>
    </w:p>
    <w:p w14:paraId="377F5C9B">
      <w:pPr>
        <w:numPr>
          <w:ilvl w:val="0"/>
          <w:numId w:val="4"/>
        </w:numPr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强化绩效目标管理。</w:t>
      </w:r>
    </w:p>
    <w:p w14:paraId="25FB6EB3">
      <w:pPr>
        <w:numPr>
          <w:ilvl w:val="0"/>
          <w:numId w:val="4"/>
        </w:numPr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加强绩效运行监管。</w:t>
      </w:r>
    </w:p>
    <w:p w14:paraId="67D24E31">
      <w:pPr>
        <w:numPr>
          <w:ilvl w:val="0"/>
          <w:numId w:val="4"/>
        </w:numPr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根据中心实际情况制定收费项目下年度预算数。</w:t>
      </w:r>
    </w:p>
    <w:p w14:paraId="780F0A7E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精准编制预算，严格按照政策标准，优化支出结构，加快工作进度，提高预算编制的科学化精细化水平，根据中心实际情况严格制定下年度年初预算。</w:t>
      </w:r>
    </w:p>
    <w:p w14:paraId="01E29C54">
      <w:pPr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0040159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70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A8AD46-7C73-458C-95FB-3CD30745B7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8BA8EFFE-9F89-446C-830C-7F045A348E8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709DBDC-FD61-41C8-AA69-0E1CFBE06EF8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F729DAF1-84A0-410C-8E9E-1EC812238E9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1226964-2789-4ACD-975E-FC93FFA38AD7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6" w:fontKey="{DFEC5A3D-5993-47BD-82A2-AA39F4FFA9F9}"/>
  </w:font>
  <w:font w:name="国标宋体">
    <w:altName w:val="宋体"/>
    <w:panose1 w:val="00000000000000000000"/>
    <w:charset w:val="86"/>
    <w:family w:val="auto"/>
    <w:pitch w:val="default"/>
    <w:sig w:usb0="00000000" w:usb1="00000000" w:usb2="00000000" w:usb3="00000000" w:csb0="00060007" w:csb1="00000000"/>
    <w:embedRegular r:id="rId7" w:fontKey="{DFEE9F82-4F0F-4911-99D2-3B25C8185BA7}"/>
  </w:font>
  <w:font w:name="hakuyoxingshu7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12C81"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85CBDB3">
                <w:pPr>
                  <w:pStyle w:val="6"/>
                  <w:rPr>
                    <w:rFonts w:ascii="国标宋体" w:hAnsi="国标宋体" w:eastAsia="国标宋体" w:cs="国标宋体"/>
                    <w:sz w:val="28"/>
                    <w:szCs w:val="28"/>
                  </w:rPr>
                </w:pP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国标宋体" w:hAnsi="国标宋体" w:eastAsia="国标宋体" w:cs="国标宋体"/>
                    <w:sz w:val="28"/>
                    <w:szCs w:val="28"/>
                  </w:rPr>
                  <w:t>- 6 -</w:t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9699D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0822F"/>
    <w:multiLevelType w:val="singleLevel"/>
    <w:tmpl w:val="98E082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D7F831"/>
    <w:multiLevelType w:val="singleLevel"/>
    <w:tmpl w:val="0DD7F831"/>
    <w:lvl w:ilvl="0" w:tentative="0">
      <w:start w:val="1"/>
      <w:numFmt w:val="decimal"/>
      <w:suff w:val="nothing"/>
      <w:lvlText w:val="%1、"/>
      <w:lvlJc w:val="left"/>
      <w:pPr>
        <w:ind w:left="-10"/>
      </w:pPr>
    </w:lvl>
  </w:abstractNum>
  <w:abstractNum w:abstractNumId="2">
    <w:nsid w:val="28EB73C1"/>
    <w:multiLevelType w:val="multilevel"/>
    <w:tmpl w:val="28EB73C1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585031D0"/>
    <w:multiLevelType w:val="multilevel"/>
    <w:tmpl w:val="585031D0"/>
    <w:lvl w:ilvl="0" w:tentative="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E2ZDVhYjFkNzNmZjA0ZTExM2M2ODcxZGVjNWRjNGEifQ=="/>
  </w:docVars>
  <w:rsids>
    <w:rsidRoot w:val="00AD345B"/>
    <w:rsid w:val="00096E99"/>
    <w:rsid w:val="001F736F"/>
    <w:rsid w:val="002B1BC6"/>
    <w:rsid w:val="0051058E"/>
    <w:rsid w:val="008757C9"/>
    <w:rsid w:val="00884DA7"/>
    <w:rsid w:val="00944269"/>
    <w:rsid w:val="00A245AA"/>
    <w:rsid w:val="00A63186"/>
    <w:rsid w:val="00A640BE"/>
    <w:rsid w:val="00AA1640"/>
    <w:rsid w:val="00AD345B"/>
    <w:rsid w:val="00AE41E6"/>
    <w:rsid w:val="00AE5C9C"/>
    <w:rsid w:val="00CE1ECF"/>
    <w:rsid w:val="00F626AB"/>
    <w:rsid w:val="02B1196D"/>
    <w:rsid w:val="134F6B82"/>
    <w:rsid w:val="13955CCA"/>
    <w:rsid w:val="27EF5A03"/>
    <w:rsid w:val="2FE353D3"/>
    <w:rsid w:val="3136549F"/>
    <w:rsid w:val="3DDE37D0"/>
    <w:rsid w:val="3FFFD1B0"/>
    <w:rsid w:val="5366C1BB"/>
    <w:rsid w:val="58B8456C"/>
    <w:rsid w:val="5CFEBA53"/>
    <w:rsid w:val="5E2FC5CB"/>
    <w:rsid w:val="67F39597"/>
    <w:rsid w:val="69206851"/>
    <w:rsid w:val="796C4B79"/>
    <w:rsid w:val="7C7B0145"/>
    <w:rsid w:val="BB8F3284"/>
    <w:rsid w:val="BF67F3AE"/>
    <w:rsid w:val="D6D9CE45"/>
    <w:rsid w:val="DFF756FC"/>
    <w:rsid w:val="E5F21BF3"/>
    <w:rsid w:val="EFFE328E"/>
    <w:rsid w:val="F39982A8"/>
    <w:rsid w:val="F8FE090C"/>
    <w:rsid w:val="F9BE4E02"/>
    <w:rsid w:val="FEDFBD95"/>
    <w:rsid w:val="FF7D6198"/>
    <w:rsid w:val="FFF9E569"/>
    <w:rsid w:val="FFFD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4">
    <w:name w:val="heading 3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3"/>
    <w:autoRedefine/>
    <w:qFormat/>
    <w:uiPriority w:val="0"/>
    <w:pPr>
      <w:ind w:firstLine="480" w:firstLineChars="200"/>
    </w:pPr>
    <w:rPr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标题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标题 3 Char"/>
    <w:basedOn w:val="9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正文文本缩进 Char"/>
    <w:basedOn w:val="9"/>
    <w:link w:val="5"/>
    <w:qFormat/>
    <w:uiPriority w:val="0"/>
    <w:rPr>
      <w:rFonts w:cs="Times New Roman"/>
      <w:kern w:val="2"/>
      <w:sz w:val="24"/>
      <w:szCs w:val="24"/>
    </w:rPr>
  </w:style>
  <w:style w:type="paragraph" w:customStyle="1" w:styleId="14">
    <w:name w:val="插入文本样式-插入部门职责文件"/>
    <w:basedOn w:val="1"/>
    <w:autoRedefine/>
    <w:qFormat/>
    <w:uiPriority w:val="0"/>
    <w:pPr>
      <w:widowControl/>
      <w:spacing w:line="500" w:lineRule="exact"/>
      <w:ind w:firstLine="560"/>
      <w:jc w:val="left"/>
    </w:pPr>
    <w:rPr>
      <w:rFonts w:eastAsia="方正仿宋_GBK"/>
      <w:kern w:val="0"/>
      <w:sz w:val="28"/>
      <w:lang w:eastAsia="uk-UA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Body Text First Indent 21"/>
    <w:basedOn w:val="1"/>
    <w:qFormat/>
    <w:uiPriority w:val="0"/>
    <w:pPr>
      <w:spacing w:line="360" w:lineRule="auto"/>
      <w:ind w:firstLine="420" w:firstLineChars="200"/>
      <w:textAlignment w:val="baseline"/>
    </w:pPr>
    <w:rPr>
      <w:rFonts w:ascii="Calibri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2298</Words>
  <Characters>2520</Characters>
  <Lines>18</Lines>
  <Paragraphs>5</Paragraphs>
  <TotalTime>117</TotalTime>
  <ScaleCrop>false</ScaleCrop>
  <LinksUpToDate>false</LinksUpToDate>
  <CharactersWithSpaces>2524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2019-11-15T08:58:00Z</dcterms:created>
  <dc:creator>user</dc:creator>
  <cp:lastModifiedBy>13323011735</cp:lastModifiedBy>
  <cp:lastPrinted>2026-03-31T08:47:00Z</cp:lastPrinted>
  <dcterms:modified xsi:type="dcterms:W3CDTF">2026-06-26T09:08:54Z</dcterms:modified>
  <dc:title>附件2：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28C64EFCB758481798A31117B3E7B5E3</vt:lpwstr>
  </property>
  <property fmtid="{D5CDD505-2E9C-101B-9397-08002B2CF9AE}" pid="4" name="KSOTemplateDocerSaveRecord">
    <vt:lpwstr>eyJoZGlkIjoiZTNhMzhmNjU3NDU2YjNiYWExNDJlM2Y4YTNjMzYyNWIiLCJ1c2VySWQiOiIxNTUwMjQwMDk2In0=</vt:lpwstr>
  </property>
</Properties>
</file>