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3614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009FB2BA">
      <w:pPr>
        <w:keepNext w:val="0"/>
        <w:keepLines w:val="0"/>
        <w:pageBreakBefore w:val="0"/>
        <w:widowControl w:val="0"/>
        <w:kinsoku/>
        <w:wordWrap/>
        <w:overflowPunct/>
        <w:topLinePunct w:val="0"/>
        <w:autoSpaceDE/>
        <w:autoSpaceDN/>
        <w:bidi w:val="0"/>
        <w:adjustRightInd/>
        <w:snapToGrid w:val="0"/>
        <w:spacing w:line="560" w:lineRule="exact"/>
        <w:ind w:left="0" w:right="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藁城区委宣传部部门</w:t>
      </w:r>
    </w:p>
    <w:p w14:paraId="41D5C79C">
      <w:pPr>
        <w:keepNext w:val="0"/>
        <w:keepLines w:val="0"/>
        <w:pageBreakBefore w:val="0"/>
        <w:widowControl w:val="0"/>
        <w:kinsoku/>
        <w:wordWrap/>
        <w:overflowPunct/>
        <w:topLinePunct w:val="0"/>
        <w:autoSpaceDE/>
        <w:autoSpaceDN/>
        <w:bidi w:val="0"/>
        <w:adjustRightInd/>
        <w:snapToGrid w:val="0"/>
        <w:spacing w:line="560" w:lineRule="exact"/>
        <w:ind w:left="0" w:right="0"/>
        <w:jc w:val="center"/>
        <w:textAlignment w:val="auto"/>
        <w:outlineLvl w:val="9"/>
        <w:rPr>
          <w:rFonts w:hint="eastAsia" w:ascii="方正小标宋_GBK" w:hAnsi="方正小标宋_GBK" w:eastAsia="方正小标宋_GBK" w:cs="方正小标宋_GBK"/>
          <w:b/>
          <w:bCs/>
          <w:sz w:val="44"/>
          <w:szCs w:val="44"/>
        </w:rPr>
      </w:pPr>
      <w:r>
        <w:rPr>
          <w:rFonts w:hint="eastAsia" w:ascii="方正小标宋简体" w:hAnsi="方正小标宋简体" w:eastAsia="方正小标宋简体" w:cs="方正小标宋简体"/>
          <w:b w:val="0"/>
          <w:bCs w:val="0"/>
          <w:sz w:val="44"/>
          <w:szCs w:val="44"/>
          <w:lang w:val="en-US" w:eastAsia="zh-CN"/>
        </w:rPr>
        <w:t>2025年度</w:t>
      </w:r>
      <w:r>
        <w:rPr>
          <w:rFonts w:hint="eastAsia" w:ascii="方正小标宋简体" w:hAnsi="方正小标宋简体" w:eastAsia="方正小标宋简体" w:cs="方正小标宋简体"/>
          <w:b w:val="0"/>
          <w:bCs w:val="0"/>
          <w:sz w:val="44"/>
          <w:szCs w:val="44"/>
        </w:rPr>
        <w:t>整体支出绩效自评报告</w:t>
      </w:r>
    </w:p>
    <w:p w14:paraId="5DBEE324">
      <w:pPr>
        <w:keepNext w:val="0"/>
        <w:keepLines w:val="0"/>
        <w:pageBreakBefore w:val="0"/>
        <w:widowControl w:val="0"/>
        <w:kinsoku/>
        <w:wordWrap/>
        <w:overflowPunct/>
        <w:topLinePunct w:val="0"/>
        <w:autoSpaceDE/>
        <w:autoSpaceDN/>
        <w:bidi w:val="0"/>
        <w:adjustRightInd/>
        <w:snapToGrid w:val="0"/>
        <w:spacing w:line="560" w:lineRule="exact"/>
        <w:ind w:left="0" w:right="0"/>
        <w:jc w:val="center"/>
        <w:textAlignment w:val="auto"/>
        <w:outlineLvl w:val="9"/>
        <w:rPr>
          <w:rFonts w:hint="eastAsia" w:ascii="仿宋_GB2312" w:hAnsi="仿宋_GB2312" w:eastAsia="仿宋_GB2312" w:cs="仿宋_GB2312"/>
          <w:sz w:val="32"/>
          <w:szCs w:val="32"/>
        </w:rPr>
      </w:pPr>
    </w:p>
    <w:p w14:paraId="5B69A4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为贯彻落实</w:t>
      </w:r>
      <w:r>
        <w:rPr>
          <w:rFonts w:hint="eastAsia" w:ascii="仿宋_GB2312" w:hAnsi="仿宋_GB2312" w:eastAsia="仿宋_GB2312" w:cs="仿宋_GB2312"/>
          <w:sz w:val="32"/>
          <w:szCs w:val="32"/>
          <w:highlight w:val="none"/>
          <w:lang w:eastAsia="zh-CN"/>
        </w:rPr>
        <w:t>区委区政府</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关于全面落实预算绩效管理的实施意见</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藁发</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2019</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号）</w:t>
      </w:r>
      <w:r>
        <w:rPr>
          <w:rFonts w:hint="eastAsia" w:ascii="仿宋_GB2312" w:hAnsi="仿宋_GB2312" w:eastAsia="仿宋_GB2312" w:cs="仿宋_GB2312"/>
          <w:sz w:val="32"/>
          <w:szCs w:val="32"/>
          <w:highlight w:val="none"/>
          <w:lang w:eastAsia="zh-CN"/>
        </w:rPr>
        <w:t>文件精神</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遵循“科学性、规范性、客观性和公正性”的原</w:t>
      </w:r>
      <w:r>
        <w:rPr>
          <w:rFonts w:hint="eastAsia" w:ascii="仿宋_GB2312" w:hAnsi="仿宋_GB2312" w:eastAsia="仿宋_GB2312" w:cs="仿宋_GB2312"/>
          <w:sz w:val="32"/>
          <w:szCs w:val="32"/>
          <w:highlight w:val="none"/>
          <w:lang w:eastAsia="zh-CN"/>
        </w:rPr>
        <w:t>则，现对本部门202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年度整体支出情况实施财政支出绩效评价，形成本评价报告。</w:t>
      </w:r>
    </w:p>
    <w:p w14:paraId="0A8B40AA">
      <w:pPr>
        <w:keepNext w:val="0"/>
        <w:keepLines w:val="0"/>
        <w:pageBreakBefore w:val="0"/>
        <w:widowControl w:val="0"/>
        <w:kinsoku/>
        <w:wordWrap/>
        <w:overflowPunct/>
        <w:topLinePunct w:val="0"/>
        <w:autoSpaceDE/>
        <w:autoSpaceDN/>
        <w:bidi w:val="0"/>
        <w:adjustRightInd/>
        <w:snapToGrid w:val="0"/>
        <w:spacing w:line="560" w:lineRule="exact"/>
        <w:ind w:right="0"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部门基本情况</w:t>
      </w:r>
    </w:p>
    <w:p w14:paraId="0BF24C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（一）部门概况</w:t>
      </w:r>
    </w:p>
    <w:p w14:paraId="2F58B176">
      <w:pPr>
        <w:widowControl w:val="0"/>
        <w:wordWrap/>
        <w:adjustRightInd/>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i w:val="0"/>
          <w:iCs w:val="0"/>
          <w:caps w:val="0"/>
          <w:color w:val="000000"/>
          <w:spacing w:val="0"/>
          <w:sz w:val="32"/>
          <w:szCs w:val="32"/>
          <w:lang w:val="en-US" w:eastAsia="zh-CN"/>
        </w:rPr>
        <w:t>中共石家庄市藁城区委员会宣传部为区委主管意识形态方面工作的职能部门，</w:t>
      </w:r>
      <w:r>
        <w:rPr>
          <w:rFonts w:hint="eastAsia" w:ascii="仿宋_GB2312" w:hAnsi="仿宋_GB2312" w:eastAsia="仿宋_GB2312" w:cs="仿宋_GB2312"/>
          <w:i w:val="0"/>
          <w:iCs w:val="0"/>
          <w:caps w:val="0"/>
          <w:color w:val="000000"/>
          <w:spacing w:val="0"/>
          <w:sz w:val="32"/>
          <w:szCs w:val="32"/>
        </w:rPr>
        <w:t>设有办公室、理论教育股、新闻股、宣传股、外宣股、文明创建股、国防教育办公室等股室，下辖股级事业单位藁城区新时代文明实践指导中心。</w:t>
      </w:r>
      <w:r>
        <w:rPr>
          <w:rFonts w:hint="eastAsia" w:ascii="仿宋_GB2312" w:hAnsi="仿宋_GB2312" w:eastAsia="仿宋_GB2312" w:cs="仿宋_GB2312"/>
          <w:i w:val="0"/>
          <w:iCs w:val="0"/>
          <w:caps w:val="0"/>
          <w:color w:val="000000"/>
          <w:spacing w:val="0"/>
          <w:sz w:val="32"/>
          <w:szCs w:val="32"/>
          <w:lang w:eastAsia="zh-CN"/>
        </w:rPr>
        <w:t>分管事业单位梅花惨案纪念馆。</w:t>
      </w:r>
      <w:r>
        <w:rPr>
          <w:rFonts w:hint="eastAsia" w:ascii="仿宋_GB2312" w:hAnsi="仿宋_GB2312" w:eastAsia="仿宋_GB2312" w:cs="仿宋_GB2312"/>
          <w:i w:val="0"/>
          <w:iCs w:val="0"/>
          <w:caps w:val="0"/>
          <w:color w:val="000000"/>
          <w:spacing w:val="0"/>
          <w:sz w:val="32"/>
          <w:szCs w:val="32"/>
          <w:lang w:val="en-US" w:eastAsia="zh-CN"/>
        </w:rPr>
        <w:t>部门收入全部为财政资金，我部门严格按照财政收支管理规定全部支出专项资金。</w:t>
      </w:r>
    </w:p>
    <w:p w14:paraId="7EE058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（二）部门收支预决算情况</w:t>
      </w:r>
    </w:p>
    <w:p w14:paraId="630227F2">
      <w:pPr>
        <w:widowControl w:val="0"/>
        <w:wordWrap/>
        <w:adjustRightInd/>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年预算收入</w:t>
      </w:r>
      <w:r>
        <w:rPr>
          <w:rFonts w:hint="eastAsia" w:ascii="仿宋_GB2312" w:hAnsi="仿宋_GB2312" w:eastAsia="仿宋_GB2312" w:cs="仿宋_GB2312"/>
          <w:sz w:val="32"/>
          <w:szCs w:val="32"/>
          <w:lang w:val="en-US" w:eastAsia="zh-CN"/>
        </w:rPr>
        <w:t>873.09</w:t>
      </w:r>
      <w:r>
        <w:rPr>
          <w:rFonts w:hint="eastAsia" w:ascii="仿宋_GB2312" w:hAnsi="仿宋_GB2312" w:eastAsia="仿宋_GB2312" w:cs="仿宋_GB2312"/>
          <w:sz w:val="32"/>
          <w:szCs w:val="32"/>
        </w:rPr>
        <w:t>万元，一般公共预算收入</w:t>
      </w:r>
      <w:r>
        <w:rPr>
          <w:rFonts w:hint="eastAsia" w:ascii="仿宋_GB2312" w:hAnsi="仿宋_GB2312" w:eastAsia="仿宋_GB2312" w:cs="仿宋_GB2312"/>
          <w:sz w:val="32"/>
          <w:szCs w:val="32"/>
          <w:lang w:val="en-US" w:eastAsia="zh-CN"/>
        </w:rPr>
        <w:t>873.09</w:t>
      </w:r>
      <w:r>
        <w:rPr>
          <w:rFonts w:hint="eastAsia" w:ascii="仿宋_GB2312" w:hAnsi="仿宋_GB2312" w:eastAsia="仿宋_GB2312" w:cs="仿宋_GB2312"/>
          <w:sz w:val="32"/>
          <w:szCs w:val="32"/>
        </w:rPr>
        <w:t>万元，上级一般公共预算安排转移支付收入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万元，财政专户核拨收入0万元，其他来源收入0万元。</w:t>
      </w:r>
    </w:p>
    <w:p w14:paraId="5BE32E76">
      <w:pPr>
        <w:widowControl w:val="0"/>
        <w:wordWrap/>
        <w:adjustRightInd/>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w:t>
      </w:r>
      <w:r>
        <w:rPr>
          <w:rFonts w:hint="eastAsia" w:ascii="仿宋_GB2312" w:hAnsi="仿宋_GB2312" w:eastAsia="仿宋_GB2312" w:cs="仿宋_GB2312"/>
          <w:sz w:val="32"/>
          <w:szCs w:val="32"/>
          <w:lang w:eastAsia="zh-CN"/>
        </w:rPr>
        <w:t>决算收入</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873.09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决算支出为</w:t>
      </w:r>
      <w:r>
        <w:rPr>
          <w:rFonts w:hint="eastAsia" w:ascii="仿宋_GB2312" w:hAnsi="仿宋_GB2312" w:eastAsia="仿宋_GB2312" w:cs="仿宋_GB2312"/>
          <w:sz w:val="32"/>
          <w:szCs w:val="32"/>
          <w:lang w:val="en-US" w:eastAsia="zh-CN"/>
        </w:rPr>
        <w:t>873.09万元。</w:t>
      </w:r>
      <w:r>
        <w:rPr>
          <w:rFonts w:hint="eastAsia" w:ascii="仿宋_GB2312" w:hAnsi="仿宋_GB2312" w:eastAsia="仿宋_GB2312" w:cs="仿宋_GB2312"/>
          <w:sz w:val="32"/>
          <w:szCs w:val="32"/>
        </w:rPr>
        <w:t>其中基本支出</w:t>
      </w:r>
      <w:r>
        <w:rPr>
          <w:rFonts w:hint="eastAsia" w:ascii="仿宋_GB2312" w:hAnsi="仿宋_GB2312" w:eastAsia="仿宋_GB2312" w:cs="仿宋_GB2312"/>
          <w:sz w:val="32"/>
          <w:szCs w:val="32"/>
          <w:lang w:val="en-US" w:eastAsia="zh-CN"/>
        </w:rPr>
        <w:t>520.61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352.48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6B8934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（三）部门整体支出绩效目标、指标</w:t>
      </w:r>
    </w:p>
    <w:p w14:paraId="7EABD2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eastAsia="zh-CN"/>
        </w:rPr>
        <w:t>按照区委统一部署、协调宣传思想文化系统各部门之间的工作。拟定全区宣传思想文化工作重大方针政策和事业发展总体规划，统筹协调推进宣传思想文化领域建设，指导协调全区理论研究、理论学习、理论宣传工作。协调组织全区对外</w:t>
      </w:r>
      <w:r>
        <w:rPr>
          <w:rFonts w:hint="eastAsia" w:ascii="仿宋_GB2312" w:hAnsi="仿宋_GB2312" w:eastAsia="仿宋_GB2312" w:cs="仿宋_GB2312"/>
          <w:sz w:val="32"/>
          <w:szCs w:val="32"/>
          <w:highlight w:val="none"/>
          <w:lang w:val="en-US" w:eastAsia="zh-CN"/>
        </w:rPr>
        <w:t>新闻</w:t>
      </w:r>
      <w:r>
        <w:rPr>
          <w:rFonts w:hint="eastAsia" w:ascii="仿宋_GB2312" w:hAnsi="仿宋_GB2312" w:eastAsia="仿宋_GB2312" w:cs="仿宋_GB2312"/>
          <w:sz w:val="32"/>
          <w:szCs w:val="32"/>
          <w:highlight w:val="none"/>
          <w:lang w:eastAsia="zh-CN"/>
        </w:rPr>
        <w:t>宣传工作，规划部署全区精神文明建设工作，管理</w:t>
      </w:r>
      <w:r>
        <w:rPr>
          <w:rFonts w:hint="eastAsia" w:ascii="仿宋_GB2312" w:hAnsi="仿宋_GB2312" w:eastAsia="仿宋_GB2312" w:cs="仿宋_GB2312"/>
          <w:sz w:val="32"/>
          <w:szCs w:val="32"/>
          <w:highlight w:val="none"/>
          <w:lang w:val="en-US" w:eastAsia="zh-CN"/>
        </w:rPr>
        <w:t>文化</w:t>
      </w:r>
      <w:r>
        <w:rPr>
          <w:rFonts w:hint="eastAsia" w:ascii="仿宋_GB2312" w:hAnsi="仿宋_GB2312" w:eastAsia="仿宋_GB2312" w:cs="仿宋_GB2312"/>
          <w:sz w:val="32"/>
          <w:szCs w:val="32"/>
          <w:highlight w:val="none"/>
          <w:lang w:eastAsia="zh-CN"/>
        </w:rPr>
        <w:t>产业发展，对全区新闻出版、广播影视、文化艺术业改革发展研究提出政策性建议。</w:t>
      </w:r>
      <w:r>
        <w:rPr>
          <w:rFonts w:hint="eastAsia" w:ascii="仿宋_GB2312" w:hAnsi="仿宋_GB2312" w:eastAsia="仿宋_GB2312" w:cs="仿宋_GB2312"/>
          <w:sz w:val="32"/>
          <w:szCs w:val="32"/>
          <w:highlight w:val="none"/>
          <w:lang w:val="en-US" w:eastAsia="zh-CN"/>
        </w:rPr>
        <w:t>组织指导全区国防教育宣传工作</w:t>
      </w:r>
      <w:r>
        <w:rPr>
          <w:rFonts w:hint="eastAsia" w:ascii="仿宋_GB2312" w:hAnsi="仿宋_GB2312" w:eastAsia="仿宋_GB2312" w:cs="仿宋_GB2312"/>
          <w:sz w:val="32"/>
          <w:szCs w:val="32"/>
          <w:highlight w:val="none"/>
          <w:lang w:eastAsia="zh-CN"/>
        </w:rPr>
        <w:t>。</w:t>
      </w:r>
    </w:p>
    <w:p w14:paraId="6428DC04">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right="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自评工作开展</w:t>
      </w:r>
      <w:r>
        <w:rPr>
          <w:rFonts w:hint="eastAsia" w:ascii="黑体" w:hAnsi="黑体" w:eastAsia="黑体" w:cs="黑体"/>
          <w:sz w:val="32"/>
          <w:szCs w:val="32"/>
        </w:rPr>
        <w:t>情况</w:t>
      </w:r>
    </w:p>
    <w:p w14:paraId="424941AB">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left="0" w:right="0" w:firstLine="640" w:firstLineChars="200"/>
        <w:textAlignment w:val="auto"/>
        <w:outlineLvl w:val="9"/>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自评的组织工作</w:t>
      </w:r>
    </w:p>
    <w:p w14:paraId="0614EF4D">
      <w:pPr>
        <w:widowControl w:val="0"/>
        <w:wordWrap/>
        <w:adjustRightInd/>
        <w:snapToGrid w:val="0"/>
        <w:spacing w:line="560" w:lineRule="exact"/>
        <w:ind w:left="0" w:leftChars="0" w:right="0" w:firstLine="640" w:firstLineChars="200"/>
        <w:textAlignment w:val="auto"/>
        <w:outlineLvl w:val="9"/>
        <w:rPr>
          <w:rFonts w:hint="eastAsia"/>
          <w:lang w:eastAsia="zh-CN"/>
        </w:rPr>
      </w:pPr>
      <w:r>
        <w:rPr>
          <w:rFonts w:hint="eastAsia" w:ascii="仿宋" w:hAnsi="仿宋" w:eastAsia="仿宋" w:cs="仿宋"/>
          <w:sz w:val="32"/>
          <w:szCs w:val="32"/>
          <w:lang w:val="en-US" w:eastAsia="zh-CN"/>
        </w:rPr>
        <w:t>藁城区委宣传部成立了由常务副部长任组长、主管领导任副组长，办公室主任和财务人员为成员的绩效自评工作小组。</w:t>
      </w:r>
    </w:p>
    <w:p w14:paraId="3CED982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lang w:eastAsia="zh-CN"/>
        </w:rPr>
        <w:t>（二）</w:t>
      </w:r>
      <w:r>
        <w:rPr>
          <w:rFonts w:hint="eastAsia" w:ascii="楷体_GB2312" w:hAnsi="楷体_GB2312" w:eastAsia="楷体_GB2312" w:cs="楷体_GB2312"/>
          <w:bCs/>
          <w:sz w:val="32"/>
          <w:szCs w:val="32"/>
        </w:rPr>
        <w:t>自评的方法和过程</w:t>
      </w:r>
    </w:p>
    <w:p w14:paraId="4EFF2196">
      <w:pPr>
        <w:widowControl w:val="0"/>
        <w:wordWrap/>
        <w:adjustRightInd/>
        <w:snapToGrid w:val="0"/>
        <w:spacing w:line="560" w:lineRule="exact"/>
        <w:ind w:left="0" w:leftChars="0" w:right="0" w:firstLine="640" w:firstLineChars="200"/>
        <w:textAlignment w:val="auto"/>
        <w:outlineLvl w:val="9"/>
        <w:rPr>
          <w:rFonts w:hint="eastAsia" w:ascii="楷体_GB2312" w:hAnsi="楷体_GB2312" w:eastAsia="楷体_GB2312" w:cs="楷体_GB2312"/>
          <w:bCs/>
          <w:sz w:val="32"/>
          <w:szCs w:val="32"/>
        </w:rPr>
      </w:pPr>
      <w:r>
        <w:rPr>
          <w:rFonts w:hint="eastAsia" w:ascii="仿宋" w:hAnsi="仿宋" w:eastAsia="仿宋" w:cs="仿宋"/>
          <w:sz w:val="32"/>
          <w:szCs w:val="32"/>
          <w:lang w:val="en-US" w:eastAsia="zh-CN"/>
        </w:rPr>
        <w:t>通过科室沟通、核对账务对2025年项目资金的收入、支出、日常财务管理等项目绩效实施情况做了系统、全面的评价。</w:t>
      </w:r>
    </w:p>
    <w:p w14:paraId="0280E88D">
      <w:pPr>
        <w:keepNext w:val="0"/>
        <w:keepLines w:val="0"/>
        <w:pageBreakBefore w:val="0"/>
        <w:widowControl w:val="0"/>
        <w:kinsoku/>
        <w:wordWrap/>
        <w:overflowPunct/>
        <w:topLinePunct w:val="0"/>
        <w:autoSpaceDE/>
        <w:autoSpaceDN/>
        <w:bidi w:val="0"/>
        <w:adjustRightInd/>
        <w:snapToGrid w:val="0"/>
        <w:spacing w:line="560" w:lineRule="exact"/>
        <w:ind w:left="0" w:right="0"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三、部门整体支出绩效目标实现情况及指标分析</w:t>
      </w:r>
    </w:p>
    <w:p w14:paraId="30911F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lang w:eastAsia="zh-CN"/>
        </w:rPr>
        <w:t>（一）</w:t>
      </w:r>
      <w:r>
        <w:rPr>
          <w:rFonts w:hint="eastAsia" w:ascii="楷体_GB2312" w:hAnsi="楷体_GB2312" w:eastAsia="楷体_GB2312" w:cs="楷体_GB2312"/>
          <w:bCs/>
          <w:sz w:val="32"/>
          <w:szCs w:val="32"/>
        </w:rPr>
        <w:t>总体绩效目标实现情况</w:t>
      </w:r>
    </w:p>
    <w:p w14:paraId="25BE62D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2025年，区委宣传部</w:t>
      </w:r>
      <w:r>
        <w:rPr>
          <w:rFonts w:hint="eastAsia" w:ascii="仿宋_GB2312" w:hAnsi="仿宋_GB2312" w:eastAsia="仿宋_GB2312" w:cs="仿宋_GB2312"/>
          <w:sz w:val="32"/>
          <w:szCs w:val="32"/>
          <w:lang w:eastAsia="zh-CN"/>
        </w:rPr>
        <w:t>领导班子</w:t>
      </w:r>
      <w:r>
        <w:rPr>
          <w:rFonts w:hint="eastAsia" w:ascii="仿宋_GB2312" w:hAnsi="仿宋_GB2312" w:eastAsia="仿宋_GB2312" w:cs="仿宋_GB2312"/>
          <w:sz w:val="32"/>
          <w:szCs w:val="32"/>
        </w:rPr>
        <w:t>坚持以习近平新时代中国特色社会主义思想为指导，深入学习贯彻党的</w:t>
      </w:r>
      <w:r>
        <w:rPr>
          <w:rFonts w:hint="eastAsia" w:ascii="仿宋_GB2312" w:hAnsi="仿宋_GB2312" w:eastAsia="仿宋_GB2312" w:cs="仿宋_GB2312"/>
          <w:sz w:val="32"/>
          <w:szCs w:val="32"/>
          <w:lang w:eastAsia="zh-CN"/>
        </w:rPr>
        <w:t>二十大和二十届历次全会</w:t>
      </w:r>
      <w:r>
        <w:rPr>
          <w:rFonts w:hint="eastAsia" w:ascii="仿宋_GB2312" w:hAnsi="仿宋_GB2312" w:eastAsia="仿宋_GB2312" w:cs="仿宋_GB2312"/>
          <w:sz w:val="32"/>
          <w:szCs w:val="32"/>
        </w:rPr>
        <w:t>精神，全面落实习近平文化思想，紧紧围绕我区“1251”</w:t>
      </w:r>
      <w:r>
        <w:rPr>
          <w:rFonts w:hint="eastAsia" w:ascii="仿宋_GB2312" w:hAnsi="仿宋_GB2312" w:eastAsia="仿宋_GB2312" w:cs="仿宋_GB2312"/>
          <w:sz w:val="32"/>
          <w:szCs w:val="32"/>
          <w:lang w:eastAsia="zh-CN"/>
        </w:rPr>
        <w:t>整体工作</w:t>
      </w:r>
      <w:r>
        <w:rPr>
          <w:rFonts w:hint="eastAsia" w:ascii="仿宋_GB2312" w:hAnsi="仿宋_GB2312" w:eastAsia="仿宋_GB2312" w:cs="仿宋_GB2312"/>
          <w:sz w:val="32"/>
          <w:szCs w:val="32"/>
        </w:rPr>
        <w:t>思路，切实肩负“举旗帜、聚民心、育新人、兴文化、展形象”使命任务，为建设“经济强区、魅力藁城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提供了强大思想保证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舆论支持</w:t>
      </w:r>
      <w:r>
        <w:rPr>
          <w:rFonts w:hint="eastAsia" w:ascii="仿宋_GB2312" w:hAnsi="仿宋_GB2312" w:eastAsia="仿宋_GB2312" w:cs="仿宋_GB2312"/>
          <w:sz w:val="32"/>
          <w:szCs w:val="32"/>
          <w:lang w:eastAsia="zh-CN"/>
        </w:rPr>
        <w:t>和文化条件</w:t>
      </w:r>
      <w:r>
        <w:rPr>
          <w:rFonts w:hint="eastAsia" w:ascii="仿宋_GB2312" w:hAnsi="仿宋_GB2312" w:eastAsia="仿宋_GB2312" w:cs="仿宋_GB2312"/>
          <w:sz w:val="32"/>
          <w:szCs w:val="32"/>
        </w:rPr>
        <w:t>。</w:t>
      </w:r>
    </w:p>
    <w:p w14:paraId="2F66632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楷体" w:hAnsi="楷体" w:eastAsia="楷体"/>
          <w:bCs/>
          <w:sz w:val="32"/>
          <w:szCs w:val="32"/>
        </w:rPr>
      </w:pPr>
      <w:r>
        <w:rPr>
          <w:rFonts w:hint="eastAsia" w:ascii="楷体_GB2312" w:hAnsi="楷体_GB2312" w:eastAsia="楷体_GB2312" w:cs="楷体_GB2312"/>
          <w:bCs/>
          <w:sz w:val="32"/>
          <w:szCs w:val="32"/>
        </w:rPr>
        <w:t>（二）分项绩效目标实现情况及指标分析</w:t>
      </w:r>
    </w:p>
    <w:p w14:paraId="26ADD0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u w:val="none"/>
          <w:lang w:val="en"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、深化思想引领，不断提升领导班子履职能力。</w:t>
      </w:r>
      <w:r>
        <w:rPr>
          <w:rFonts w:hint="eastAsia" w:ascii="仿宋_GB2312" w:hAnsi="仿宋_GB2312" w:eastAsia="仿宋_GB2312" w:cs="仿宋_GB2312"/>
          <w:sz w:val="32"/>
          <w:szCs w:val="32"/>
        </w:rPr>
        <w:t>坚持以习近平新时代中国特色社会主义思想为指导，深入学习贯彻党的</w:t>
      </w:r>
      <w:r>
        <w:rPr>
          <w:rFonts w:hint="eastAsia" w:ascii="仿宋_GB2312" w:hAnsi="仿宋_GB2312" w:eastAsia="仿宋_GB2312" w:cs="仿宋_GB2312"/>
          <w:sz w:val="32"/>
          <w:szCs w:val="32"/>
          <w:lang w:eastAsia="zh-CN"/>
        </w:rPr>
        <w:t>二十大和二十届历次全会</w:t>
      </w:r>
      <w:r>
        <w:rPr>
          <w:rFonts w:hint="eastAsia" w:ascii="仿宋_GB2312" w:hAnsi="仿宋_GB2312" w:eastAsia="仿宋_GB2312" w:cs="仿宋_GB2312"/>
          <w:sz w:val="32"/>
          <w:szCs w:val="32"/>
        </w:rPr>
        <w:t>精神，全面落实习近平文化思想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0"/>
          <w:sz w:val="32"/>
          <w:szCs w:val="32"/>
          <w:u w:val="none"/>
          <w:lang w:val="en-US" w:eastAsia="zh-CN"/>
        </w:rPr>
        <w:t>领导班子将</w:t>
      </w:r>
      <w:r>
        <w:rPr>
          <w:rFonts w:hint="eastAsia" w:ascii="仿宋_GB2312" w:hAnsi="仿宋_GB2312" w:eastAsia="仿宋_GB2312" w:cs="仿宋_GB2312"/>
          <w:spacing w:val="0"/>
          <w:sz w:val="32"/>
          <w:szCs w:val="32"/>
          <w:u w:val="none"/>
          <w:lang w:val="en" w:eastAsia="zh-CN"/>
        </w:rPr>
        <w:t>以一以贯之的韧劲推动作风建设不断向纵深发展，为各项工作高质量开展提供坚强作风保障。</w:t>
      </w:r>
    </w:p>
    <w:p w14:paraId="0C76AD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u w:val="none"/>
          <w:lang w:val="en" w:eastAsia="zh-CN"/>
        </w:rPr>
      </w:pPr>
      <w:r>
        <w:rPr>
          <w:rFonts w:hint="eastAsia" w:ascii="仿宋_GB2312" w:hAnsi="仿宋_GB2312" w:eastAsia="仿宋_GB2312" w:cs="仿宋_GB2312"/>
          <w:spacing w:val="0"/>
          <w:sz w:val="32"/>
          <w:szCs w:val="32"/>
          <w:u w:val="none"/>
          <w:lang w:val="en-US" w:eastAsia="zh-CN"/>
        </w:rPr>
        <w:t>2</w:t>
      </w:r>
      <w:r>
        <w:rPr>
          <w:rFonts w:hint="eastAsia" w:ascii="仿宋_GB2312" w:hAnsi="仿宋_GB2312" w:eastAsia="仿宋_GB2312" w:cs="仿宋_GB2312"/>
          <w:spacing w:val="0"/>
          <w:sz w:val="32"/>
          <w:szCs w:val="32"/>
          <w:u w:val="none"/>
          <w:lang w:val="en" w:eastAsia="zh-CN"/>
        </w:rPr>
        <w:t>、主流舆论宣传出新出彩。持续加强对外宣传力度。聚焦我区“1251”整体工作思路，积极邀请上级媒体记者来藁采访，及时有效地把我区的正能量、好声音传递出去，发稿量位居全市前列。</w:t>
      </w:r>
      <w:r>
        <w:rPr>
          <w:rFonts w:hint="eastAsia" w:ascii="仿宋_GB2312" w:hAnsi="仿宋_GB2312" w:eastAsia="仿宋_GB2312" w:cs="仿宋_GB2312"/>
          <w:spacing w:val="0"/>
          <w:sz w:val="32"/>
          <w:szCs w:val="32"/>
          <w:u w:val="none"/>
          <w:lang w:val="en-US" w:eastAsia="zh-CN"/>
        </w:rPr>
        <w:t>配合</w:t>
      </w:r>
      <w:r>
        <w:rPr>
          <w:rFonts w:hint="eastAsia" w:ascii="仿宋_GB2312" w:hAnsi="仿宋_GB2312" w:eastAsia="仿宋_GB2312" w:cs="仿宋_GB2312"/>
          <w:spacing w:val="0"/>
          <w:sz w:val="32"/>
          <w:szCs w:val="32"/>
          <w:u w:val="none"/>
          <w:lang w:val="en" w:eastAsia="zh-CN"/>
        </w:rPr>
        <w:t>新华社、央视河北站、中新社等央媒采访调研，获得了良好的传播效果。</w:t>
      </w:r>
      <w:r>
        <w:rPr>
          <w:rFonts w:hint="eastAsia" w:ascii="仿宋_GB2312" w:hAnsi="仿宋_GB2312" w:eastAsia="仿宋_GB2312" w:cs="仿宋_GB2312"/>
          <w:color w:val="auto"/>
          <w:sz w:val="32"/>
          <w:szCs w:val="32"/>
        </w:rPr>
        <w:t>精心组织策划经济宣传报道，</w:t>
      </w:r>
      <w:r>
        <w:rPr>
          <w:rFonts w:hint="eastAsia" w:ascii="仿宋_GB2312" w:hAnsi="仿宋_GB2312" w:eastAsia="仿宋_GB2312" w:cs="仿宋_GB2312"/>
          <w:color w:val="auto"/>
          <w:sz w:val="32"/>
          <w:szCs w:val="32"/>
          <w:lang w:eastAsia="zh-CN"/>
        </w:rPr>
        <w:t>聚焦我区装备制造、现代食品等主导产业，</w:t>
      </w:r>
      <w:r>
        <w:rPr>
          <w:rFonts w:hint="eastAsia" w:ascii="仿宋_GB2312" w:hAnsi="仿宋_GB2312" w:eastAsia="仿宋_GB2312" w:cs="仿宋_GB2312"/>
          <w:color w:val="auto"/>
          <w:sz w:val="32"/>
          <w:szCs w:val="32"/>
        </w:rPr>
        <w:t>全方位、多视角、大容量地反映</w:t>
      </w:r>
      <w:r>
        <w:rPr>
          <w:rFonts w:hint="eastAsia" w:ascii="仿宋_GB2312" w:hAnsi="仿宋_GB2312" w:eastAsia="仿宋_GB2312" w:cs="仿宋_GB2312"/>
          <w:color w:val="auto"/>
          <w:sz w:val="32"/>
          <w:szCs w:val="32"/>
          <w:lang w:val="en-US" w:eastAsia="zh-CN"/>
        </w:rPr>
        <w:t>我区项目建设、企业生产、优化营商环境等工作中的亮点成效</w:t>
      </w:r>
      <w:r>
        <w:rPr>
          <w:rFonts w:hint="eastAsia" w:ascii="仿宋_GB2312" w:hAnsi="仿宋_GB2312" w:eastAsia="仿宋_GB2312" w:cs="仿宋_GB2312"/>
          <w:color w:val="auto"/>
          <w:sz w:val="32"/>
          <w:szCs w:val="32"/>
          <w:lang w:eastAsia="zh-CN"/>
        </w:rPr>
        <w:t>。</w:t>
      </w:r>
    </w:p>
    <w:p w14:paraId="4FD94A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文化事业产业繁荣发展，开展丰富惠民文化活动。非遗传承与文化产业融合发展。打造“古韵商周，魅力藁城”文化IP，推动宫文化产业数字化转型，指导宫灯、宫面、宫酒等非遗企业搭建直播矩阵，布局线上渠道，有效提升特色文化产品知名度。</w:t>
      </w:r>
      <w:r>
        <w:rPr>
          <w:rFonts w:hint="eastAsia" w:ascii="仿宋_GB2312" w:hAnsi="仿宋_GB2312" w:eastAsia="仿宋_GB2312" w:cs="仿宋_GB2312"/>
          <w:sz w:val="32"/>
          <w:szCs w:val="32"/>
          <w:highlight w:val="none"/>
          <w:lang w:val="en-US" w:eastAsia="zh-CN"/>
        </w:rPr>
        <w:t>组织开展</w:t>
      </w:r>
      <w:r>
        <w:rPr>
          <w:rFonts w:hint="eastAsia" w:ascii="仿宋_GB2312" w:hAnsi="仿宋_GB2312" w:eastAsia="仿宋_GB2312" w:cs="仿宋_GB2312"/>
          <w:sz w:val="32"/>
          <w:szCs w:val="32"/>
          <w:highlight w:val="none"/>
          <w:lang w:eastAsia="zh-CN"/>
        </w:rPr>
        <w:t>第三十二届“彩色周末”文化活动。举办庆祝中华人民共和国成立76周年暨喜迎中秋佳节戏曲演唱会、“艺心向党・文艺为民”戏曲演唱会、“双争有我—365百姓故事汇”等专场活动。</w:t>
      </w:r>
    </w:p>
    <w:p w14:paraId="3E11E97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精神文明建设巩固拓展。强化价值引领，坚持培育和践行社会主义核心价值观，广泛开展“强国复兴有我”群众性主题宣传教育活动，深入开展“双争德善藁城”先进典型培树工作，营造崇德向善、见贤思齐的良好风尚。</w:t>
      </w:r>
    </w:p>
    <w:p w14:paraId="2920069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积极开展国防宣传教育活动。</w:t>
      </w:r>
      <w:r>
        <w:rPr>
          <w:rFonts w:hint="eastAsia" w:ascii="仿宋_GB2312" w:hAnsi="仿宋_GB2312" w:eastAsia="仿宋_GB2312" w:cs="仿宋_GB2312"/>
          <w:sz w:val="32"/>
          <w:szCs w:val="32"/>
          <w:lang w:val="en-US" w:eastAsia="zh-CN"/>
        </w:rPr>
        <w:t>“4·15”</w:t>
      </w:r>
      <w:r>
        <w:rPr>
          <w:rFonts w:hint="eastAsia" w:ascii="仿宋_GB2312" w:hAnsi="仿宋_GB2312" w:eastAsia="仿宋_GB2312" w:cs="仿宋_GB2312"/>
          <w:b w:val="0"/>
          <w:bCs w:val="0"/>
          <w:sz w:val="32"/>
          <w:szCs w:val="32"/>
        </w:rPr>
        <w:t>全民国家安全教育日</w:t>
      </w:r>
      <w:bookmarkStart w:id="0" w:name="_GoBack"/>
      <w:bookmarkEnd w:id="0"/>
      <w:r>
        <w:rPr>
          <w:rFonts w:hint="eastAsia" w:ascii="仿宋_GB2312" w:hAnsi="仿宋_GB2312" w:eastAsia="仿宋_GB2312" w:cs="仿宋_GB2312"/>
          <w:b w:val="0"/>
          <w:bCs w:val="0"/>
          <w:sz w:val="32"/>
          <w:szCs w:val="32"/>
        </w:rPr>
        <w:t>期间，联合多部门在人民广场设点宣传，发放</w:t>
      </w:r>
      <w:r>
        <w:rPr>
          <w:rFonts w:hint="eastAsia" w:ascii="仿宋_GB2312" w:hAnsi="仿宋_GB2312" w:eastAsia="仿宋_GB2312" w:cs="仿宋_GB2312"/>
          <w:b w:val="0"/>
          <w:bCs w:val="0"/>
          <w:sz w:val="32"/>
          <w:szCs w:val="32"/>
          <w:lang w:eastAsia="zh-CN"/>
        </w:rPr>
        <w:t>《中华人民共和国国防教育法》</w:t>
      </w:r>
      <w:r>
        <w:rPr>
          <w:rFonts w:hint="eastAsia" w:ascii="仿宋_GB2312" w:hAnsi="仿宋_GB2312" w:eastAsia="仿宋_GB2312" w:cs="仿宋_GB2312"/>
          <w:b w:val="0"/>
          <w:bCs w:val="0"/>
          <w:sz w:val="32"/>
          <w:szCs w:val="32"/>
        </w:rPr>
        <w:t>手册等资料</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积极组织开展“国防教育月”宣传活动。</w:t>
      </w:r>
      <w:r>
        <w:rPr>
          <w:rFonts w:hint="eastAsia" w:ascii="仿宋_GB2312" w:hAnsi="仿宋_GB2312" w:eastAsia="仿宋_GB2312" w:cs="仿宋_GB2312"/>
          <w:b w:val="0"/>
          <w:bCs w:val="0"/>
          <w:sz w:val="32"/>
          <w:szCs w:val="32"/>
        </w:rPr>
        <w:t>第十二个国家公祭日之际，在梅花惨案纪念馆组织党员干部及师生代表开展“铭记历史 缅怀先烈”活动，通过默哀、献花、参观展馆等环节传承红色基因。</w:t>
      </w:r>
    </w:p>
    <w:p w14:paraId="3A850462">
      <w:pPr>
        <w:keepNext w:val="0"/>
        <w:keepLines w:val="0"/>
        <w:pageBreakBefore w:val="0"/>
        <w:widowControl w:val="0"/>
        <w:kinsoku/>
        <w:wordWrap/>
        <w:overflowPunct/>
        <w:topLinePunct w:val="0"/>
        <w:autoSpaceDE/>
        <w:autoSpaceDN/>
        <w:bidi w:val="0"/>
        <w:adjustRightInd/>
        <w:snapToGrid w:val="0"/>
        <w:spacing w:line="560" w:lineRule="exact"/>
        <w:ind w:left="0" w:right="0"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四、评价结论和评价等级</w:t>
      </w:r>
    </w:p>
    <w:p w14:paraId="78777EA2">
      <w:pPr>
        <w:pStyle w:val="12"/>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val="en-US" w:eastAsia="zh-CN"/>
        </w:rPr>
        <w:t>通过2025年绩效自评，2025年年初绩效目标设定质量较好，</w:t>
      </w:r>
      <w:r>
        <w:rPr>
          <w:rFonts w:hint="eastAsia" w:ascii="仿宋_GB2312" w:hAnsi="仿宋_GB2312" w:eastAsia="仿宋_GB2312" w:cs="仿宋_GB2312"/>
          <w:sz w:val="32"/>
          <w:szCs w:val="32"/>
        </w:rPr>
        <w:t>绩效目标设定</w:t>
      </w:r>
      <w:r>
        <w:rPr>
          <w:rFonts w:hint="eastAsia" w:ascii="仿宋_GB2312" w:hAnsi="仿宋_GB2312" w:eastAsia="仿宋_GB2312" w:cs="仿宋_GB2312"/>
          <w:sz w:val="32"/>
          <w:szCs w:val="32"/>
          <w:lang w:val="en-US" w:eastAsia="zh-CN"/>
        </w:rPr>
        <w:t>比较</w:t>
      </w:r>
      <w:r>
        <w:rPr>
          <w:rFonts w:hint="eastAsia" w:ascii="仿宋_GB2312" w:hAnsi="仿宋_GB2312" w:eastAsia="仿宋_GB2312" w:cs="仿宋_GB2312"/>
          <w:sz w:val="32"/>
          <w:szCs w:val="32"/>
        </w:rPr>
        <w:t>清晰准确，绩效指标</w:t>
      </w:r>
      <w:r>
        <w:rPr>
          <w:rFonts w:hint="eastAsia" w:ascii="仿宋_GB2312" w:hAnsi="仿宋_GB2312" w:eastAsia="仿宋_GB2312" w:cs="仿宋_GB2312"/>
          <w:sz w:val="32"/>
          <w:szCs w:val="32"/>
          <w:lang w:val="en-US" w:eastAsia="zh-CN"/>
        </w:rPr>
        <w:t>比较</w:t>
      </w:r>
      <w:r>
        <w:rPr>
          <w:rFonts w:hint="eastAsia" w:ascii="仿宋_GB2312" w:hAnsi="仿宋_GB2312" w:eastAsia="仿宋_GB2312" w:cs="仿宋_GB2312"/>
          <w:sz w:val="32"/>
          <w:szCs w:val="32"/>
        </w:rPr>
        <w:t>全面完整、科学合理，绩效标准</w:t>
      </w:r>
      <w:r>
        <w:rPr>
          <w:rFonts w:hint="eastAsia" w:ascii="仿宋_GB2312" w:hAnsi="仿宋_GB2312" w:eastAsia="仿宋_GB2312" w:cs="仿宋_GB2312"/>
          <w:sz w:val="32"/>
          <w:szCs w:val="32"/>
          <w:lang w:val="en-US" w:eastAsia="zh-CN"/>
        </w:rPr>
        <w:t>比较</w:t>
      </w:r>
      <w:r>
        <w:rPr>
          <w:rFonts w:hint="eastAsia" w:ascii="仿宋_GB2312" w:hAnsi="仿宋_GB2312" w:eastAsia="仿宋_GB2312" w:cs="仿宋_GB2312"/>
          <w:sz w:val="32"/>
          <w:szCs w:val="32"/>
        </w:rPr>
        <w:t>恰当适宜、易于评价</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lang w:eastAsia="zh-CN"/>
        </w:rPr>
        <w:t>我部门</w:t>
      </w:r>
      <w:r>
        <w:rPr>
          <w:rFonts w:hint="eastAsia" w:ascii="仿宋" w:hAnsi="仿宋" w:eastAsia="仿宋" w:cs="仿宋"/>
          <w:sz w:val="32"/>
          <w:szCs w:val="32"/>
        </w:rPr>
        <w:t>专项资金</w:t>
      </w:r>
      <w:r>
        <w:rPr>
          <w:rFonts w:hint="eastAsia" w:ascii="仿宋" w:hAnsi="仿宋" w:eastAsia="仿宋" w:cs="仿宋"/>
          <w:sz w:val="32"/>
          <w:szCs w:val="32"/>
          <w:lang w:val="en-US" w:eastAsia="zh-CN"/>
        </w:rPr>
        <w:t>到位率和支出率均达到100%，各</w:t>
      </w:r>
      <w:r>
        <w:rPr>
          <w:rFonts w:hint="eastAsia" w:ascii="仿宋" w:hAnsi="仿宋" w:eastAsia="仿宋" w:cs="仿宋"/>
          <w:sz w:val="32"/>
          <w:szCs w:val="32"/>
        </w:rPr>
        <w:t>项目的预期绩效目标完成</w:t>
      </w:r>
      <w:r>
        <w:rPr>
          <w:rFonts w:hint="eastAsia" w:ascii="仿宋" w:hAnsi="仿宋" w:eastAsia="仿宋" w:cs="仿宋"/>
          <w:sz w:val="32"/>
          <w:szCs w:val="32"/>
          <w:lang w:val="en-US" w:eastAsia="zh-CN"/>
        </w:rPr>
        <w:t>率在90%以上，评价结果为优秀。</w:t>
      </w:r>
    </w:p>
    <w:p w14:paraId="37744A88">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left="0" w:right="0" w:firstLine="640" w:firstLineChars="200"/>
        <w:textAlignment w:val="auto"/>
        <w:outlineLvl w:val="9"/>
        <w:rPr>
          <w:rFonts w:hint="eastAsia" w:ascii="黑体" w:hAnsi="黑体" w:eastAsia="黑体"/>
          <w:sz w:val="32"/>
          <w:szCs w:val="32"/>
        </w:rPr>
      </w:pPr>
      <w:r>
        <w:rPr>
          <w:rFonts w:hint="eastAsia" w:ascii="黑体" w:hAnsi="黑体" w:eastAsia="黑体"/>
          <w:sz w:val="32"/>
          <w:szCs w:val="32"/>
        </w:rPr>
        <w:t>存在的问题及改进措施</w:t>
      </w:r>
    </w:p>
    <w:p w14:paraId="4CE669E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（一）存在的主要问题</w:t>
      </w:r>
    </w:p>
    <w:p w14:paraId="6F74C8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无</w:t>
      </w:r>
    </w:p>
    <w:p w14:paraId="3852613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针对问题提出具体的改进措施或建议</w:t>
      </w:r>
    </w:p>
    <w:p w14:paraId="372548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Cs/>
          <w:sz w:val="32"/>
          <w:szCs w:val="32"/>
          <w:lang w:val="en-US" w:eastAsia="zh-CN"/>
        </w:rPr>
        <w:t>无</w:t>
      </w:r>
    </w:p>
    <w:sectPr>
      <w:headerReference r:id="rId3" w:type="default"/>
      <w:footerReference r:id="rId4" w:type="default"/>
      <w:pgSz w:w="11906" w:h="16838"/>
      <w:pgMar w:top="2098" w:right="1474" w:bottom="1984" w:left="1587" w:header="851" w:footer="1701"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1C8BBE1-ED15-4714-AEAD-50D9B3836C4D}"/>
  </w:font>
  <w:font w:name="黑体">
    <w:panose1 w:val="02010609060101010101"/>
    <w:charset w:val="86"/>
    <w:family w:val="auto"/>
    <w:pitch w:val="default"/>
    <w:sig w:usb0="800002BF" w:usb1="38CF7CFA" w:usb2="00000016" w:usb3="00000000" w:csb0="00040001" w:csb1="00000000"/>
    <w:embedRegular r:id="rId2" w:fontKey="{33B6A381-8518-4964-9928-C316D5D2A1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embedRegular r:id="rId3" w:fontKey="{9E4FF245-A016-4AFD-A813-41D3EA4649AD}"/>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4" w:fontKey="{F4B037E0-2D7A-4FA3-99E9-4F2874ADB831}"/>
  </w:font>
  <w:font w:name="楷体_GB2312">
    <w:altName w:val="楷体"/>
    <w:panose1 w:val="02010609030101010101"/>
    <w:charset w:val="86"/>
    <w:family w:val="auto"/>
    <w:pitch w:val="default"/>
    <w:sig w:usb0="00000000" w:usb1="00000000" w:usb2="00000000" w:usb3="00000000" w:csb0="00040000" w:csb1="00000000"/>
    <w:embedRegular r:id="rId5" w:fontKey="{325B86B8-EEF4-49CC-A582-1A81C82D90BB}"/>
  </w:font>
  <w:font w:name="楷体">
    <w:panose1 w:val="02010609060101010101"/>
    <w:charset w:val="86"/>
    <w:family w:val="modern"/>
    <w:pitch w:val="default"/>
    <w:sig w:usb0="800002BF" w:usb1="38CF7CFA" w:usb2="00000016" w:usb3="00000000" w:csb0="00040001" w:csb1="00000000"/>
    <w:embedRegular r:id="rId6" w:fontKey="{30F094D8-E7CB-463A-BF40-0FB1CE00269A}"/>
  </w:font>
  <w:font w:name="仿宋">
    <w:panose1 w:val="02010609060101010101"/>
    <w:charset w:val="86"/>
    <w:family w:val="auto"/>
    <w:pitch w:val="default"/>
    <w:sig w:usb0="800002BF" w:usb1="38CF7CFA" w:usb2="00000016" w:usb3="00000000" w:csb0="00040001" w:csb1="00000000"/>
    <w:embedRegular r:id="rId7" w:fontKey="{B60B4069-7377-44E2-ADA5-EA7D822623CD}"/>
  </w:font>
  <w:font w:name="国标宋体">
    <w:altName w:val="宋体"/>
    <w:panose1 w:val="02000500000000000000"/>
    <w:charset w:val="86"/>
    <w:family w:val="auto"/>
    <w:pitch w:val="default"/>
    <w:sig w:usb0="00000000" w:usb1="00000000" w:usb2="00000000" w:usb3="00000000" w:csb0="00060007" w:csb1="00000000"/>
    <w:embedRegular r:id="rId8" w:fontKey="{E8369948-D22B-4826-9B65-A15E6944C0D5}"/>
  </w:font>
  <w:font w:name="WPSEMBED1">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40F4C">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F6B16">
                          <w:pPr>
                            <w:pStyle w:val="5"/>
                            <w:rPr>
                              <w:rFonts w:hint="eastAsia" w:ascii="国标宋体" w:hAnsi="国标宋体" w:eastAsia="国标宋体" w:cs="国标宋体"/>
                              <w:sz w:val="28"/>
                              <w:szCs w:val="28"/>
                            </w:rPr>
                          </w:pPr>
                          <w:r>
                            <w:rPr>
                              <w:rFonts w:hint="eastAsia" w:ascii="国标宋体" w:hAnsi="国标宋体" w:eastAsia="国标宋体" w:cs="国标宋体"/>
                              <w:sz w:val="28"/>
                              <w:szCs w:val="28"/>
                            </w:rPr>
                            <w:fldChar w:fldCharType="begin"/>
                          </w:r>
                          <w:r>
                            <w:rPr>
                              <w:rFonts w:hint="eastAsia" w:ascii="国标宋体" w:hAnsi="国标宋体" w:eastAsia="国标宋体" w:cs="国标宋体"/>
                              <w:sz w:val="28"/>
                              <w:szCs w:val="28"/>
                            </w:rPr>
                            <w:instrText xml:space="preserve"> PAGE  \* MERGEFORMAT </w:instrText>
                          </w:r>
                          <w:r>
                            <w:rPr>
                              <w:rFonts w:hint="eastAsia" w:ascii="国标宋体" w:hAnsi="国标宋体" w:eastAsia="国标宋体" w:cs="国标宋体"/>
                              <w:sz w:val="28"/>
                              <w:szCs w:val="28"/>
                            </w:rPr>
                            <w:fldChar w:fldCharType="separate"/>
                          </w:r>
                          <w:r>
                            <w:rPr>
                              <w:rFonts w:hint="eastAsia" w:ascii="国标宋体" w:hAnsi="国标宋体" w:eastAsia="国标宋体" w:cs="国标宋体"/>
                              <w:sz w:val="28"/>
                              <w:szCs w:val="28"/>
                            </w:rPr>
                            <w:t>- 1 -</w:t>
                          </w:r>
                          <w:r>
                            <w:rPr>
                              <w:rFonts w:hint="eastAsia" w:ascii="国标宋体" w:hAnsi="国标宋体" w:eastAsia="国标宋体" w:cs="国标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EF6B16">
                    <w:pPr>
                      <w:pStyle w:val="5"/>
                      <w:rPr>
                        <w:rFonts w:hint="eastAsia" w:ascii="国标宋体" w:hAnsi="国标宋体" w:eastAsia="国标宋体" w:cs="国标宋体"/>
                        <w:sz w:val="28"/>
                        <w:szCs w:val="28"/>
                      </w:rPr>
                    </w:pPr>
                    <w:r>
                      <w:rPr>
                        <w:rFonts w:hint="eastAsia" w:ascii="国标宋体" w:hAnsi="国标宋体" w:eastAsia="国标宋体" w:cs="国标宋体"/>
                        <w:sz w:val="28"/>
                        <w:szCs w:val="28"/>
                      </w:rPr>
                      <w:fldChar w:fldCharType="begin"/>
                    </w:r>
                    <w:r>
                      <w:rPr>
                        <w:rFonts w:hint="eastAsia" w:ascii="国标宋体" w:hAnsi="国标宋体" w:eastAsia="国标宋体" w:cs="国标宋体"/>
                        <w:sz w:val="28"/>
                        <w:szCs w:val="28"/>
                      </w:rPr>
                      <w:instrText xml:space="preserve"> PAGE  \* MERGEFORMAT </w:instrText>
                    </w:r>
                    <w:r>
                      <w:rPr>
                        <w:rFonts w:hint="eastAsia" w:ascii="国标宋体" w:hAnsi="国标宋体" w:eastAsia="国标宋体" w:cs="国标宋体"/>
                        <w:sz w:val="28"/>
                        <w:szCs w:val="28"/>
                      </w:rPr>
                      <w:fldChar w:fldCharType="separate"/>
                    </w:r>
                    <w:r>
                      <w:rPr>
                        <w:rFonts w:hint="eastAsia" w:ascii="国标宋体" w:hAnsi="国标宋体" w:eastAsia="国标宋体" w:cs="国标宋体"/>
                        <w:sz w:val="28"/>
                        <w:szCs w:val="28"/>
                      </w:rPr>
                      <w:t>- 1 -</w:t>
                    </w:r>
                    <w:r>
                      <w:rPr>
                        <w:rFonts w:hint="eastAsia" w:ascii="国标宋体" w:hAnsi="国标宋体" w:eastAsia="国标宋体" w:cs="国标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97871">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0822F"/>
    <w:multiLevelType w:val="singleLevel"/>
    <w:tmpl w:val="98E0822F"/>
    <w:lvl w:ilvl="0" w:tentative="0">
      <w:start w:val="2"/>
      <w:numFmt w:val="chineseCounting"/>
      <w:suff w:val="nothing"/>
      <w:lvlText w:val="%1、"/>
      <w:lvlJc w:val="left"/>
      <w:rPr>
        <w:rFonts w:hint="eastAsia"/>
      </w:rPr>
    </w:lvl>
  </w:abstractNum>
  <w:abstractNum w:abstractNumId="1">
    <w:nsid w:val="0C7416B0"/>
    <w:multiLevelType w:val="singleLevel"/>
    <w:tmpl w:val="0C7416B0"/>
    <w:lvl w:ilvl="0" w:tentative="0">
      <w:start w:val="4"/>
      <w:numFmt w:val="decimal"/>
      <w:suff w:val="nothing"/>
      <w:lvlText w:val="%1、"/>
      <w:lvlJc w:val="left"/>
    </w:lvl>
  </w:abstractNum>
  <w:abstractNum w:abstractNumId="2">
    <w:nsid w:val="160ACDF0"/>
    <w:multiLevelType w:val="singleLevel"/>
    <w:tmpl w:val="160ACDF0"/>
    <w:lvl w:ilvl="0" w:tentative="0">
      <w:start w:val="1"/>
      <w:numFmt w:val="chineseCounting"/>
      <w:suff w:val="nothing"/>
      <w:lvlText w:val="（%1）"/>
      <w:lvlJc w:val="left"/>
      <w:rPr>
        <w:rFonts w:hint="eastAsia"/>
      </w:rPr>
    </w:lvl>
  </w:abstractNum>
  <w:abstractNum w:abstractNumId="3">
    <w:nsid w:val="330718AF"/>
    <w:multiLevelType w:val="singleLevel"/>
    <w:tmpl w:val="330718AF"/>
    <w:lvl w:ilvl="0" w:tentative="0">
      <w:start w:val="5"/>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GE2ZDVhYjFkNzNmZjA0ZTExM2M2ODcxZGVjNWRjNGEifQ=="/>
  </w:docVars>
  <w:rsids>
    <w:rsidRoot w:val="00000000"/>
    <w:rsid w:val="02B1196D"/>
    <w:rsid w:val="04FF244B"/>
    <w:rsid w:val="06DE089C"/>
    <w:rsid w:val="0AE85508"/>
    <w:rsid w:val="134F6B82"/>
    <w:rsid w:val="13955CCA"/>
    <w:rsid w:val="14861CDF"/>
    <w:rsid w:val="18A20665"/>
    <w:rsid w:val="1C8808A6"/>
    <w:rsid w:val="1D8D6BE8"/>
    <w:rsid w:val="2130305C"/>
    <w:rsid w:val="237D7345"/>
    <w:rsid w:val="23BA3996"/>
    <w:rsid w:val="24665E09"/>
    <w:rsid w:val="257C0AAD"/>
    <w:rsid w:val="25F068FA"/>
    <w:rsid w:val="25F4095B"/>
    <w:rsid w:val="27EF5A03"/>
    <w:rsid w:val="28723E76"/>
    <w:rsid w:val="292B09F7"/>
    <w:rsid w:val="2D1C3346"/>
    <w:rsid w:val="2FE353D3"/>
    <w:rsid w:val="32D64AF4"/>
    <w:rsid w:val="32EB3B6C"/>
    <w:rsid w:val="339F3516"/>
    <w:rsid w:val="35041D35"/>
    <w:rsid w:val="35633CA2"/>
    <w:rsid w:val="36A527D6"/>
    <w:rsid w:val="374645AD"/>
    <w:rsid w:val="38FD63A7"/>
    <w:rsid w:val="3A085EA2"/>
    <w:rsid w:val="3BDB532A"/>
    <w:rsid w:val="3C9A4E75"/>
    <w:rsid w:val="3DDE37D0"/>
    <w:rsid w:val="3E8925B3"/>
    <w:rsid w:val="3FFFD1B0"/>
    <w:rsid w:val="46860B82"/>
    <w:rsid w:val="490A3F7F"/>
    <w:rsid w:val="4E9609D8"/>
    <w:rsid w:val="51B24883"/>
    <w:rsid w:val="52D852D5"/>
    <w:rsid w:val="5366C1BB"/>
    <w:rsid w:val="54B43787"/>
    <w:rsid w:val="54C13C78"/>
    <w:rsid w:val="56A95021"/>
    <w:rsid w:val="58B8456C"/>
    <w:rsid w:val="5C0748B8"/>
    <w:rsid w:val="5CFEBA53"/>
    <w:rsid w:val="5DED3C84"/>
    <w:rsid w:val="5E2FC5CB"/>
    <w:rsid w:val="5E317DD6"/>
    <w:rsid w:val="5FF941C5"/>
    <w:rsid w:val="6110313A"/>
    <w:rsid w:val="617C2BE7"/>
    <w:rsid w:val="62771362"/>
    <w:rsid w:val="627C183B"/>
    <w:rsid w:val="63B4281C"/>
    <w:rsid w:val="67F39597"/>
    <w:rsid w:val="69206851"/>
    <w:rsid w:val="6A800460"/>
    <w:rsid w:val="6F580FAD"/>
    <w:rsid w:val="784B788E"/>
    <w:rsid w:val="796C4B79"/>
    <w:rsid w:val="7C7B0145"/>
    <w:rsid w:val="7FFF4271"/>
    <w:rsid w:val="BB8F3284"/>
    <w:rsid w:val="BF67F3AE"/>
    <w:rsid w:val="D6D9CE45"/>
    <w:rsid w:val="DFF756FC"/>
    <w:rsid w:val="E5F21BF3"/>
    <w:rsid w:val="EFFE328E"/>
    <w:rsid w:val="F39982A8"/>
    <w:rsid w:val="F8FE090C"/>
    <w:rsid w:val="F9BE4E02"/>
    <w:rsid w:val="FEDFBD95"/>
    <w:rsid w:val="FF7D6198"/>
    <w:rsid w:val="FFF9E569"/>
    <w:rsid w:val="FFFDE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1"/>
    <w:qFormat/>
    <w:uiPriority w:val="0"/>
    <w:pPr>
      <w:keepNext/>
      <w:keepLines/>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heading 1 Char"/>
    <w:basedOn w:val="8"/>
    <w:link w:val="2"/>
    <w:qFormat/>
    <w:uiPriority w:val="0"/>
    <w:rPr>
      <w:rFonts w:ascii="Times New Roman" w:hAnsi="Times New Roman" w:eastAsia="宋体" w:cs="Times New Roman"/>
      <w:b/>
      <w:bCs/>
      <w:kern w:val="44"/>
      <w:sz w:val="44"/>
      <w:szCs w:val="44"/>
      <w:lang w:val="en-US" w:eastAsia="zh-CN" w:bidi="ar-SA"/>
    </w:rPr>
  </w:style>
  <w:style w:type="character" w:customStyle="1" w:styleId="10">
    <w:name w:val="heading 2 Char"/>
    <w:basedOn w:val="8"/>
    <w:link w:val="3"/>
    <w:qFormat/>
    <w:uiPriority w:val="0"/>
    <w:rPr>
      <w:rFonts w:ascii="Times New Roman" w:hAnsi="Times New Roman" w:eastAsia="黑体" w:cs="Times New Roman"/>
      <w:b/>
      <w:bCs/>
      <w:kern w:val="2"/>
      <w:sz w:val="32"/>
      <w:szCs w:val="32"/>
      <w:lang w:val="en-US" w:eastAsia="zh-CN" w:bidi="ar-SA"/>
    </w:rPr>
  </w:style>
  <w:style w:type="character" w:customStyle="1" w:styleId="11">
    <w:name w:val="heading 3 Char"/>
    <w:basedOn w:val="8"/>
    <w:link w:val="4"/>
    <w:qFormat/>
    <w:uiPriority w:val="0"/>
    <w:rPr>
      <w:rFonts w:ascii="Times New Roman" w:hAnsi="Times New Roman" w:eastAsia="宋体" w:cs="Times New Roman"/>
      <w:b/>
      <w:bCs/>
      <w:kern w:val="2"/>
      <w:sz w:val="32"/>
      <w:szCs w:val="32"/>
      <w:lang w:val="en-US" w:eastAsia="zh-CN" w:bidi="ar-SA"/>
    </w:rPr>
  </w:style>
  <w:style w:type="paragraph" w:customStyle="1" w:styleId="12">
    <w:name w:val="Body Text First Indent 21"/>
    <w:basedOn w:val="13"/>
    <w:qFormat/>
    <w:uiPriority w:val="0"/>
    <w:pPr>
      <w:ind w:firstLine="420"/>
    </w:pPr>
    <w:rPr>
      <w:rFonts w:ascii="Calibri" w:hAnsi="Calibri" w:eastAsia="宋体" w:cs="Times New Roman"/>
    </w:rPr>
  </w:style>
  <w:style w:type="paragraph" w:customStyle="1" w:styleId="13">
    <w:name w:val="Body Text Indent1"/>
    <w:basedOn w:val="1"/>
    <w:qFormat/>
    <w:uiPriority w:val="0"/>
    <w:pPr>
      <w:spacing w:line="360" w:lineRule="auto"/>
      <w:ind w:firstLine="200" w:firstLineChars="200"/>
      <w:textAlignment w:val="baseline"/>
    </w:pPr>
    <w:rPr>
      <w:rFonts w:ascii="Calibri" w:hAnsi="Calibri" w:eastAsia="宋体" w:cs="Times New Roman"/>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Company>
  <Pages>4</Pages>
  <Words>1862</Words>
  <Characters>1935</Characters>
  <Lines>0</Lines>
  <Paragraphs>31</Paragraphs>
  <TotalTime>3</TotalTime>
  <ScaleCrop>false</ScaleCrop>
  <LinksUpToDate>false</LinksUpToDate>
  <CharactersWithSpaces>1936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2019-11-15T08:58:00Z</dcterms:created>
  <dc:creator>user</dc:creator>
  <cp:lastModifiedBy>13323011735</cp:lastModifiedBy>
  <cp:lastPrinted>2026-06-01T03:07:00Z</cp:lastPrinted>
  <dcterms:modified xsi:type="dcterms:W3CDTF">2026-06-26T09:11:49Z</dcterms:modified>
  <dc:title>附件2：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F91FEC7CB48F45B2B0A8A7B12763F572_13</vt:lpwstr>
  </property>
  <property fmtid="{D5CDD505-2E9C-101B-9397-08002B2CF9AE}" pid="4" name="KSOTemplateDocerSaveRecord">
    <vt:lpwstr>eyJoZGlkIjoiZTNhMzhmNjU3NDU2YjNiYWExNDJlM2Y4YTNjMzYyNWIiLCJ1c2VySWQiOiIxNTUwMjQwMDk2In0=</vt:lpwstr>
  </property>
</Properties>
</file>