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7361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2：</w:t>
      </w:r>
    </w:p>
    <w:p w14:paraId="009FB2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民政部门</w:t>
      </w:r>
    </w:p>
    <w:p w14:paraId="41D5C7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right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2025年度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整体支出绩效自评报告</w:t>
      </w:r>
    </w:p>
    <w:p w14:paraId="5DBEE3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right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B69A4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为贯彻落实区委区政府《关于全面落实预算绩效管理的实施意见》（藁发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〔2019〕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号）文件精神，遵循“科学性、规范性、客观性和公正性”的原则，现对本部门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年度整体支出情况实施财政支出绩效评价，形成本评价报告。</w:t>
      </w:r>
    </w:p>
    <w:p w14:paraId="0A8B40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部门基本情况</w:t>
      </w:r>
    </w:p>
    <w:p w14:paraId="0BF24C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（一）部门概况</w:t>
      </w:r>
    </w:p>
    <w:p w14:paraId="14C1BA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部门基本职责</w:t>
      </w:r>
    </w:p>
    <w:p w14:paraId="452489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1.拟订全区民政工作年度计划并组织实施。负责机关日常工作的协调和督查督办，负责人事劳资、机关文电、党建、信息、会务、机要、保密、信访、政务公开、新闻宣传、精神文明建设、党风廉政建设、文书档案管理及后勤保障等工作，承办人大代表建议、政协委员提案答复工作；负责全区民政事业的财务、计划、统计、国有资产管理工作；负责全区民政事业统计年报和决算；指导、检查、监督所属单位和各乡镇的民政财务管理工作；负责所属单位的内部审计工作；负责民政统计管理工作；负责民政系统安全生产监督管理工作，开展安全生产宣传、教育和培训，依法组织或参与组织有关事故调查处理，指导督促民政行业做好安全生产、消防等工作；负责民政行政执法监督工作，负责区本级行政执法的合法性法制审查及行政应诉工作，负责开展法制宣传教育。</w:t>
      </w:r>
    </w:p>
    <w:p w14:paraId="3764C0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2.贯彻落实全区社会团体、社会服务机构等社会组织监督管理办法，依照《石家庄市社会组织监督管理办法》规定的管理权限，对社会团体，社会服务机构进行监管。负责区社会组织党委日常工作，指导全区社会组织党群建设工作。贯彻落实促进慈善事业发展相关政策、措施和慈善组织活动管理办法；组织指导慈善捐助和慈善精准扶贫帮扶工作，负责社会公益性慈善捐赠监管工作；负责福利彩票相关政策执行及福利彩票销售管理工作。贯彻落实儿童福利、孤弃儿童保障、儿童收养、儿童救助保护政策、标准。健全农村留守儿童关爱服务体系和困境儿童保障制度，负责孤儿补贴发放工作，指导儿童福利（未成年人保护）、社会福利院工作。</w:t>
      </w:r>
    </w:p>
    <w:p w14:paraId="29F78E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3.牵头拟订全区社会救助政策、标准、规划，统筹社会救助体系建设。负责城乡居民最低生活保障、特困人员救助供养、临时救助工作和资金管理使用。指导全区城乡低收入家庭认定工作；参与拟订全区医疗、住房、教育、司法、就业救助相关办法；承担全区社会救助工作信息化建设。</w:t>
      </w:r>
    </w:p>
    <w:p w14:paraId="11392F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4.贯彻落实婚姻、殡葬、残疾人权益保护、生活无着流浪乞讨人员救助管理政策，健全残疾人福利制度建设，做好残疾人补贴发放工作；指导婚姻登记机关和残疾人社会福利、殡葬服务、生活无着流浪乞讨人员救助管理机构相关工作，负责区域生活无着流浪乞讨人员救助事务，开展家庭暴力受害人临时庇护救助工作；负责对经营性公墓的经营活动进行事中事后监管。贯彻落实行政区划管理行政区域界线和地名管理办法，负责区行政区划调整及乡镇、街道办事处的设立、命名、撤销、更名和政府驻地迁移的审核报批工作，负责地名标志管理及重要自然地理实体命名、更名的审核报批工作，负责行政区域界线勘察和管理工作，负责地名档案管理工作，负责编印和审查全区行政区划图和标准地名的书图资料，组织开展地名公共服务工程建设。</w:t>
      </w:r>
    </w:p>
    <w:p w14:paraId="29E403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5.统筹推进、督促指导、监督管理全区养老服务工作；拟订全区养老服务体系建设规划、政策、标准并组织实施；承担老年人福利和特殊困难老年人救助工作；负责全区养老服务、老年人福利、特困人员救助供养机构业务指导工作。负责老龄工作委员会办公室日常工作。</w:t>
      </w:r>
    </w:p>
    <w:p w14:paraId="4A0F80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14、完成区委、区政府交办的其他任务。</w:t>
      </w:r>
    </w:p>
    <w:p w14:paraId="4B2F9371">
      <w:pPr>
        <w:ind w:firstLine="643" w:firstLineChars="200"/>
        <w:rPr>
          <w:rFonts w:ascii="仿宋" w:hAnsi="仿宋" w:eastAsia="仿宋" w:cs="Times New Roman"/>
          <w:b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>机构设置：</w:t>
      </w:r>
    </w:p>
    <w:p w14:paraId="2EA6FC1D">
      <w:pPr>
        <w:jc w:val="center"/>
        <w:outlineLvl w:val="0"/>
        <w:rPr>
          <w:rFonts w:ascii="Times New Roman" w:hAnsi="Times New Roman" w:eastAsia="方正小标宋_GBK" w:cs="Times New Roman"/>
          <w:sz w:val="32"/>
          <w:szCs w:val="24"/>
        </w:rPr>
      </w:pPr>
      <w:r>
        <w:rPr>
          <w:rFonts w:ascii="Times New Roman" w:hAnsi="Times New Roman" w:eastAsia="方正小标宋_GBK" w:cs="Times New Roman"/>
          <w:sz w:val="32"/>
          <w:szCs w:val="24"/>
        </w:rPr>
        <w:t>部门</w:t>
      </w:r>
      <w:r>
        <w:rPr>
          <w:rFonts w:hint="eastAsia" w:ascii="Times New Roman" w:hAnsi="Times New Roman" w:eastAsia="方正小标宋_GBK" w:cs="Times New Roman"/>
          <w:sz w:val="32"/>
          <w:szCs w:val="24"/>
        </w:rPr>
        <w:t>机构设置情况</w:t>
      </w:r>
    </w:p>
    <w:tbl>
      <w:tblPr>
        <w:tblStyle w:val="7"/>
        <w:tblW w:w="9729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7"/>
        <w:gridCol w:w="1134"/>
        <w:gridCol w:w="1276"/>
        <w:gridCol w:w="2902"/>
      </w:tblGrid>
      <w:tr w14:paraId="5B0C7D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  <w:jc w:val="center"/>
        </w:trPr>
        <w:tc>
          <w:tcPr>
            <w:tcW w:w="4417" w:type="dxa"/>
            <w:vMerge w:val="restart"/>
            <w:noWrap w:val="0"/>
            <w:vAlign w:val="center"/>
          </w:tcPr>
          <w:p w14:paraId="3BA0760F">
            <w:pPr>
              <w:spacing w:line="300" w:lineRule="exact"/>
              <w:jc w:val="center"/>
              <w:rPr>
                <w:rFonts w:ascii="Times New Roman" w:hAnsi="Times New Roman" w:eastAsia="方正书宋_GBK" w:cs="Times New Roman"/>
                <w:b/>
                <w:szCs w:val="24"/>
              </w:rPr>
            </w:pPr>
            <w:r>
              <w:rPr>
                <w:rFonts w:ascii="Times New Roman" w:hAnsi="Times New Roman" w:eastAsia="方正书宋_GBK" w:cs="Times New Roman"/>
                <w:b/>
                <w:szCs w:val="24"/>
              </w:rPr>
              <w:t>单位名称</w:t>
            </w:r>
          </w:p>
        </w:tc>
        <w:tc>
          <w:tcPr>
            <w:tcW w:w="1134" w:type="dxa"/>
            <w:vMerge w:val="restart"/>
            <w:noWrap w:val="0"/>
            <w:vAlign w:val="center"/>
          </w:tcPr>
          <w:p w14:paraId="47BE5B8C">
            <w:pPr>
              <w:spacing w:line="300" w:lineRule="exact"/>
              <w:jc w:val="center"/>
              <w:rPr>
                <w:rFonts w:ascii="Times New Roman" w:hAnsi="Times New Roman" w:eastAsia="方正书宋_GBK" w:cs="Times New Roman"/>
                <w:b/>
                <w:szCs w:val="24"/>
              </w:rPr>
            </w:pPr>
            <w:r>
              <w:rPr>
                <w:rFonts w:ascii="Times New Roman" w:hAnsi="Times New Roman" w:eastAsia="方正书宋_GBK" w:cs="Times New Roman"/>
                <w:b/>
                <w:szCs w:val="24"/>
              </w:rPr>
              <w:t>单位性质</w:t>
            </w:r>
          </w:p>
        </w:tc>
        <w:tc>
          <w:tcPr>
            <w:tcW w:w="1276" w:type="dxa"/>
            <w:vMerge w:val="restart"/>
            <w:noWrap w:val="0"/>
            <w:vAlign w:val="center"/>
          </w:tcPr>
          <w:p w14:paraId="039D4ACA">
            <w:pPr>
              <w:spacing w:line="300" w:lineRule="exact"/>
              <w:jc w:val="center"/>
              <w:rPr>
                <w:rFonts w:ascii="Times New Roman" w:hAnsi="Times New Roman" w:eastAsia="方正书宋_GBK" w:cs="Times New Roman"/>
                <w:b/>
                <w:szCs w:val="24"/>
              </w:rPr>
            </w:pPr>
            <w:r>
              <w:rPr>
                <w:rFonts w:ascii="Times New Roman" w:hAnsi="Times New Roman" w:eastAsia="方正书宋_GBK" w:cs="Times New Roman"/>
                <w:b/>
                <w:szCs w:val="24"/>
              </w:rPr>
              <w:t>单位规格</w:t>
            </w:r>
          </w:p>
        </w:tc>
        <w:tc>
          <w:tcPr>
            <w:tcW w:w="2902" w:type="dxa"/>
            <w:vMerge w:val="restart"/>
            <w:noWrap w:val="0"/>
            <w:vAlign w:val="center"/>
          </w:tcPr>
          <w:p w14:paraId="159BEEB5">
            <w:pPr>
              <w:spacing w:line="300" w:lineRule="exact"/>
              <w:jc w:val="center"/>
              <w:rPr>
                <w:rFonts w:ascii="Times New Roman" w:hAnsi="Times New Roman" w:eastAsia="方正书宋_GBK" w:cs="Times New Roman"/>
                <w:b/>
                <w:szCs w:val="24"/>
              </w:rPr>
            </w:pPr>
            <w:r>
              <w:rPr>
                <w:rFonts w:ascii="Times New Roman" w:hAnsi="Times New Roman" w:eastAsia="方正书宋_GBK" w:cs="Times New Roman"/>
                <w:b/>
                <w:szCs w:val="24"/>
              </w:rPr>
              <w:t>经费保障形式</w:t>
            </w:r>
          </w:p>
        </w:tc>
      </w:tr>
      <w:tr w14:paraId="1F0E166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  <w:jc w:val="center"/>
        </w:trPr>
        <w:tc>
          <w:tcPr>
            <w:tcW w:w="4417" w:type="dxa"/>
            <w:vMerge w:val="continue"/>
            <w:noWrap w:val="0"/>
            <w:vAlign w:val="center"/>
          </w:tcPr>
          <w:p w14:paraId="56ADA13D">
            <w:pPr>
              <w:spacing w:line="300" w:lineRule="exact"/>
              <w:jc w:val="left"/>
              <w:outlineLvl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 w14:paraId="3E86189C">
            <w:pPr>
              <w:spacing w:line="300" w:lineRule="exact"/>
              <w:jc w:val="left"/>
              <w:outlineLvl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vMerge w:val="continue"/>
            <w:noWrap w:val="0"/>
            <w:vAlign w:val="center"/>
          </w:tcPr>
          <w:p w14:paraId="26635003">
            <w:pPr>
              <w:spacing w:line="300" w:lineRule="exact"/>
              <w:jc w:val="left"/>
              <w:outlineLvl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02" w:type="dxa"/>
            <w:vMerge w:val="continue"/>
            <w:noWrap w:val="0"/>
            <w:vAlign w:val="center"/>
          </w:tcPr>
          <w:p w14:paraId="4D325385">
            <w:pPr>
              <w:spacing w:line="300" w:lineRule="exact"/>
              <w:jc w:val="left"/>
              <w:outlineLvl w:val="0"/>
              <w:rPr>
                <w:rFonts w:ascii="Times New Roman" w:hAnsi="Times New Roman" w:cs="Times New Roman"/>
                <w:szCs w:val="24"/>
              </w:rPr>
            </w:pPr>
          </w:p>
        </w:tc>
      </w:tr>
      <w:tr w14:paraId="6721DFA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417" w:type="dxa"/>
            <w:noWrap w:val="0"/>
            <w:vAlign w:val="center"/>
          </w:tcPr>
          <w:p w14:paraId="79351DA7">
            <w:pPr>
              <w:spacing w:line="300" w:lineRule="exact"/>
              <w:jc w:val="left"/>
              <w:rPr>
                <w:rFonts w:hint="eastAsia" w:ascii="Times New Roman" w:hAnsi="Times New Roman" w:eastAsia="微软雅黑" w:cs="Times New Roman"/>
                <w:szCs w:val="24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caps w:val="0"/>
                <w:color w:val="212121"/>
                <w:spacing w:val="0"/>
                <w:sz w:val="24"/>
                <w:szCs w:val="24"/>
                <w:shd w:val="clear" w:color="auto" w:fill="FFFFFF"/>
              </w:rPr>
              <w:t>石家庄市藁城区民政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212121"/>
                <w:spacing w:val="0"/>
                <w:sz w:val="24"/>
                <w:szCs w:val="24"/>
                <w:shd w:val="clear" w:color="auto" w:fill="FFFFFF"/>
                <w:lang w:eastAsia="zh-CN"/>
              </w:rPr>
              <w:t>局本级</w:t>
            </w:r>
          </w:p>
        </w:tc>
        <w:tc>
          <w:tcPr>
            <w:tcW w:w="1134" w:type="dxa"/>
            <w:noWrap w:val="0"/>
            <w:vAlign w:val="center"/>
          </w:tcPr>
          <w:p w14:paraId="0E8ADEF4">
            <w:pPr>
              <w:spacing w:line="300" w:lineRule="exact"/>
              <w:jc w:val="center"/>
              <w:rPr>
                <w:rFonts w:hint="eastAsia" w:ascii="Times New Roman" w:hAnsi="Times New Roman" w:eastAsia="方正书宋_GBK" w:cs="Times New Roman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书宋_GBK" w:cs="Times New Roman"/>
                <w:szCs w:val="24"/>
                <w:lang w:eastAsia="zh-CN"/>
              </w:rPr>
              <w:t>行政</w:t>
            </w:r>
          </w:p>
        </w:tc>
        <w:tc>
          <w:tcPr>
            <w:tcW w:w="1276" w:type="dxa"/>
            <w:noWrap w:val="0"/>
            <w:vAlign w:val="center"/>
          </w:tcPr>
          <w:p w14:paraId="03D13F4F">
            <w:pPr>
              <w:spacing w:line="300" w:lineRule="exact"/>
              <w:jc w:val="center"/>
              <w:rPr>
                <w:rFonts w:hint="eastAsia" w:ascii="Times New Roman" w:hAnsi="Times New Roman" w:eastAsia="方正书宋_GBK" w:cs="Times New Roman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书宋_GBK" w:cs="Times New Roman"/>
                <w:szCs w:val="24"/>
                <w:lang w:eastAsia="zh-CN"/>
              </w:rPr>
              <w:t>正科级</w:t>
            </w:r>
          </w:p>
        </w:tc>
        <w:tc>
          <w:tcPr>
            <w:tcW w:w="2902" w:type="dxa"/>
            <w:noWrap w:val="0"/>
            <w:vAlign w:val="center"/>
          </w:tcPr>
          <w:p w14:paraId="6556D50C">
            <w:pPr>
              <w:spacing w:line="300" w:lineRule="exact"/>
              <w:jc w:val="center"/>
              <w:rPr>
                <w:rFonts w:hint="eastAsia" w:ascii="Times New Roman" w:hAnsi="Times New Roman" w:eastAsia="方正书宋_GBK" w:cs="Times New Roman"/>
                <w:szCs w:val="24"/>
                <w:lang w:eastAsia="zh-CN"/>
              </w:rPr>
            </w:pPr>
            <w:r>
              <w:rPr>
                <w:rFonts w:hint="eastAsia" w:ascii="方正书宋_GBK" w:eastAsia="方正书宋_GBK"/>
              </w:rPr>
              <w:t>财政</w:t>
            </w:r>
            <w:r>
              <w:rPr>
                <w:rFonts w:hint="eastAsia" w:ascii="方正书宋_GBK" w:eastAsia="方正书宋_GBK"/>
                <w:lang w:eastAsia="zh-CN"/>
              </w:rPr>
              <w:t>拨款</w:t>
            </w:r>
          </w:p>
        </w:tc>
      </w:tr>
      <w:tr w14:paraId="3F2A1A9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417" w:type="dxa"/>
            <w:noWrap w:val="0"/>
            <w:vAlign w:val="center"/>
          </w:tcPr>
          <w:p w14:paraId="3A754897">
            <w:pPr>
              <w:spacing w:line="300" w:lineRule="exact"/>
              <w:jc w:val="left"/>
              <w:rPr>
                <w:rFonts w:ascii="Times New Roman" w:hAnsi="Times New Roman" w:eastAsia="方正书宋_GBK" w:cs="Times New Roman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caps w:val="0"/>
                <w:color w:val="212121"/>
                <w:spacing w:val="0"/>
                <w:sz w:val="24"/>
                <w:szCs w:val="24"/>
                <w:shd w:val="clear" w:color="auto" w:fill="FFFFFF"/>
              </w:rPr>
              <w:t>石家庄市藁城区民政事业服务中心</w:t>
            </w:r>
          </w:p>
        </w:tc>
        <w:tc>
          <w:tcPr>
            <w:tcW w:w="1134" w:type="dxa"/>
            <w:noWrap w:val="0"/>
            <w:vAlign w:val="center"/>
          </w:tcPr>
          <w:p w14:paraId="313E2619">
            <w:pPr>
              <w:spacing w:line="300" w:lineRule="exact"/>
              <w:jc w:val="center"/>
              <w:rPr>
                <w:rFonts w:hint="eastAsia" w:ascii="Times New Roman" w:hAnsi="Times New Roman" w:eastAsia="方正书宋_GBK" w:cs="Times New Roman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书宋_GBK" w:cs="Times New Roman"/>
                <w:szCs w:val="24"/>
              </w:rPr>
              <w:t>事业</w:t>
            </w:r>
          </w:p>
        </w:tc>
        <w:tc>
          <w:tcPr>
            <w:tcW w:w="1276" w:type="dxa"/>
            <w:noWrap w:val="0"/>
            <w:vAlign w:val="center"/>
          </w:tcPr>
          <w:p w14:paraId="028318B5">
            <w:pPr>
              <w:spacing w:line="300" w:lineRule="exact"/>
              <w:jc w:val="center"/>
              <w:rPr>
                <w:rFonts w:hint="eastAsia" w:ascii="Times New Roman" w:hAnsi="Times New Roman" w:eastAsia="方正书宋_GBK" w:cs="Times New Roman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书宋_GBK" w:cs="Times New Roman"/>
                <w:szCs w:val="24"/>
                <w:lang w:eastAsia="zh-CN"/>
              </w:rPr>
              <w:t>股级</w:t>
            </w:r>
          </w:p>
        </w:tc>
        <w:tc>
          <w:tcPr>
            <w:tcW w:w="2902" w:type="dxa"/>
            <w:noWrap w:val="0"/>
            <w:vAlign w:val="center"/>
          </w:tcPr>
          <w:p w14:paraId="71304BC6">
            <w:pPr>
              <w:spacing w:line="300" w:lineRule="exact"/>
              <w:jc w:val="center"/>
              <w:rPr>
                <w:rFonts w:ascii="Times New Roman" w:hAnsi="Times New Roman" w:eastAsia="方正书宋_GBK" w:cs="Times New Roman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方正书宋_GBK" w:eastAsia="方正书宋_GBK"/>
              </w:rPr>
              <w:t>财政性资金基本保证</w:t>
            </w:r>
          </w:p>
        </w:tc>
      </w:tr>
      <w:tr w14:paraId="24B4A10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417" w:type="dxa"/>
            <w:noWrap w:val="0"/>
            <w:vAlign w:val="center"/>
          </w:tcPr>
          <w:p w14:paraId="5FEC1E1A">
            <w:pPr>
              <w:spacing w:line="300" w:lineRule="exact"/>
              <w:jc w:val="left"/>
              <w:rPr>
                <w:rFonts w:ascii="Times New Roman" w:hAnsi="Times New Roman" w:eastAsia="方正书宋_GBK" w:cs="Times New Roman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caps w:val="0"/>
                <w:color w:val="212121"/>
                <w:spacing w:val="0"/>
                <w:sz w:val="24"/>
                <w:szCs w:val="24"/>
                <w:shd w:val="clear" w:color="auto" w:fill="FFFFFF"/>
              </w:rPr>
              <w:t>石家庄市藁城区殡葬管理所</w:t>
            </w:r>
          </w:p>
        </w:tc>
        <w:tc>
          <w:tcPr>
            <w:tcW w:w="1134" w:type="dxa"/>
            <w:noWrap w:val="0"/>
            <w:vAlign w:val="center"/>
          </w:tcPr>
          <w:p w14:paraId="2F3DE257">
            <w:pPr>
              <w:spacing w:line="300" w:lineRule="exact"/>
              <w:jc w:val="center"/>
              <w:rPr>
                <w:rFonts w:hint="eastAsia" w:ascii="Times New Roman" w:hAnsi="Times New Roman" w:eastAsia="方正书宋_GBK" w:cs="Times New Roman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书宋_GBK" w:cs="Times New Roman"/>
                <w:szCs w:val="24"/>
                <w:lang w:val="en-US" w:eastAsia="zh-CN"/>
              </w:rPr>
              <w:t>事业</w:t>
            </w:r>
          </w:p>
        </w:tc>
        <w:tc>
          <w:tcPr>
            <w:tcW w:w="1276" w:type="dxa"/>
            <w:noWrap w:val="0"/>
            <w:vAlign w:val="center"/>
          </w:tcPr>
          <w:p w14:paraId="5C68CABA">
            <w:pPr>
              <w:spacing w:line="300" w:lineRule="exact"/>
              <w:jc w:val="center"/>
              <w:rPr>
                <w:rFonts w:ascii="Times New Roman" w:hAnsi="Times New Roman" w:eastAsia="方正书宋_GBK" w:cs="Times New Roman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书宋_GBK" w:cs="Times New Roman"/>
                <w:szCs w:val="24"/>
                <w:lang w:eastAsia="zh-CN"/>
              </w:rPr>
              <w:t>股级</w:t>
            </w:r>
          </w:p>
        </w:tc>
        <w:tc>
          <w:tcPr>
            <w:tcW w:w="2902" w:type="dxa"/>
            <w:noWrap w:val="0"/>
            <w:vAlign w:val="center"/>
          </w:tcPr>
          <w:p w14:paraId="119F0B82">
            <w:pPr>
              <w:spacing w:line="300" w:lineRule="exact"/>
              <w:jc w:val="center"/>
              <w:rPr>
                <w:rFonts w:hint="eastAsia" w:ascii="Times New Roman" w:hAnsi="Times New Roman" w:eastAsia="方正书宋_GBK" w:cs="Times New Roman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方正书宋_GBK" w:eastAsia="方正书宋_GBK"/>
              </w:rPr>
              <w:t>财政性资金基本保证</w:t>
            </w:r>
          </w:p>
        </w:tc>
      </w:tr>
    </w:tbl>
    <w:p w14:paraId="4816BA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Cs/>
          <w:sz w:val="32"/>
          <w:szCs w:val="32"/>
        </w:rPr>
      </w:pPr>
    </w:p>
    <w:p w14:paraId="7EE058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（二）部门收支预决算情况</w:t>
      </w:r>
    </w:p>
    <w:p w14:paraId="2EB3FA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202</w:t>
      </w:r>
      <w:r>
        <w:rPr>
          <w:rFonts w:hint="eastAsia" w:eastAsia="仿宋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年部门收入决算数为</w:t>
      </w:r>
      <w:r>
        <w:rPr>
          <w:rFonts w:hint="eastAsia" w:eastAsia="仿宋" w:cs="Times New Roman"/>
          <w:sz w:val="32"/>
          <w:szCs w:val="32"/>
          <w:lang w:val="en-US" w:eastAsia="zh-CN"/>
        </w:rPr>
        <w:t>15172.339256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万元，支出决算数为</w:t>
      </w:r>
      <w:r>
        <w:rPr>
          <w:rFonts w:hint="eastAsia" w:eastAsia="仿宋" w:cs="Times New Roman"/>
          <w:sz w:val="32"/>
          <w:szCs w:val="32"/>
          <w:lang w:val="en-US" w:eastAsia="zh-CN"/>
        </w:rPr>
        <w:t>15172.339256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万元</w:t>
      </w:r>
      <w:r>
        <w:rPr>
          <w:rFonts w:hint="eastAsia" w:eastAsia="仿宋" w:cs="Times New Roman"/>
          <w:sz w:val="32"/>
          <w:szCs w:val="32"/>
          <w:lang w:val="en-US" w:eastAsia="zh-CN"/>
        </w:rPr>
        <w:t>。</w:t>
      </w:r>
    </w:p>
    <w:p w14:paraId="3FF6F5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（三）部门整体支出绩效目标、指标</w:t>
      </w:r>
    </w:p>
    <w:p w14:paraId="7EABD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坚持以习近平新时代中国特色社会主义思想为指导，全面贯彻中央关于民政工作的会议精神，紧紧围绕省、市民政部门具体部署和要求，以做好基本民生保障、基本社会服务等各项工作，增强基层民政服务能力为目标。聚焦老年人、孤儿、残疾人、无收入等特殊群体，强化基本民生保障，解决好困难群众基本生活问题, 做好城乡特殊困难群众生活兜底保障，做到应保尽保。优化基本社会服务供给，各项养老服务配套设施建设，逐步完善建设救助站。规范完善城乡地名标志标准化设置。深化改革创新，防范化解重大风险，加强作风建设，努力开创新时代民政工作新局面。</w:t>
      </w:r>
    </w:p>
    <w:p w14:paraId="6428DC0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right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自评工作开展</w:t>
      </w:r>
      <w:r>
        <w:rPr>
          <w:rFonts w:hint="eastAsia" w:ascii="黑体" w:hAnsi="黑体" w:eastAsia="黑体" w:cs="黑体"/>
          <w:sz w:val="32"/>
          <w:szCs w:val="32"/>
        </w:rPr>
        <w:t>情况</w:t>
      </w:r>
    </w:p>
    <w:p w14:paraId="424941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（一）自评的组织工作</w:t>
      </w:r>
    </w:p>
    <w:p w14:paraId="320452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组织管理情况</w:t>
      </w:r>
    </w:p>
    <w:p w14:paraId="084066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我局高度重视本次自评工作，成立了由局主要领导任组长、分管领导任副组长，各业务科室及下属单位负责人为成员的自评工作领导小组，明确了牵头科室、责任分工与时间节点，形成“主要领导亲自抓、分管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领导具体抓、各科室协同落实”的工作格局，确保自评工作组织有序、责任到人。</w:t>
      </w:r>
    </w:p>
    <w:p w14:paraId="103484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2.评价资料收集情况</w:t>
      </w:r>
    </w:p>
    <w:p w14:paraId="698C01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严格按照自评工作要求，全面梳理民政业务相关台账资料，包括政策文件、会议纪要、财务凭证、项目档案、统计报表、民生数据等，对救助管理、地名管理、社会福利等重点领域资料进行分类整理、交叉核对，确保资料真实、完整、可追溯，为评价工作提供扎实的数据支撑。</w:t>
      </w:r>
    </w:p>
    <w:p w14:paraId="022479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评价过程管理情况</w:t>
      </w:r>
    </w:p>
    <w:p w14:paraId="76B4AF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严格遵循“客观公正、实事求是”的原则，制定自评工作方案，明确评价指标、评价标准与工作流程，通过科室自查的方式，对各项工作完成情况进行逐项对照检查，及时记录问题、分析原因，确保评价过程规范透明，评价结果真实反映工作实际。</w:t>
      </w:r>
    </w:p>
    <w:p w14:paraId="416C2E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eastAsia="zh-CN"/>
        </w:rPr>
        <w:t>（二）</w:t>
      </w:r>
      <w:r>
        <w:rPr>
          <w:rFonts w:hint="eastAsia" w:ascii="楷体_GB2312" w:hAnsi="楷体_GB2312" w:eastAsia="楷体_GB2312" w:cs="楷体_GB2312"/>
          <w:bCs/>
          <w:sz w:val="32"/>
          <w:szCs w:val="32"/>
        </w:rPr>
        <w:t>自评的方法和过程</w:t>
      </w:r>
    </w:p>
    <w:p w14:paraId="4DB5E2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1.准备阶段：传达文件精神，组织学习评价标准，明确自评范围、内容和要求；</w:t>
      </w:r>
    </w:p>
    <w:p w14:paraId="494CC5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2.自查阶段：各科室对照工作目标和评价指标，全面开展自查自纠，梳理工作成效、问题短板并形成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项目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自查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表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；</w:t>
      </w:r>
    </w:p>
    <w:p w14:paraId="309E0F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汇总阶段：汇总形成自评报告，梳理经验做法，分析存在问题，提出改进措施，确保自评工作闭环管理。</w:t>
      </w:r>
    </w:p>
    <w:p w14:paraId="0280E8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三、部门整体支出绩效目标实现情况及指标分析</w:t>
      </w:r>
    </w:p>
    <w:p w14:paraId="30911F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Cs/>
          <w:sz w:val="32"/>
          <w:szCs w:val="32"/>
        </w:rPr>
        <w:t>总体绩效目标实现情况</w:t>
      </w:r>
    </w:p>
    <w:p w14:paraId="47DD4F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2025年，我局</w:t>
      </w:r>
      <w:r>
        <w:rPr>
          <w:rFonts w:hint="eastAsia" w:ascii="仿宋_GB2312" w:hAnsi="仿宋_GB2312" w:eastAsia="仿宋_GB2312" w:cs="仿宋_GB2312"/>
          <w:sz w:val="32"/>
          <w:szCs w:val="32"/>
        </w:rPr>
        <w:t>坚持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“以民为本、为民解困、为民服务”的核心理念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认真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做好基本民生保障、基层社会治理、基本社会服务等各项工作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着力保障城乡困难群众基本生活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建立完善困难群众保障机制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进一步推进社会养老体系建设，为老人提供更加优质多元化的服务，对全区80周岁以上老人实施高龄津贴普惠制度。继续稳步推进民政各项工作的开展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努力开创新时代民政工作新局面。</w:t>
      </w:r>
    </w:p>
    <w:p w14:paraId="2F6663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楷体" w:hAnsi="楷体" w:eastAsia="楷体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（二）分项绩效目标实现情况及指标分析</w:t>
      </w:r>
    </w:p>
    <w:p w14:paraId="6F9D6C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1.产出指标完成情况分析。</w:t>
      </w:r>
    </w:p>
    <w:p w14:paraId="6D8306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（1）数量指标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</w:rPr>
        <w:t>年12月全区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共发放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低保对象115965人次；</w:t>
      </w:r>
      <w:r>
        <w:rPr>
          <w:rFonts w:hint="eastAsia" w:ascii="仿宋_GB2312" w:hAnsi="仿宋_GB2312" w:eastAsia="仿宋_GB2312" w:cs="仿宋_GB2312"/>
          <w:sz w:val="32"/>
          <w:szCs w:val="32"/>
        </w:rPr>
        <w:t>特困供养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890</w:t>
      </w:r>
      <w:r>
        <w:rPr>
          <w:rFonts w:hint="eastAsia" w:ascii="仿宋_GB2312" w:hAnsi="仿宋_GB2312" w:eastAsia="仿宋_GB2312" w:cs="仿宋_GB2312"/>
          <w:sz w:val="32"/>
          <w:szCs w:val="32"/>
        </w:rPr>
        <w:t>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。我局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全面落实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孤儿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生活保障政策，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对孤儿全部纳入保障范围，</w:t>
      </w: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</w:rPr>
        <w:t>年全区散居孤儿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及事实无人抚养儿童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共补贴1408人次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对符合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条件的</w:t>
      </w:r>
      <w:r>
        <w:rPr>
          <w:rFonts w:hint="eastAsia" w:ascii="仿宋_GB2312" w:hAnsi="仿宋_GB2312" w:eastAsia="仿宋_GB2312" w:cs="仿宋_GB2312"/>
          <w:sz w:val="32"/>
          <w:szCs w:val="32"/>
        </w:rPr>
        <w:t>重度残疾人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</w:rPr>
        <w:t>困难残疾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人，共计发放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122616人次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生活补贴和护理补贴，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eastAsia="zh-CN"/>
        </w:rPr>
        <w:t>切实改善我区残疾人的基本生活。</w:t>
      </w: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 w:bidi="ar"/>
        </w:rPr>
        <w:t>对全区80周岁以上老人实施高龄津贴普惠制度，2025年12月全区享受补贴高龄老人共计16790人。</w:t>
      </w:r>
    </w:p>
    <w:p w14:paraId="448DEA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（2）质量指标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：全面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  <w:t>推进农村低保扩面工作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 w:bidi="ar"/>
        </w:rPr>
        <w:t>农村低保保障率进一步提高。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建立健全社会救助家庭经济状况核对机制，基本实现低保对象精准认定、精准救助。</w:t>
      </w:r>
      <w:r>
        <w:rPr>
          <w:rFonts w:hint="eastAsia" w:ascii="仿宋_GB2312" w:hAnsi="仿宋_GB2312" w:eastAsia="仿宋_GB2312" w:cs="仿宋_GB2312"/>
          <w:sz w:val="32"/>
          <w:szCs w:val="32"/>
        </w:rPr>
        <w:t>建立孤儿最低养育标准自然增长机制，提高孤残儿童基本生活水平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对符合享受孤儿基本生活费补贴条件的儿童做到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及时</w:t>
      </w:r>
      <w:r>
        <w:rPr>
          <w:rFonts w:hint="eastAsia" w:ascii="仿宋_GB2312" w:hAnsi="仿宋_GB2312" w:eastAsia="仿宋_GB2312" w:cs="仿宋_GB2312"/>
          <w:sz w:val="32"/>
          <w:szCs w:val="32"/>
        </w:rPr>
        <w:t>审批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，孤儿认定准确率达到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100%。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建立了农村留守儿童关爱保护和困境儿童保障工作联席会议制度，成立了未成年人救助保护中心，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农村留守儿童、困境儿童纳入监测范围率为100%。对流浪乞讨人员加大救助力度，救助率达到100%。</w:t>
      </w: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 w:bidi="ar"/>
        </w:rPr>
        <w:t>对全区80周岁以上老人实施高龄津贴普惠制度，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进一步</w:t>
      </w:r>
      <w:r>
        <w:rPr>
          <w:rFonts w:hint="eastAsia" w:ascii="仿宋_GB2312" w:hAnsi="仿宋_GB2312" w:eastAsia="仿宋_GB2312" w:cs="仿宋_GB2312"/>
          <w:sz w:val="32"/>
          <w:szCs w:val="32"/>
        </w:rPr>
        <w:t>推进全区福利事业发展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。各项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补助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资金全部实行社会化发放，发放率达到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100%。</w:t>
      </w:r>
    </w:p>
    <w:p w14:paraId="6DA9997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时效指标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2025年度困难群众救助补助以及其他各项资金做到了及时审批，及时发放，保障了困难群众及救助对象的基本生活。</w:t>
      </w:r>
    </w:p>
    <w:p w14:paraId="7D157B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（4）成本指标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：各项补贴资金严格按照有关文件规定执行，农村低保保障标准为每人每年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7920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元，城镇低保提高到每人每月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10560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元。农村特困人员救助供养标准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860元/人/年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，城市特困人员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1150元/人/年。</w:t>
      </w: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 w:bidi="ar"/>
        </w:rPr>
        <w:t>80-89周岁老人补贴标准50元/月/人、90-99周岁老人补贴标准100元/月/人、百岁老人补贴标准400元/人/月。集中供养孤儿1900元/月/人，分散供养1400元/月/人。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困难残疾人生活补贴标准为110元/人/月；重度残疾人护理补贴标准享受低保1级残疾230元/人/月、2级130元/人/月，不享受低保1-2级残疾100元/人/月。流浪乞讨人员救助100%按当地支出标准执行。</w:t>
      </w:r>
    </w:p>
    <w:p w14:paraId="4A6523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2.效益指标完成情况分析。</w:t>
      </w:r>
    </w:p>
    <w:p w14:paraId="34C37E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（1）经济效益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：不断完善困难群众基本生活救助体系，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积极全面保障困难群众的基本生活，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困难群众生活水平稳步提升，促进我区经济社会发展，维护社会稳定。</w:t>
      </w:r>
    </w:p>
    <w:p w14:paraId="0C148E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（2）社会效益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立足于发挥好政府救助体系拾遗补缺作用这个功能定位，面向弱势群体，从党和政府最关心的问题和困难群众最需要解决的困难入手，开展了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圆梦助学、明天计划、重阳助老、应急救助、扶幼助孤等多形式、多渠道慈善救助活动，对社会上困难群体实施帮扶救助。按照居家养老为主，社区养老为辅、机构养老为补充的总体思路，切实提升养老服务水平，为全区老人提供更加优质多元化的服务。</w:t>
      </w:r>
    </w:p>
    <w:p w14:paraId="059046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3）生态效益指标：加大殡葬管理工作，加大殡葬改革宣传力度，推进节地生态安葬，积极倡导文明丧葬新风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增加社会影响力，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火化率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达到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100%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加强尾气处理设备改造，减少空气污染，推动全区殡葬服务有序开展。</w:t>
      </w:r>
    </w:p>
    <w:p w14:paraId="3A8504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right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四、评价结论和评价等级</w:t>
      </w:r>
    </w:p>
    <w:p w14:paraId="627D79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根据部门职责定位和各项工作履职情况进行综合评价，给出总得分，满分100分，得出综合绩效评价等级。部门整体支出综合绩效评价分为4个等级：得分≥85分为优秀；75≤得分＜85分为良好；60≤得分＜75分为一般；得分＜60分为较差。</w:t>
      </w:r>
    </w:p>
    <w:p w14:paraId="37744A88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right="0" w:firstLine="640" w:firstLineChars="200"/>
        <w:textAlignment w:val="auto"/>
        <w:outlineLvl w:val="9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存在的问题及改进措施</w:t>
      </w:r>
    </w:p>
    <w:p w14:paraId="4CE669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（一）存在的主要问题</w:t>
      </w:r>
    </w:p>
    <w:p w14:paraId="1B6B3A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预算执行缺乏对资金使用情况的综合评价，部分资金执行率偏低。</w:t>
      </w:r>
    </w:p>
    <w:p w14:paraId="385261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（二）针对问题提出具体的改进措施或建议</w:t>
      </w:r>
    </w:p>
    <w:p w14:paraId="372548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下一步将进一步加强预算资金管理，精准测算资金需求，及时了解预算执行差异，分析存在问题和原因，及时合理调整、纠正预算执行偏差，充分论证、科学规范设定绩效指标，加大资金保障力度，加快资金执行进度，确保绩效目标如期实现，切实提高部门预算收支管理水平。</w:t>
      </w:r>
    </w:p>
    <w:sectPr>
      <w:headerReference r:id="rId3" w:type="default"/>
      <w:footerReference r:id="rId4" w:type="default"/>
      <w:pgSz w:w="11906" w:h="16838"/>
      <w:pgMar w:top="2098" w:right="1474" w:bottom="1984" w:left="1587" w:header="851" w:footer="1701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6C66B05-8974-4595-9133-C30B556E22E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2CEA10FC-3F4E-4107-A864-DC2D742A5A8C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3A6C240D-2F8E-4DDD-B90D-AD4720DB22A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EA198BDA-FD9B-412C-B889-EA6076630054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B6B1E54C-8A60-45FA-8105-7F73ACA9A9E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A1536C9D-875B-4536-9A12-CA4DCDF4BD97}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7" w:fontKey="{F0490672-1976-4EBE-9335-F1E4F068F368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8" w:fontKey="{80A47D90-3E53-486E-9B3A-E8FCDD787D19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9" w:fontKey="{30DB77C4-A68D-4D04-BC96-0972054A7535}"/>
  </w:font>
  <w:font w:name="国标宋体">
    <w:altName w:val="宋体"/>
    <w:panose1 w:val="02000500000000000000"/>
    <w:charset w:val="86"/>
    <w:family w:val="auto"/>
    <w:pitch w:val="default"/>
    <w:sig w:usb0="00000000" w:usb1="00000000" w:usb2="00000000" w:usb3="00000000" w:csb0="00060007" w:csb1="00000000"/>
    <w:embedRegular r:id="rId10" w:fontKey="{F5B59DE3-2872-4BDB-8290-5E8C6F09A13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940F4C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EF6B16">
                          <w:pPr>
                            <w:pStyle w:val="5"/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EF6B16">
                    <w:pPr>
                      <w:pStyle w:val="5"/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</w:pP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797871">
    <w:pPr>
      <w:pStyle w:val="6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E0822F"/>
    <w:multiLevelType w:val="singleLevel"/>
    <w:tmpl w:val="98E0822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ABC366F"/>
    <w:multiLevelType w:val="singleLevel"/>
    <w:tmpl w:val="CABC366F"/>
    <w:lvl w:ilvl="0" w:tentative="0">
      <w:start w:val="3"/>
      <w:numFmt w:val="decimal"/>
      <w:suff w:val="nothing"/>
      <w:lvlText w:val="（%1）"/>
      <w:lvlJc w:val="left"/>
    </w:lvl>
  </w:abstractNum>
  <w:abstractNum w:abstractNumId="2">
    <w:nsid w:val="330718AF"/>
    <w:multiLevelType w:val="singleLevel"/>
    <w:tmpl w:val="330718AF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NGE2ZDVhYjFkNzNmZjA0ZTExM2M2ODcxZGVjNWRjNGEifQ=="/>
  </w:docVars>
  <w:rsids>
    <w:rsidRoot w:val="00000000"/>
    <w:rsid w:val="02B1196D"/>
    <w:rsid w:val="1213745F"/>
    <w:rsid w:val="134F6B82"/>
    <w:rsid w:val="13955CCA"/>
    <w:rsid w:val="13B34791"/>
    <w:rsid w:val="22472522"/>
    <w:rsid w:val="27EF5A03"/>
    <w:rsid w:val="2FE353D3"/>
    <w:rsid w:val="3DDE37D0"/>
    <w:rsid w:val="3FFFD1B0"/>
    <w:rsid w:val="4EFD58CB"/>
    <w:rsid w:val="5366C1BB"/>
    <w:rsid w:val="572241BD"/>
    <w:rsid w:val="58B8456C"/>
    <w:rsid w:val="5CFEBA53"/>
    <w:rsid w:val="5E2FC5CB"/>
    <w:rsid w:val="67F39597"/>
    <w:rsid w:val="69206851"/>
    <w:rsid w:val="796C4B79"/>
    <w:rsid w:val="7C7B0145"/>
    <w:rsid w:val="7F844806"/>
    <w:rsid w:val="BB8F3284"/>
    <w:rsid w:val="BF67F3AE"/>
    <w:rsid w:val="D6D9CE45"/>
    <w:rsid w:val="DFF756FC"/>
    <w:rsid w:val="E5F21BF3"/>
    <w:rsid w:val="EFFE328E"/>
    <w:rsid w:val="F39982A8"/>
    <w:rsid w:val="F8FE090C"/>
    <w:rsid w:val="F9BE4E02"/>
    <w:rsid w:val="FEDFBD95"/>
    <w:rsid w:val="FF7D6198"/>
    <w:rsid w:val="FFF9E569"/>
    <w:rsid w:val="FFFDE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0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link w:val="1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heading 1 Char"/>
    <w:basedOn w:val="8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10">
    <w:name w:val="heading 2 Char"/>
    <w:basedOn w:val="8"/>
    <w:link w:val="3"/>
    <w:qFormat/>
    <w:uiPriority w:val="0"/>
    <w:rPr>
      <w:rFonts w:ascii="Times New Roman" w:hAnsi="Times New Roman" w:eastAsia="黑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11">
    <w:name w:val="heading 3 Char"/>
    <w:basedOn w:val="8"/>
    <w:link w:val="4"/>
    <w:qFormat/>
    <w:uiPriority w:val="0"/>
    <w:rPr>
      <w:rFonts w:ascii="Times New Roman" w:hAnsi="Times New Roman" w:eastAsia="宋体" w:cs="Times New Roman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主题​​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1"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  <a:round/>
        </a:ln>
        <a:ln w="25400" cap="flat" cmpd="sng">
          <a:solidFill>
            <a:schemeClr val="phClr"/>
          </a:solidFill>
          <a:prstDash val="solid"/>
          <a:round/>
        </a:ln>
        <a:ln w="38100" cap="flat" cmpd="sng">
          <a:solidFill>
            <a:schemeClr val="phClr"/>
          </a:solidFill>
          <a:prstDash val="solid"/>
          <a:round/>
        </a:ln>
      </a:lnStyleLst>
      <a:effectStyleLst>
        <a:effectStyle>
          <a:effectLst>
            <a:outerShdw blurRad="40000" dist="20000" dir="5400000" rotWithShape="0">
              <a:srgbClr val="000000">
                <a:alpha val="37647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50000" r="50000" b="5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Lenovo</Company>
  <Pages>9</Pages>
  <Words>614</Words>
  <Characters>633</Characters>
  <Lines>0</Lines>
  <Paragraphs>31</Paragraphs>
  <TotalTime>12</TotalTime>
  <ScaleCrop>false</ScaleCrop>
  <LinksUpToDate>false</LinksUpToDate>
  <CharactersWithSpaces>633</CharactersWithSpaces>
  <Application>WPS Office_12.8.2.18205_F1E327BC-269C-435d-A152-05C5408002CA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2019-11-15T08:58:00Z</dcterms:created>
  <dc:creator>user</dc:creator>
  <cp:lastModifiedBy>Administrator</cp:lastModifiedBy>
  <cp:lastPrinted>2021-02-25T13:43:00Z</cp:lastPrinted>
  <dcterms:modified xsi:type="dcterms:W3CDTF">2026-05-08T08:13:49Z</dcterms:modified>
  <dc:title>附件2： 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28C64EFCB758481798A31117B3E7B5E3</vt:lpwstr>
  </property>
  <property fmtid="{D5CDD505-2E9C-101B-9397-08002B2CF9AE}" pid="4" name="KSOTemplateDocerSaveRecord">
    <vt:lpwstr>eyJoZGlkIjoiNzljNTRhNTNjOWE4MjBkMjQxNjdkNzdjYmE3M2NkNDQiLCJ1c2VySWQiOiIyNjg1NDQzODEifQ==</vt:lpwstr>
  </property>
</Properties>
</file>