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F9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1D78A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石家庄市藁城市市场监督管理局部门</w:t>
      </w:r>
    </w:p>
    <w:p w14:paraId="4F349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整体支出绩效自评报告</w:t>
      </w:r>
    </w:p>
    <w:p w14:paraId="4408A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EF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为贯彻落实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区委区政府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关于全面落实预算绩效管理的实施意见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藁发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文件精神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遵循“科学性、规范性、客观性和公正性”的原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则，现对本部门202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年度整体支出情况实施财政支出绩效评价，形成本评价报告。</w:t>
      </w:r>
    </w:p>
    <w:p w14:paraId="08377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部门基本情况</w:t>
      </w:r>
    </w:p>
    <w:p w14:paraId="154BC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（一）部门概况</w:t>
      </w:r>
    </w:p>
    <w:p w14:paraId="2E0E7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default" w:ascii="Calibri" w:hAnsi="Calibri" w:eastAsia="楷体" w:cs="Calibri"/>
          <w:sz w:val="32"/>
          <w:szCs w:val="32"/>
          <w:lang w:val="en-US" w:eastAsia="zh-CN"/>
        </w:rPr>
        <w:t>①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部门职责</w:t>
      </w:r>
    </w:p>
    <w:p w14:paraId="65370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市场监督管理有关地方性法规、政府规章，组织实施质量强区战略、食品安全战略、标准化战略、知识产权战略，拟订市场监督管理规划并组织实施，规范和维护市场秩序，营造诚实守信、公平竞争的市场环境。</w:t>
      </w:r>
    </w:p>
    <w:p w14:paraId="2239D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负责市场主体信用建设，建立市场主体信息公示和共享机制，依法公示和共享有关信息，加强信用监管，推动市场主体信用体系建设。</w:t>
      </w:r>
    </w:p>
    <w:p w14:paraId="52A47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负责市场监管综合执法工作，负责市场监管综合执法队伍建设工作，推动实行统一的市场监管；组织查处重大违法案件；规范市场监管行政执法行为。</w:t>
      </w:r>
    </w:p>
    <w:p w14:paraId="2207C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监督管理市场秩序，依法监督管理市场交易、网络商品交易及有关服务的行为；依法查处价格收费违法违规、不正当竞争、违法直销、传销、侵犯商标专利知识产权和制售假冒伪劣行为；负责全区广告业发展，监督管理广告活动；依法查处无照生产经营和相关无证生产经营行为；负责维护消费者权益；根据上级授权，负责对经营者集中行为进行反垄断审查，负责垄断协议、滥用市场支配地位和滥用行政权力排除、限制竞争等反垄断执法工作。</w:t>
      </w:r>
    </w:p>
    <w:p w14:paraId="70A0A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区宏观质量管理工作，贯彻落实质量发展制度和措施。统筹全区质量基础设施建设与应用，会同有关部门组织实施重大工程设备质量监理制度，组织重大质量事故调查，组织实施缺陷产品召回制度，监督管理产品防伪工作。</w:t>
      </w:r>
    </w:p>
    <w:p w14:paraId="3AAEA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负责全区产品质量安全监督管理工作，承担区级产品质量安全风险监控、监督抽查工作；组织实施质量分级制度、质量安全追溯制度；负责纤维质量监督工作。</w:t>
      </w:r>
    </w:p>
    <w:p w14:paraId="580A1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负责全区特种设备安全监督管理工作，负责特种设备安全监察、监督管理工作，监督检查高耗能特种设备节能标准和锅炉环境保护标准的执行情况。</w:t>
      </w:r>
    </w:p>
    <w:p w14:paraId="79E35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负责综合协调食品安全监督管理工作，贯彻落实食品安全政策，推动健全食品安全党政同责和跨部门协调联动机制，负责食品安全应急体系建设，负责食品安全事件应急处置和调查处理工作， 建立健全食品安全信息统一公布和重要信息直报制度；承担藁城区食品安全委员会日常工作。</w:t>
      </w:r>
    </w:p>
    <w:p w14:paraId="4C374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负责食品安全监督管理工作，建立覆盖食品生产、流通、 消费全过程的监督检查制度和隐患排查治理机制并组织实施，防范食品安全风险；推动建立食品生产经营者落实主体责任的机制，健全食品安全追溯体系。参与食品安全风险监测，组织开展食品安全监督抽检、核查处置和风险预警、风险交流工作；按职责分工负责特殊食品监督管理工作；负责重大活动食品安全保障。</w:t>
      </w:r>
    </w:p>
    <w:p w14:paraId="09E52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负责统一管理全区计量工作。推行法定计量单位和国家计量制度，管理计量器具及量值传递和比对工作。规范、监督商品量和市场计量行为。</w:t>
      </w:r>
    </w:p>
    <w:p w14:paraId="2C1DE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负责统一管理全区标准化工作，宣传贯彻强制性、推荐性国家标准和行业标准、地方标准；依法协调指导和监督团体标准、企业标准制定工作。</w:t>
      </w:r>
    </w:p>
    <w:p w14:paraId="7DEEA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负责统一管理全区检验检测工作，推进检验检测机构改革，规范检验检测市场，完善检验检测体系，指导协调检验检测行业发展。</w:t>
      </w:r>
    </w:p>
    <w:p w14:paraId="242B7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负责统一管理、监督和协调全区认证认可工作，组织实施国家统一的认证认可和合格评定监督管理制度。</w:t>
      </w:r>
    </w:p>
    <w:p w14:paraId="2F41F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负责推进全区知识产权管理工作，拟订加强知识产权强区建设发展规划并组织实施，拟订强化知识产权创造、保护和运用的政策和制度并组织实施。</w:t>
      </w:r>
    </w:p>
    <w:p w14:paraId="467B7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保护知识产权工作，贯彻落实严格保护商标、专利、原产地地理标志、集成电路布图设计等知识产权地方性法规、政府规章。按照国家知识产权保护体系建设方案，推动建设知识产权保护体系；负责商标、专利执法工作，负责知识产权争议处理、维权援助和纠纷调处，承担京津冀知识产权执法协作工作。</w:t>
      </w:r>
    </w:p>
    <w:p w14:paraId="43FA2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负责促进知识产权运用工作，贯彻落实知识产权运用和规范交易管理办法，促进知识产权转移转化；规范知识产权无形资产评估工作； 负责知识产权中介服务发展的监督管理工作。</w:t>
      </w:r>
    </w:p>
    <w:p w14:paraId="26137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负责建立知识产权公共服务体系，建设便企利民、互联互通的全区知识产权信息公共服务平台，推动商标、专利等知识产权信息的传播利用。</w:t>
      </w:r>
    </w:p>
    <w:p w14:paraId="6AC6A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18、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承担上级授权的知识产权代办工作任务，组织实施原产地地理标志统一认定制度。</w:t>
      </w:r>
    </w:p>
    <w:p w14:paraId="54313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负责市场监督管理科技和信息化建设、新闻宣传、对外交流与合作；负责协调本区涉外知识产权事宜。</w:t>
      </w:r>
    </w:p>
    <w:p w14:paraId="79359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责药品（含中药、民族药，下同）、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医疗器械和化妆品安全监督管理。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贯彻执行国家、省药品、医疗器械和化妆品法律法规，以及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鼓励药品、医疗器械和化妆品新技术新产品的管理与服务政策，拟订监督管理措施并组织实施，贯彻落实相关地方性法规、政府规章。</w:t>
      </w:r>
    </w:p>
    <w:p w14:paraId="07B61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21、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负责药品、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医疗器械和化妆品质量管理工作，依职责监督实施药品、医疗器械经营质量管理规范。</w:t>
      </w:r>
    </w:p>
    <w:p w14:paraId="5F3C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组织开展药品、化妆品不良反应监测、医疗器械不良事件监测工作，依法承担药品、医疗器械和化妆品安全应急管理工作。</w:t>
      </w:r>
    </w:p>
    <w:p w14:paraId="4717E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负责药品、医疗器械和化妆品监督检查工作，贯彻落实国家、省、市检查制度，依法查处药品、医疗器械和化妆品经营、使用环节的违法行为。</w:t>
      </w:r>
    </w:p>
    <w:p w14:paraId="7FE00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组织开展药品、医疗器械和化妆品安全宣传、教育培训，推进诚信体系建设。</w:t>
      </w:r>
    </w:p>
    <w:p w14:paraId="28887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负责全区药品监督管理工作。推动落实药品、医疗器械和化妆品安全企业主体责任，组织实施药品、医疗器械和化妆品安全考核。</w:t>
      </w:r>
    </w:p>
    <w:p w14:paraId="4B494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推进全区药品、医疗器械和化妆品安全监管信息化建设，负责制定药品、医疗器械和化妆品的安全科技发展规划，推动检验检测体系、电子监管追溯体系和信息化建设；完善药品、医疗器械和化妆品安全信息统一公布制度和重大信息直报制度，公布重大安全信息。</w:t>
      </w:r>
    </w:p>
    <w:p w14:paraId="62BC9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承接省、市市场监督管理局和省药品监督管理局委托区级实施的管理事项。</w:t>
      </w:r>
    </w:p>
    <w:p w14:paraId="4C4F1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完成区委、区政府交办的其他任务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3ECB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Calibri" w:hAnsi="Calibri" w:eastAsia="仿宋_GB2312" w:cs="Calibri"/>
          <w:sz w:val="32"/>
          <w:szCs w:val="32"/>
          <w:highlight w:val="none"/>
          <w:lang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组织机构及人员</w:t>
      </w:r>
    </w:p>
    <w:p w14:paraId="314069F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石家庄市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藁城区市场监督管理局（简称区市场监督管理局）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政府工作部门，机构规格正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石家庄市藁城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知识产权局牌子。</w:t>
      </w:r>
    </w:p>
    <w:p w14:paraId="576E1B4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区市场监督管理局机关行政编制100名。股级领导职数46名，其中机关内设机构股级职数34名（含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党委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专职副书记兼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机关纪委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书记1名、老干部科科长1名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），派出机构股级职数12名。</w:t>
      </w:r>
    </w:p>
    <w:p w14:paraId="3AA93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Calibri" w:hAnsi="Calibri" w:eastAsia="仿宋_GB2312" w:cs="Calibri"/>
          <w:sz w:val="32"/>
          <w:szCs w:val="32"/>
          <w:highlight w:val="none"/>
          <w:lang w:eastAsia="zh-CN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资产</w:t>
      </w:r>
    </w:p>
    <w:p w14:paraId="182BF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2025年12月31日，共有固定资产总计3634.26万元。</w:t>
      </w:r>
    </w:p>
    <w:p w14:paraId="5A49A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（二）部门收支预决算情况</w:t>
      </w:r>
    </w:p>
    <w:p w14:paraId="0E1DA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2025年预算收入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万元，其中：一般公共预算收入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万元，基金预算收入0万元，财政专户核拨收入0万元，其他来源收入0万元。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2025年部门支出预算为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万元，其中基本支出3765.47万元，包括人员经费3527.30万元和日常公用经费238.18万元；项目支出673.08万元，主要为市场主体管理、质量安全监管、食品安全监管、卫生健康支出等。2025年度决算收入合计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万元，其中：财政拨款收入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元，占100%；事业收入0万元，占0%；经营收入0万元，占0%；其他收入0万元，占0%。2025年度决算支出合计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4438.55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万元，年末结转结余0万元。其中：基本支出3765.47万元，占84.84%；项目支出673.08万元，占15.16%；经营支出0万元，占0%。</w:t>
      </w:r>
    </w:p>
    <w:p w14:paraId="003E6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（三）部门整体支出绩效目标、指标</w:t>
      </w:r>
    </w:p>
    <w:p w14:paraId="0D8B27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围绕区委、区政府重点决策部署，坚持改革创新，优化市场环境，创新监管方式，加强监管，推进监管执法现代化；创新制度机制，提升消费维权效能；充分发挥职能作用，切实加强队伍建设，主动作为，依法行政，促进经济健康平稳发展和社会和谐稳定。做强地理标志商标，做好地理标志商标申报工作，抓好马德里商标国际注册培育工作，增强品牌国际化意识，提升品牌竞争实力。积极搭建融资合作服务平台，持续推进融资助企服务活动深入开展。加强对药品和化妆品从研究、生产、流通、销售各个环节的监管力度，及时发现处置制假售假药问题。强化标准化综合管理水平，促进民营经济健康快速发展；开展计量监督活动提升计量监管水平，处理计量举报案件。提高全区整体商品质量水平，建立质量诚信制度，促进企业诚信经营，激励企业提升质量管理和产品质量，增加省服务名牌、省名牌产品等申报数量。加大特种设备监管力度，提高特种设备安全运行水平。</w:t>
      </w:r>
    </w:p>
    <w:p w14:paraId="76AD65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自评工作开展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099F9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（一）自评的组织工作</w:t>
      </w:r>
    </w:p>
    <w:p w14:paraId="14E7C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Calibri" w:hAnsi="Calibri" w:eastAsia="仿宋" w:cs="Calibri"/>
          <w:i w:val="0"/>
          <w:caps w:val="0"/>
          <w:color w:val="000000"/>
          <w:spacing w:val="0"/>
          <w:sz w:val="32"/>
          <w:szCs w:val="32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资料收集</w:t>
      </w:r>
    </w:p>
    <w:p w14:paraId="657237A2">
      <w:pPr>
        <w:pStyle w:val="2"/>
        <w:rPr>
          <w:rFonts w:hint="default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评价资料按照绩效评价方案，从绩效指标（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产出指标、效益指标、满意度指标、预算执行率指标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）进行准备，依次提供。</w:t>
      </w:r>
    </w:p>
    <w:p w14:paraId="23013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Calibri" w:hAnsi="Calibri" w:eastAsia="仿宋" w:cs="Calibri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评价过程</w:t>
      </w:r>
    </w:p>
    <w:p w14:paraId="188EE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按照绩效评价方案，同时结合市场监管工作的特点，绩效评价小组采取听取汇报、查看资料、实地考核等方法进行。从产出指标、效益指标、满意度指标、预算执行率指标四方方面制定评价指标。</w:t>
      </w:r>
    </w:p>
    <w:p w14:paraId="6D0653C4">
      <w:pPr>
        <w:pStyle w:val="2"/>
        <w:rPr>
          <w:rFonts w:hint="default" w:ascii="仿宋" w:hAnsi="仿宋" w:eastAsia="仿宋" w:cs="仿宋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Calibri" w:hAnsi="Calibri" w:eastAsia="仿宋" w:cs="Calibri"/>
          <w:i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评价工作管理组织</w:t>
      </w:r>
    </w:p>
    <w:p w14:paraId="4702D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实做好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年度部门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绩效自评工作，提高财政资金使用效益，根据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石家庄市藁城区区级部门项目绩效自评管理办法》（藁财字【2020】23号)要求，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我局制定了《20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年度财政专项资金部门绩效自评价工作方案》，成立以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王哲局长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为组长、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党组成员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为成员的自评工作领导小组，为自评工作的开展提供了制度保障和组织保障。</w:t>
      </w:r>
    </w:p>
    <w:p w14:paraId="7A15E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自评的方法和过程</w:t>
      </w:r>
    </w:p>
    <w:p w14:paraId="74A4EF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按照绩效评价方案，同时结合市场监管工作的特点，绩效评价小组采取听取汇报、查看资料、实地考核等方法进行。从产出指标、效益指标、满意度指标、预算执行率指标四方方面制定评价指标。</w:t>
      </w:r>
    </w:p>
    <w:p w14:paraId="60A13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在开展预算自评工作时，针对具体绩效评价对象的特点，设计能够体现项目特点绩效评价指标体系。绩效指标权重根据评价对象实际情况确定，总分设定为100分。原则上一级指标权重统一设置为：产出指标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分（包含数量、质量、时效、成本）、预算执行率指标10分、效益指标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分（包含经济效益、社会效益、生态效益、可持续影响）、满意度指标10分。</w:t>
      </w:r>
    </w:p>
    <w:p w14:paraId="505CA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二、三级指标所占权重应当根据指标重要程度、项目实施阶段等因素综合确定，准确反映预算项目的产出和效果。</w:t>
      </w:r>
    </w:p>
    <w:p w14:paraId="382CF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同类评价对象的指标权重设置应当基本一致，便于评价结果相互比较。</w:t>
      </w:r>
    </w:p>
    <w:p w14:paraId="3F228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三、部门整体支出绩效目标实现情况及指标分析</w:t>
      </w:r>
    </w:p>
    <w:p w14:paraId="6179E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总体绩效目标实现情况</w:t>
      </w:r>
    </w:p>
    <w:p w14:paraId="5B51B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我局 2025年预算安排的21个项目进行了绩效自评，实现了项目绩效自评的全覆盖。根据自评结果，11个项目自评结果为优秀。10个项目自评结果为较差。从整体上来看，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区市场局按照区委、区政府和上级市场监管部门安排部署，围绕市场监管大局，创造性开展市场监管工作，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强化思想政治引领，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我局各项目工作开展良好，保障了我局各项工作的正常开展，完成了年初设定的工作目标。</w:t>
      </w:r>
    </w:p>
    <w:p w14:paraId="0D0F4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（二）分项绩效目标实现情况及指标分析</w:t>
      </w:r>
    </w:p>
    <w:p w14:paraId="1F9D7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指标、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、时效、成本效益等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，11个项目均完成了数量指标任务，依照预算绩效表设定的数量指标，从提供的数量、质量以及时效和成本依据进行评价，均为满分完成。10个项目因资金未到位，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完成数量、质量、时效、成本效益等方面，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未完成指标。</w:t>
      </w:r>
    </w:p>
    <w:p w14:paraId="6D7ED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四、评价结论和评价等级</w:t>
      </w:r>
    </w:p>
    <w:p w14:paraId="46418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部门职责定位和各项工作履职情况进行综合评价，给出总得分，满分100分，得出综合绩效评价等级。部门整体支出综合绩效评价分为4个等级：得分≥85分为优秀；75≤得分＜85分为良好；60≤得分＜75分为一般；得分＜60分为较差。</w:t>
      </w:r>
    </w:p>
    <w:p w14:paraId="0CEAFE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全年项目进行绩效评价，逐项分析每个项目产出和效果指标完成情况，并汇总整体得分、评价等级。</w:t>
      </w:r>
    </w:p>
    <w:tbl>
      <w:tblPr>
        <w:tblStyle w:val="8"/>
        <w:tblW w:w="90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682"/>
        <w:gridCol w:w="902"/>
        <w:gridCol w:w="942"/>
        <w:gridCol w:w="745"/>
        <w:gridCol w:w="942"/>
        <w:gridCol w:w="1096"/>
        <w:gridCol w:w="1096"/>
      </w:tblGrid>
      <w:tr w14:paraId="7E2E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06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部门绩效自评结果汇总表</w:t>
            </w:r>
          </w:p>
        </w:tc>
      </w:tr>
      <w:tr w14:paraId="42F6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8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预算执行率（10分）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9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分）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C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满意度指标（10分）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E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E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评价等级</w:t>
            </w:r>
          </w:p>
        </w:tc>
      </w:tr>
      <w:tr w14:paraId="54102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1" w:colFirst="2" w:colLast="5"/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7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办公场所维修（护）及租赁经费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5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4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bookmarkEnd w:id="0"/>
      <w:tr w14:paraId="0824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D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2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拨付吴玉生补发抚恤金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4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7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0E8E2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C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关于张锁平、黄志峰2人申请补缴养老保险的请示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C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4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14B2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C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商品质量检测、标准计量及监管经费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4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7F79E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7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石财行【2023】45号关于提前下达2024年省级市场监管补助经费的通知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F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6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3F6DE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2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石财行【2024】31号关于提前下达2025年省级市场监管补助经费的通知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1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1EE7D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3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石财行【2025】14号关于下达2025年知识产权融资补助资金的通知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B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F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3D59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3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石财行【2025】15号关于下达2025年市政府质量奖奖励资金的通知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A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3D3D8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6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石财行【2025】17号关于下达2025年第二批知识产权高质量发展（运用促进奖补）资金的通知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7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7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0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69DB5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6F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石财行【2025】2号关于下达2025年市级标准化资助项目资金的通知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A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较差</w:t>
            </w:r>
          </w:p>
        </w:tc>
      </w:tr>
      <w:tr w14:paraId="15B9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F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石财行【2025】5号关于下达2025年第一批知识产权高质量发展（商标、地理标志）奖补资金的通知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9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33A3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D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8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食品、食用农产品抽检经费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5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4C97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1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市场监管经费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A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7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34AF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市场监管局化解企业拖欠账款九月八日（本级）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F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F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C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49F8E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FE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市场监管局化解拖欠企业账款（本级）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C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0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1868D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D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市场监管局劳务派遣经费（协管员）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9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23831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E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信息化建设运行维护费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F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C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7DBF6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6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自收自支人员工资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4E22A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A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石财行【2024】15号关于下达2024年第二批知识产权高质量发展（运用促进奖补）资金的通知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5E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较差</w:t>
            </w:r>
          </w:p>
        </w:tc>
      </w:tr>
      <w:tr w14:paraId="27F3C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A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石财行【2024】15号关于下达2024年第二批知识产权高质量发展（运用促进奖补）资金的通知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D0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较差</w:t>
            </w:r>
          </w:p>
        </w:tc>
      </w:tr>
      <w:tr w14:paraId="0EF9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B1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石财行【2024】21号关于下达2024年第三批知识产权高质量发展（保护）奖补资金的通知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0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3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较差</w:t>
            </w:r>
          </w:p>
        </w:tc>
      </w:tr>
    </w:tbl>
    <w:p w14:paraId="7307825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42291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存在的问题及改进措施</w:t>
      </w:r>
    </w:p>
    <w:p w14:paraId="26600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（一）存在的主要问题</w:t>
      </w:r>
    </w:p>
    <w:p w14:paraId="6C40D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受年度财力统筹及预算安排影响，未能及时完成各项指标。</w:t>
      </w:r>
    </w:p>
    <w:p w14:paraId="45B981A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针对问题提出具体的改进措施或建议</w:t>
      </w:r>
    </w:p>
    <w:p w14:paraId="125BEB40"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强化预算执行统筹，提升预算执行及时性。</w:t>
      </w:r>
    </w:p>
    <w:p w14:paraId="5A8DCE85">
      <w:pPr>
        <w:pStyle w:val="2"/>
        <w:ind w:left="0" w:leftChars="0" w:firstLine="0" w:firstLineChars="0"/>
      </w:pPr>
      <w:r>
        <w:drawing>
          <wp:inline distT="0" distB="0" distL="114300" distR="114300">
            <wp:extent cx="5608320" cy="4351020"/>
            <wp:effectExtent l="0" t="0" r="508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11C4">
      <w:pPr>
        <w:pStyle w:val="2"/>
        <w:ind w:left="0" w:leftChars="0" w:firstLine="0" w:firstLineChars="0"/>
      </w:pPr>
    </w:p>
    <w:p w14:paraId="108C0BAC">
      <w:pPr>
        <w:pStyle w:val="2"/>
        <w:ind w:left="0" w:leftChars="0" w:firstLine="0" w:firstLineChars="0"/>
      </w:pPr>
      <w:r>
        <w:drawing>
          <wp:inline distT="0" distB="0" distL="114300" distR="114300">
            <wp:extent cx="5608955" cy="4202430"/>
            <wp:effectExtent l="0" t="0" r="4445" b="12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20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9CD5A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608955" cy="4312920"/>
            <wp:effectExtent l="0" t="0" r="4445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09ED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33EF031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E77727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70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337DE6-D2FF-4DD4-A8AF-74C0641FC7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9D6883-3046-4FBF-864B-D1615F70AF6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2D0977A6-D25D-4D6F-B6CF-34640109CD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B870AD8-6F43-4FB8-8056-06933481CE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E4886148-4C0B-4D5E-9D17-939F36718BE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32FA619-488C-406F-A3C8-D645CD73843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DDD8A60-5C19-443A-8736-C29B9989957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8" w:fontKey="{38FF99A1-FA5B-4BC0-B610-A6F36C6E4108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9" w:fontKey="{C8FB9A7D-A835-4D48-869D-3604695CE3F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5FC8B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0F9CB">
                          <w:pPr>
                            <w:pStyle w:val="6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90F9CB">
                    <w:pPr>
                      <w:pStyle w:val="6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08898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E0822F"/>
    <w:multiLevelType w:val="singleLevel"/>
    <w:tmpl w:val="98E0822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7F092D"/>
    <w:multiLevelType w:val="singleLevel"/>
    <w:tmpl w:val="A17F092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0718AF"/>
    <w:multiLevelType w:val="singleLevel"/>
    <w:tmpl w:val="330718A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E2ZDVhYjFkNzNmZjA0ZTExM2M2ODcxZGVjNWRjNGEifQ=="/>
  </w:docVars>
  <w:rsids>
    <w:rsidRoot w:val="00000000"/>
    <w:rsid w:val="02B1196D"/>
    <w:rsid w:val="058A0AB5"/>
    <w:rsid w:val="07064B4E"/>
    <w:rsid w:val="08423777"/>
    <w:rsid w:val="08F76948"/>
    <w:rsid w:val="0AEE7268"/>
    <w:rsid w:val="0B6D628C"/>
    <w:rsid w:val="0BE9539E"/>
    <w:rsid w:val="0D6225D0"/>
    <w:rsid w:val="0DFE0C86"/>
    <w:rsid w:val="0E70640A"/>
    <w:rsid w:val="0E74716E"/>
    <w:rsid w:val="0EF93D2B"/>
    <w:rsid w:val="124E25C3"/>
    <w:rsid w:val="134F6B82"/>
    <w:rsid w:val="13520993"/>
    <w:rsid w:val="13955CCA"/>
    <w:rsid w:val="16395937"/>
    <w:rsid w:val="166B58EF"/>
    <w:rsid w:val="169E3D42"/>
    <w:rsid w:val="1B2A1D04"/>
    <w:rsid w:val="1BAE2AF9"/>
    <w:rsid w:val="1CE969B4"/>
    <w:rsid w:val="1F5E6F90"/>
    <w:rsid w:val="1FB3110A"/>
    <w:rsid w:val="20090F12"/>
    <w:rsid w:val="222A0C8D"/>
    <w:rsid w:val="27154399"/>
    <w:rsid w:val="27EF5A03"/>
    <w:rsid w:val="2BF67D55"/>
    <w:rsid w:val="2FE353D3"/>
    <w:rsid w:val="30A02CA9"/>
    <w:rsid w:val="31A039D9"/>
    <w:rsid w:val="33DF09D9"/>
    <w:rsid w:val="348442B7"/>
    <w:rsid w:val="34F534F0"/>
    <w:rsid w:val="36CC0E83"/>
    <w:rsid w:val="36F5114E"/>
    <w:rsid w:val="37D7070E"/>
    <w:rsid w:val="39FF7A5D"/>
    <w:rsid w:val="3B6A43AF"/>
    <w:rsid w:val="3DDE37D0"/>
    <w:rsid w:val="3DE35D4A"/>
    <w:rsid w:val="3E8D589F"/>
    <w:rsid w:val="3FFFD1B0"/>
    <w:rsid w:val="41F22DB7"/>
    <w:rsid w:val="4BAF6B9C"/>
    <w:rsid w:val="4DEB04FF"/>
    <w:rsid w:val="4FC75604"/>
    <w:rsid w:val="5366C1BB"/>
    <w:rsid w:val="547B1D98"/>
    <w:rsid w:val="568175AB"/>
    <w:rsid w:val="58726D40"/>
    <w:rsid w:val="58B8456C"/>
    <w:rsid w:val="58F94A09"/>
    <w:rsid w:val="59D17FC2"/>
    <w:rsid w:val="5CEF50A5"/>
    <w:rsid w:val="5CFEBA53"/>
    <w:rsid w:val="5D5E398E"/>
    <w:rsid w:val="5E2FC5CB"/>
    <w:rsid w:val="5FB5314F"/>
    <w:rsid w:val="60973000"/>
    <w:rsid w:val="60E71DDF"/>
    <w:rsid w:val="61B65AB5"/>
    <w:rsid w:val="62722579"/>
    <w:rsid w:val="669E03A5"/>
    <w:rsid w:val="66A239CA"/>
    <w:rsid w:val="66C56722"/>
    <w:rsid w:val="66FD2021"/>
    <w:rsid w:val="67F05C4D"/>
    <w:rsid w:val="67F39597"/>
    <w:rsid w:val="69206851"/>
    <w:rsid w:val="6A42249D"/>
    <w:rsid w:val="6AA5481E"/>
    <w:rsid w:val="6BFE0E3E"/>
    <w:rsid w:val="6D0A6FAD"/>
    <w:rsid w:val="6D9708E1"/>
    <w:rsid w:val="6E0F104B"/>
    <w:rsid w:val="71235446"/>
    <w:rsid w:val="7265258B"/>
    <w:rsid w:val="72D55B34"/>
    <w:rsid w:val="742F738C"/>
    <w:rsid w:val="752344E5"/>
    <w:rsid w:val="78243B07"/>
    <w:rsid w:val="796C4B79"/>
    <w:rsid w:val="7A597BAD"/>
    <w:rsid w:val="7C7B0145"/>
    <w:rsid w:val="7C9D3751"/>
    <w:rsid w:val="7D17028E"/>
    <w:rsid w:val="7DA5772E"/>
    <w:rsid w:val="7E784492"/>
    <w:rsid w:val="BB8F3284"/>
    <w:rsid w:val="BF67F3AE"/>
    <w:rsid w:val="D6D9CE45"/>
    <w:rsid w:val="DFF756FC"/>
    <w:rsid w:val="E5F21BF3"/>
    <w:rsid w:val="EFFE328E"/>
    <w:rsid w:val="F39982A8"/>
    <w:rsid w:val="F8FE090C"/>
    <w:rsid w:val="F9BE4E02"/>
    <w:rsid w:val="FEDFBD95"/>
    <w:rsid w:val="FF7D6198"/>
    <w:rsid w:val="FFF9E569"/>
    <w:rsid w:val="FFFD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heading 1 Char"/>
    <w:basedOn w:val="9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heading 2 Char"/>
    <w:basedOn w:val="9"/>
    <w:link w:val="4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heading 3 Char"/>
    <w:basedOn w:val="9"/>
    <w:link w:val="5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</Company>
  <Pages>15</Pages>
  <Words>3763</Words>
  <Characters>3921</Characters>
  <Lines>0</Lines>
  <Paragraphs>31</Paragraphs>
  <TotalTime>188</TotalTime>
  <ScaleCrop>false</ScaleCrop>
  <LinksUpToDate>false</LinksUpToDate>
  <CharactersWithSpaces>3927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2019-11-15T08:58:00Z</dcterms:created>
  <dc:creator>user</dc:creator>
  <cp:lastModifiedBy>13323011735</cp:lastModifiedBy>
  <cp:lastPrinted>2021-02-25T13:43:00Z</cp:lastPrinted>
  <dcterms:modified xsi:type="dcterms:W3CDTF">2026-07-02T09:39:53Z</dcterms:modified>
  <dc:title>附件2：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28C64EFCB758481798A31117B3E7B5E3</vt:lpwstr>
  </property>
  <property fmtid="{D5CDD505-2E9C-101B-9397-08002B2CF9AE}" pid="4" name="KSOTemplateDocerSaveRecord">
    <vt:lpwstr>eyJoZGlkIjoiZTNhMzhmNjU3NDU2YjNiYWExNDJlM2Y4YTNjMzYyNWIiLCJ1c2VySWQiOiIxNTUwMjQwMDk2In0=</vt:lpwstr>
  </property>
</Properties>
</file>