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A5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right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中共石家庄市藁城区委党史研究室</w:t>
      </w:r>
    </w:p>
    <w:p w14:paraId="41D5C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2025年度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整体支出绩效自评报告</w:t>
      </w:r>
    </w:p>
    <w:p w14:paraId="5DBEE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69A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为贯彻落实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区委区政府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关于全面落实预算绩效管理的实施意见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藁发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2019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文件精神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遵循“科学性、规范性、客观性和公正性”的原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则，现对本部门202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年度整体支出情况实施财政支出绩效评价，形成本评价报告。</w:t>
      </w:r>
    </w:p>
    <w:p w14:paraId="0A8B4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部门基本情况</w:t>
      </w:r>
    </w:p>
    <w:p w14:paraId="0BF24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（一）部门概况</w:t>
      </w:r>
    </w:p>
    <w:p w14:paraId="58927A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1.部门职能</w:t>
      </w:r>
    </w:p>
    <w:p w14:paraId="33F2E5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（1）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在区委和上级党史研究部门的领导和指示下，全面贯彻执行党的基本路线，以习近平新时代中国特色社会主义思想为指导，坚持历史唯物主义和辩证唯物主义，全面深入地开展全区党史资料的征集、研究、整理和宣传、教育工作。  </w:t>
      </w:r>
    </w:p>
    <w:p w14:paraId="60B23F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做好党史资料的研究工作。按照辩证唯物主义史观，以对党和人民负责的态度，认真、踏实做好党史资料的研究工作，达到去伪存真、去粗取精的目的，使写出的党史真实、可靠，符合历史史实。</w:t>
      </w:r>
    </w:p>
    <w:p w14:paraId="5FCD98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（3）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搞好党史专题、文章及论文的撰写工作。把党史中重大历史事件、重要会议、重要问题、重要人物写成专题、介绍文章或论文，使党史资料完整、系统，增加史料的使用价值。</w:t>
      </w:r>
    </w:p>
    <w:p w14:paraId="5060BC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（4）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编纂、出版党史资料书刊。把党的各个时期的党史大事记、专题资料集、组织史资料、党史人物传记及党的地方历史编纂成书出版，使党史资料成为反映历史、提供镜鉴、教育人民的生动教材。</w:t>
      </w:r>
    </w:p>
    <w:p w14:paraId="33B38E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（5）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对征集到的各种资料认真考证、核实、整理，分类编目立卷，实行科学管理，进行专题研究；编写出版党史资料或专题研究丛书，充分发挥党史资料的作用。</w:t>
      </w:r>
    </w:p>
    <w:p w14:paraId="0BF53D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kern w:val="2"/>
          <w:sz w:val="32"/>
          <w:szCs w:val="32"/>
          <w:lang w:val="en-US" w:eastAsia="zh-CN" w:bidi="ar-SA"/>
        </w:rPr>
        <w:t>（6）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积极动员、组织全区党政机关、企事业单位搞好党史资料征集、宣传协作工作。</w:t>
      </w:r>
    </w:p>
    <w:p w14:paraId="6FB5FEE9">
      <w:p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" w:eastAsia="仿宋_GB2312"/>
          <w:sz w:val="32"/>
          <w:szCs w:val="32"/>
        </w:rPr>
        <w:t>机构情况</w:t>
      </w:r>
    </w:p>
    <w:p w14:paraId="7673A0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）部门情况</w:t>
      </w:r>
    </w:p>
    <w:tbl>
      <w:tblPr>
        <w:tblStyle w:val="7"/>
        <w:tblW w:w="1058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3936"/>
        <w:gridCol w:w="2141"/>
        <w:gridCol w:w="2935"/>
      </w:tblGrid>
      <w:tr w14:paraId="4404D3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tblHeader/>
          <w:jc w:val="center"/>
        </w:trPr>
        <w:tc>
          <w:tcPr>
            <w:tcW w:w="1573" w:type="dxa"/>
            <w:noWrap w:val="0"/>
            <w:vAlign w:val="center"/>
          </w:tcPr>
          <w:p w14:paraId="7EC35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</w:rPr>
              <w:t>单位编码</w:t>
            </w:r>
          </w:p>
        </w:tc>
        <w:tc>
          <w:tcPr>
            <w:tcW w:w="3936" w:type="dxa"/>
            <w:noWrap w:val="0"/>
            <w:vAlign w:val="center"/>
          </w:tcPr>
          <w:p w14:paraId="6F6A1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</w:rPr>
              <w:t>单位名称</w:t>
            </w:r>
          </w:p>
        </w:tc>
        <w:tc>
          <w:tcPr>
            <w:tcW w:w="2141" w:type="dxa"/>
            <w:noWrap w:val="0"/>
            <w:vAlign w:val="center"/>
          </w:tcPr>
          <w:p w14:paraId="503F6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</w:rPr>
              <w:t>单位性质</w:t>
            </w:r>
          </w:p>
        </w:tc>
        <w:tc>
          <w:tcPr>
            <w:tcW w:w="2935" w:type="dxa"/>
            <w:noWrap w:val="0"/>
            <w:vAlign w:val="center"/>
          </w:tcPr>
          <w:p w14:paraId="5B40D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</w:rPr>
              <w:t>财政供给政策</w:t>
            </w:r>
          </w:p>
        </w:tc>
      </w:tr>
      <w:tr w14:paraId="739FA5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573" w:type="dxa"/>
            <w:noWrap w:val="0"/>
            <w:vAlign w:val="center"/>
          </w:tcPr>
          <w:p w14:paraId="6EEF0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default" w:ascii="仿宋_GB2312" w:hAnsi="仿宋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  <w:lang w:val="en-US" w:eastAsia="zh-CN"/>
              </w:rPr>
              <w:t>283001</w:t>
            </w:r>
          </w:p>
        </w:tc>
        <w:tc>
          <w:tcPr>
            <w:tcW w:w="3936" w:type="dxa"/>
            <w:noWrap w:val="0"/>
            <w:vAlign w:val="center"/>
          </w:tcPr>
          <w:p w14:paraId="300A5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  <w:lang w:eastAsia="zh-CN"/>
              </w:rPr>
              <w:t>中共石家庄市藁城区委</w:t>
            </w:r>
          </w:p>
          <w:p w14:paraId="533FA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  <w:lang w:eastAsia="zh-CN"/>
              </w:rPr>
              <w:t>党史研究室</w:t>
            </w:r>
          </w:p>
        </w:tc>
        <w:tc>
          <w:tcPr>
            <w:tcW w:w="2141" w:type="dxa"/>
            <w:noWrap w:val="0"/>
            <w:vAlign w:val="center"/>
          </w:tcPr>
          <w:p w14:paraId="598C7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  <w:lang w:eastAsia="zh-CN"/>
              </w:rPr>
              <w:t>参公事业单位</w:t>
            </w:r>
          </w:p>
        </w:tc>
        <w:tc>
          <w:tcPr>
            <w:tcW w:w="2935" w:type="dxa"/>
            <w:noWrap w:val="0"/>
            <w:vAlign w:val="center"/>
          </w:tcPr>
          <w:p w14:paraId="22676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  <w:lang w:eastAsia="zh-CN"/>
              </w:rPr>
              <w:t>财政拨款</w:t>
            </w:r>
          </w:p>
        </w:tc>
      </w:tr>
    </w:tbl>
    <w:p w14:paraId="55DCCF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（2）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内设机构</w:t>
      </w:r>
      <w:r>
        <w:rPr>
          <w:rFonts w:hint="eastAsia" w:ascii="仿宋" w:hAnsi="仿宋" w:eastAsia="仿宋" w:cs="仿宋"/>
          <w:sz w:val="32"/>
          <w:szCs w:val="32"/>
        </w:rPr>
        <w:t>情况</w:t>
      </w:r>
    </w:p>
    <w:p w14:paraId="182FA6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本部门内设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机构，为综合股。部门和机构情况较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年度相比无变动。</w:t>
      </w:r>
    </w:p>
    <w:p w14:paraId="62CF7305">
      <w:pPr>
        <w:numPr>
          <w:ilvl w:val="0"/>
          <w:numId w:val="0"/>
        </w:numPr>
        <w:snapToGrid w:val="0"/>
        <w:spacing w:line="52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kern w:val="2"/>
          <w:sz w:val="32"/>
          <w:szCs w:val="32"/>
          <w:lang w:val="en-US" w:eastAsia="zh-CN" w:bidi="ar-SA"/>
        </w:rPr>
        <w:t>3．</w:t>
      </w:r>
      <w:r>
        <w:rPr>
          <w:rFonts w:hint="eastAsia" w:ascii="仿宋_GB2312" w:hAnsi="仿宋" w:eastAsia="仿宋_GB2312"/>
          <w:sz w:val="32"/>
          <w:szCs w:val="32"/>
        </w:rPr>
        <w:t>人员情况</w:t>
      </w:r>
    </w:p>
    <w:tbl>
      <w:tblPr>
        <w:tblStyle w:val="7"/>
        <w:tblpPr w:leftFromText="180" w:rightFromText="180" w:vertAnchor="text" w:horzAnchor="page" w:tblpXSpec="center" w:tblpY="636"/>
        <w:tblOverlap w:val="never"/>
        <w:tblW w:w="665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333"/>
        <w:gridCol w:w="367"/>
        <w:gridCol w:w="400"/>
        <w:gridCol w:w="450"/>
        <w:gridCol w:w="383"/>
        <w:gridCol w:w="383"/>
        <w:gridCol w:w="500"/>
        <w:gridCol w:w="567"/>
        <w:gridCol w:w="417"/>
        <w:gridCol w:w="416"/>
        <w:gridCol w:w="417"/>
        <w:gridCol w:w="367"/>
        <w:gridCol w:w="400"/>
        <w:gridCol w:w="400"/>
        <w:gridCol w:w="400"/>
        <w:gridCol w:w="416"/>
        <w:gridCol w:w="384"/>
        <w:gridCol w:w="450"/>
        <w:gridCol w:w="366"/>
        <w:gridCol w:w="367"/>
        <w:gridCol w:w="383"/>
        <w:gridCol w:w="717"/>
        <w:gridCol w:w="483"/>
        <w:gridCol w:w="367"/>
        <w:gridCol w:w="384"/>
        <w:gridCol w:w="350"/>
      </w:tblGrid>
      <w:tr w14:paraId="4C92F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034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43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年末职工人数</w:t>
            </w:r>
          </w:p>
        </w:tc>
        <w:tc>
          <w:tcPr>
            <w:tcW w:w="15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73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年末其他人员</w:t>
            </w:r>
          </w:p>
        </w:tc>
        <w:tc>
          <w:tcPr>
            <w:tcW w:w="3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A7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年末学生人数</w:t>
            </w:r>
          </w:p>
        </w:tc>
        <w:tc>
          <w:tcPr>
            <w:tcW w:w="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2B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年末遗属人员</w:t>
            </w:r>
          </w:p>
        </w:tc>
      </w:tr>
      <w:tr w14:paraId="60D47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48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人员总计</w:t>
            </w:r>
          </w:p>
        </w:tc>
        <w:tc>
          <w:tcPr>
            <w:tcW w:w="311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B9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一般公共预算财政拨款开支人员</w:t>
            </w:r>
          </w:p>
        </w:tc>
        <w:tc>
          <w:tcPr>
            <w:tcW w:w="278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F7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政府性基金预算财政拨款开支人员</w:t>
            </w:r>
          </w:p>
        </w:tc>
        <w:tc>
          <w:tcPr>
            <w:tcW w:w="15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69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经费自理人员</w:t>
            </w:r>
          </w:p>
        </w:tc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86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合计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F7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其中：</w:t>
            </w:r>
          </w:p>
        </w:tc>
        <w:tc>
          <w:tcPr>
            <w:tcW w:w="3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2DE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A7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 w14:paraId="07864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67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合计</w:t>
            </w:r>
          </w:p>
        </w:tc>
        <w:tc>
          <w:tcPr>
            <w:tcW w:w="3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40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在职人员</w:t>
            </w:r>
          </w:p>
        </w:tc>
        <w:tc>
          <w:tcPr>
            <w:tcW w:w="3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C1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离休人员</w:t>
            </w:r>
          </w:p>
        </w:tc>
        <w:tc>
          <w:tcPr>
            <w:tcW w:w="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83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退休人员</w:t>
            </w:r>
          </w:p>
        </w:tc>
        <w:tc>
          <w:tcPr>
            <w:tcW w:w="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DC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合计</w:t>
            </w:r>
          </w:p>
        </w:tc>
        <w:tc>
          <w:tcPr>
            <w:tcW w:w="18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67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在职人员</w:t>
            </w:r>
          </w:p>
        </w:tc>
        <w:tc>
          <w:tcPr>
            <w:tcW w:w="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BF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离休人员</w:t>
            </w:r>
          </w:p>
        </w:tc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8E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退休人员</w:t>
            </w:r>
          </w:p>
        </w:tc>
        <w:tc>
          <w:tcPr>
            <w:tcW w:w="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0D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合计</w:t>
            </w:r>
          </w:p>
        </w:tc>
        <w:tc>
          <w:tcPr>
            <w:tcW w:w="15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0A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在职人员</w:t>
            </w:r>
          </w:p>
        </w:tc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C1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离休人员</w:t>
            </w:r>
          </w:p>
        </w:tc>
        <w:tc>
          <w:tcPr>
            <w:tcW w:w="3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A7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退休人员</w:t>
            </w:r>
          </w:p>
        </w:tc>
        <w:tc>
          <w:tcPr>
            <w:tcW w:w="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EE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小计</w:t>
            </w:r>
          </w:p>
        </w:tc>
        <w:tc>
          <w:tcPr>
            <w:tcW w:w="3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9A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在职人员</w:t>
            </w:r>
          </w:p>
        </w:tc>
        <w:tc>
          <w:tcPr>
            <w:tcW w:w="3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AA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离休人员</w:t>
            </w:r>
          </w:p>
        </w:tc>
        <w:tc>
          <w:tcPr>
            <w:tcW w:w="3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70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退休人员</w:t>
            </w:r>
          </w:p>
        </w:tc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E6D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17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一般公共预算财政拨款开支人员</w:t>
            </w:r>
          </w:p>
        </w:tc>
        <w:tc>
          <w:tcPr>
            <w:tcW w:w="3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A6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政府性基金预算财政拨款开支人员</w:t>
            </w:r>
          </w:p>
        </w:tc>
        <w:tc>
          <w:tcPr>
            <w:tcW w:w="3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EF5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9D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 w14:paraId="330A4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D1A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C5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4E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8B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31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5A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小计</w:t>
            </w:r>
          </w:p>
        </w:tc>
        <w:tc>
          <w:tcPr>
            <w:tcW w:w="3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32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行政人员</w:t>
            </w:r>
          </w:p>
        </w:tc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92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参照公务员法管理事业人员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CF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非参公事业人员</w:t>
            </w:r>
          </w:p>
        </w:tc>
        <w:tc>
          <w:tcPr>
            <w:tcW w:w="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72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E34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47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41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小计</w:t>
            </w:r>
          </w:p>
        </w:tc>
        <w:tc>
          <w:tcPr>
            <w:tcW w:w="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4B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行政人员</w:t>
            </w:r>
          </w:p>
        </w:tc>
        <w:tc>
          <w:tcPr>
            <w:tcW w:w="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0D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参照公务员法管理事业人员</w:t>
            </w:r>
          </w:p>
        </w:tc>
        <w:tc>
          <w:tcPr>
            <w:tcW w:w="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41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非参公事业人员</w:t>
            </w:r>
          </w:p>
        </w:tc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63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F0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6A9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B0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09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CD3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2C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F85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CB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A9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54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 w14:paraId="566F5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0" w:hRule="atLeast"/>
          <w:jc w:val="center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7A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CC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FF1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20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DFE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895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72E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4B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C8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B6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D3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57D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37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95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D8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5A0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1E1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07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3A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67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5D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D4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53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81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54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2D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CC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 w14:paraId="028B2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EB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B6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20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D7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96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6D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81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36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B6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95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43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6B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5E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3B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D6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A9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42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29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D4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45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2D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F4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84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71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B1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06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41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  <w:lang w:val="en-US" w:eastAsia="zh-CN"/>
              </w:rPr>
              <w:t>3</w:t>
            </w:r>
          </w:p>
        </w:tc>
      </w:tr>
    </w:tbl>
    <w:p w14:paraId="35190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7EE05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（二）部门收支预决算情况</w:t>
      </w:r>
    </w:p>
    <w:p w14:paraId="5EFA9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本部门2025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</w:rPr>
        <w:t>收入年初预算安排为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130.64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 支出年初预算安排为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130.64</w:t>
      </w:r>
      <w:r>
        <w:rPr>
          <w:rFonts w:hint="eastAsia" w:ascii="仿宋_GB2312" w:hAnsi="仿宋_GB2312" w:eastAsia="仿宋_GB2312" w:cs="仿宋_GB2312"/>
          <w:sz w:val="32"/>
          <w:szCs w:val="32"/>
        </w:rPr>
        <w:t>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收入决算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124.78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支出决算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124.78万元，</w:t>
      </w:r>
    </w:p>
    <w:p w14:paraId="3FF6F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（三）部门整体支出绩效目标、指标</w:t>
      </w:r>
    </w:p>
    <w:p w14:paraId="7EABD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围绕单位核心履职需求，保障人员经费、日常运转、民生待遇发放等各类支出规范高效，全年预算执行率不低于95%，重点项目（去世人员丧葬费及抚恤金）零违规、零投诉，实现“保运转、惠民生、提效能”的整体目标。</w:t>
      </w:r>
    </w:p>
    <w:p w14:paraId="6428DC0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自评工作开展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 w14:paraId="42494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（一）自评的组织工作</w:t>
      </w:r>
    </w:p>
    <w:p w14:paraId="08CAF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成立由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党史研究室主任</w:t>
      </w:r>
      <w:r>
        <w:rPr>
          <w:rFonts w:hint="eastAsia" w:ascii="仿宋_GB2312" w:hAnsi="仿宋_GB2312" w:eastAsia="仿宋_GB2312" w:cs="仿宋_GB2312"/>
          <w:sz w:val="32"/>
          <w:szCs w:val="32"/>
        </w:rPr>
        <w:t>任组长，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综合股</w:t>
      </w:r>
      <w:r>
        <w:rPr>
          <w:rFonts w:hint="eastAsia" w:ascii="仿宋_GB2312" w:hAnsi="仿宋_GB2312" w:eastAsia="仿宋_GB2312" w:cs="仿宋_GB2312"/>
          <w:sz w:val="32"/>
          <w:szCs w:val="32"/>
        </w:rPr>
        <w:t>骨干为成员的自评工作小组，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认真组织自评工作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：一是收集2025年待遇发放台账、银行支付凭证、政策文件等资料；二是核对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支出的人员身份、发放标准合规性；三是向受益遗属发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放电子</w:t>
      </w:r>
      <w:r>
        <w:rPr>
          <w:rFonts w:hint="eastAsia" w:ascii="仿宋_GB2312" w:hAnsi="仿宋_GB2312" w:eastAsia="仿宋_GB2312" w:cs="仿宋_GB2312"/>
          <w:sz w:val="32"/>
          <w:szCs w:val="32"/>
        </w:rPr>
        <w:t>满意度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调查</w:t>
      </w:r>
      <w:r>
        <w:rPr>
          <w:rFonts w:hint="eastAsia" w:ascii="仿宋_GB2312" w:hAnsi="仿宋_GB2312" w:eastAsia="仿宋_GB2312" w:cs="仿宋_GB2312"/>
          <w:sz w:val="32"/>
          <w:szCs w:val="32"/>
        </w:rPr>
        <w:t>问卷，全过程留存工作记录，确保自评可追溯。</w:t>
      </w:r>
    </w:p>
    <w:p w14:paraId="416C2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自评的方法和过程</w:t>
      </w:r>
    </w:p>
    <w:p w14:paraId="178D1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采用资料核查法+问卷调查法：先对照预算指标逐一核实资金拨付进度、发放标准匹配度，再对受益遗属开展问卷调研，最终结合定量数据、定性反馈完成打分。</w:t>
      </w:r>
    </w:p>
    <w:p w14:paraId="0280E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三、部门整体支出绩效目标实现情况及指标分析</w:t>
      </w:r>
    </w:p>
    <w:p w14:paraId="30911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总体绩效目标实现情况</w:t>
      </w:r>
    </w:p>
    <w:p w14:paraId="3672F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对照年初设定的“保运转、惠民生、提效能”总体目标，2025年我单位各项支出有序推进，重点任务全面落地，整体绩效目标完成率达98%，具体实现情况如下：</w:t>
      </w:r>
    </w:p>
    <w:p w14:paraId="2C254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人员经费保障零缺口：全年累计保障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名在职人员、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名退休人员、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名遗属的工资、补贴及待遇发放，无拖欠、无漏发，未出现因待遇保障不到位引发的离职、信访问题。</w:t>
      </w:r>
    </w:p>
    <w:p w14:paraId="23BCF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重点民生项目100%落实：年初安排的去世人员丧葬费及抚恤金项目全年实际保障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人，发放准确率、政策覆盖率均为100%，未发生一起错发、超发问题，完全实现“保障遗属基本生活、落实优抚政策”的子目标。</w:t>
      </w:r>
    </w:p>
    <w:p w14:paraId="5054F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履职任务按期完成：全年承担的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项年度核心工作全部按计划结项，无逾期、无重大工作失误。</w:t>
      </w:r>
    </w:p>
    <w:p w14:paraId="2F666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（二）分项绩效目标实现情况及指标分析</w:t>
      </w:r>
    </w:p>
    <w:p w14:paraId="564B31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预算执行情况</w:t>
      </w:r>
    </w:p>
    <w:p w14:paraId="01E97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该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项目实际支出17.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8982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万元，预算执行率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%，符合预算管理要求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该项得分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分。</w:t>
      </w:r>
    </w:p>
    <w:p w14:paraId="281F0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outlineLvl w:val="9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项目产出</w:t>
      </w:r>
    </w:p>
    <w:tbl>
      <w:tblPr>
        <w:tblStyle w:val="8"/>
        <w:tblpPr w:leftFromText="180" w:rightFromText="180" w:vertAnchor="text" w:horzAnchor="page" w:tblpXSpec="center" w:tblpY="291"/>
        <w:tblOverlap w:val="never"/>
        <w:tblW w:w="10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8216"/>
        <w:gridCol w:w="1109"/>
      </w:tblGrid>
      <w:tr w14:paraId="3443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5" w:type="dxa"/>
          </w:tcPr>
          <w:p w14:paraId="46C69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二级指标</w:t>
            </w:r>
          </w:p>
        </w:tc>
        <w:tc>
          <w:tcPr>
            <w:tcW w:w="8216" w:type="dxa"/>
          </w:tcPr>
          <w:p w14:paraId="46F07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完成情况</w:t>
            </w:r>
          </w:p>
        </w:tc>
        <w:tc>
          <w:tcPr>
            <w:tcW w:w="1109" w:type="dxa"/>
          </w:tcPr>
          <w:p w14:paraId="582AA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得分</w:t>
            </w:r>
          </w:p>
        </w:tc>
      </w:tr>
      <w:tr w14:paraId="339CD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5" w:type="dxa"/>
          </w:tcPr>
          <w:p w14:paraId="362B5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数量指标</w:t>
            </w:r>
          </w:p>
        </w:tc>
        <w:tc>
          <w:tcPr>
            <w:tcW w:w="8216" w:type="dxa"/>
          </w:tcPr>
          <w:p w14:paraId="25982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全年实际发放丧葬费、抚恤金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人，完成率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100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%</w:t>
            </w:r>
          </w:p>
        </w:tc>
        <w:tc>
          <w:tcPr>
            <w:tcW w:w="1109" w:type="dxa"/>
          </w:tcPr>
          <w:p w14:paraId="42125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textAlignment w:val="auto"/>
              <w:outlineLvl w:val="9"/>
              <w:rPr>
                <w:rFonts w:hint="default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10分</w:t>
            </w:r>
          </w:p>
        </w:tc>
      </w:tr>
      <w:tr w14:paraId="35074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5" w:type="dxa"/>
          </w:tcPr>
          <w:p w14:paraId="7B8D9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质量指标</w:t>
            </w:r>
          </w:p>
        </w:tc>
        <w:tc>
          <w:tcPr>
            <w:tcW w:w="8216" w:type="dxa"/>
          </w:tcPr>
          <w:p w14:paraId="05A04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</w:rPr>
              <w:t>所有已发放待遇均符合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政策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</w:rPr>
              <w:t>标准，无错发、漏发情况，全额得分</w:t>
            </w:r>
          </w:p>
        </w:tc>
        <w:tc>
          <w:tcPr>
            <w:tcW w:w="1109" w:type="dxa"/>
          </w:tcPr>
          <w:p w14:paraId="56F9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textAlignment w:val="auto"/>
              <w:outlineLvl w:val="9"/>
              <w:rPr>
                <w:rFonts w:hint="default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10分</w:t>
            </w:r>
          </w:p>
        </w:tc>
      </w:tr>
      <w:tr w14:paraId="2D42C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5" w:type="dxa"/>
          </w:tcPr>
          <w:p w14:paraId="1096E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时效指标</w:t>
            </w:r>
          </w:p>
        </w:tc>
        <w:tc>
          <w:tcPr>
            <w:tcW w:w="8216" w:type="dxa"/>
          </w:tcPr>
          <w:p w14:paraId="7A718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</w:rPr>
              <w:t>已办结待遇均在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6月底前拨付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</w:rPr>
              <w:t>发放，达标率100%</w:t>
            </w:r>
          </w:p>
        </w:tc>
        <w:tc>
          <w:tcPr>
            <w:tcW w:w="1109" w:type="dxa"/>
          </w:tcPr>
          <w:p w14:paraId="50492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textAlignment w:val="auto"/>
              <w:outlineLvl w:val="9"/>
              <w:rPr>
                <w:rFonts w:hint="default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10分</w:t>
            </w:r>
          </w:p>
        </w:tc>
      </w:tr>
      <w:tr w14:paraId="7873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5" w:type="dxa"/>
          </w:tcPr>
          <w:p w14:paraId="358D4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成本指标</w:t>
            </w:r>
          </w:p>
        </w:tc>
        <w:tc>
          <w:tcPr>
            <w:tcW w:w="8216" w:type="dxa"/>
          </w:tcPr>
          <w:p w14:paraId="3EF3A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</w:rPr>
              <w:t>人均发放标准严格控制在预算定额内，无超支</w:t>
            </w:r>
          </w:p>
        </w:tc>
        <w:tc>
          <w:tcPr>
            <w:tcW w:w="1109" w:type="dxa"/>
          </w:tcPr>
          <w:p w14:paraId="6F719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textAlignment w:val="auto"/>
              <w:outlineLvl w:val="9"/>
              <w:rPr>
                <w:rFonts w:hint="default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20分</w:t>
            </w:r>
          </w:p>
        </w:tc>
      </w:tr>
      <w:tr w14:paraId="328A4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5" w:type="dxa"/>
          </w:tcPr>
          <w:p w14:paraId="0694D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产出合计</w:t>
            </w:r>
          </w:p>
        </w:tc>
        <w:tc>
          <w:tcPr>
            <w:tcW w:w="8216" w:type="dxa"/>
          </w:tcPr>
          <w:p w14:paraId="1315F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109" w:type="dxa"/>
          </w:tcPr>
          <w:p w14:paraId="7ECA2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textAlignment w:val="auto"/>
              <w:outlineLvl w:val="9"/>
              <w:rPr>
                <w:rFonts w:hint="default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50分</w:t>
            </w:r>
          </w:p>
        </w:tc>
      </w:tr>
    </w:tbl>
    <w:p w14:paraId="1F4FD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</w:p>
    <w:p w14:paraId="4D8A9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项目效益</w:t>
      </w:r>
    </w:p>
    <w:p w14:paraId="198F8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待遇发放保障了遗属基本生活，2025年未发生相关信访、舆情事件，该项得分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30分。</w:t>
      </w:r>
    </w:p>
    <w:p w14:paraId="30174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满意度</w:t>
      </w:r>
    </w:p>
    <w:p w14:paraId="12159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发放并</w:t>
      </w:r>
      <w:r>
        <w:rPr>
          <w:rFonts w:hint="eastAsia" w:ascii="仿宋_GB2312" w:hAnsi="仿宋_GB2312" w:eastAsia="仿宋_GB2312" w:cs="仿宋_GB2312"/>
          <w:sz w:val="32"/>
          <w:szCs w:val="32"/>
        </w:rPr>
        <w:t>回收有效问卷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份，受益遗属对发放标准、办理效率的满意度为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%，该项得分10分。</w:t>
      </w:r>
    </w:p>
    <w:p w14:paraId="3A850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四、评价结论和评价等级</w:t>
      </w:r>
    </w:p>
    <w:p w14:paraId="627D7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本部门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2025年度认真履行各项工作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职责，圆满完成各项工作任务，综合评价总得分100分，评价等级为优秀。</w:t>
      </w:r>
    </w:p>
    <w:p w14:paraId="37744A8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存在的问题及改进措施</w:t>
      </w:r>
    </w:p>
    <w:p w14:paraId="5AE4B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（一）项目存在的主要问题</w:t>
      </w:r>
    </w:p>
    <w:p w14:paraId="22C98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个别家属因异地居住、材料准备不及时，导致待遇申领延迟；</w:t>
      </w:r>
    </w:p>
    <w:p w14:paraId="25F49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政策宣传仅覆盖本单位在职人员，部分高龄遗属对申领流程了解不充分，增加沟通成本。</w:t>
      </w:r>
    </w:p>
    <w:p w14:paraId="09E38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（二）针对问题提出具体的改进措施或建议</w:t>
      </w:r>
    </w:p>
    <w:p w14:paraId="1F3CC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优化办理流程：单位在获知人员去世信息后3个工作日内主动对接家属，一次性告知所需材料，压缩办理周期。</w:t>
      </w:r>
    </w:p>
    <w:p w14:paraId="2681B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803" w:bottom="1984" w:left="1803" w:header="851" w:footer="1701" w:gutter="0"/>
      <w:paperSrc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C30A2F-2AFC-4D22-B3F5-1A6BB283B8D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E7CABC8-6D9E-45A0-9653-ED9CD04FFA63}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  <w:embedRegular r:id="rId3" w:fontKey="{2DEAF4C6-613D-4F1A-B2A8-16F6C454D65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F33EF5A-1A48-4BBB-9257-4180866C29A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2D980466-CD06-42CA-A1B9-3F6ED6AF772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  <w:embedRegular r:id="rId6" w:fontKey="{7CEDF7E9-8751-487E-BFE3-958F7E5395B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BB717549-C954-4F41-B842-41A1832A8CC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40F4C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EF6B16">
                          <w:pPr>
                            <w:pStyle w:val="5"/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EF6B16">
                    <w:pPr>
                      <w:pStyle w:val="5"/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</w:pP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97871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E0822F"/>
    <w:multiLevelType w:val="singleLevel"/>
    <w:tmpl w:val="98E0822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30718AF"/>
    <w:multiLevelType w:val="singleLevel"/>
    <w:tmpl w:val="330718A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NGE2ZDVhYjFkNzNmZjA0ZTExM2M2ODcxZGVjNWRjNGEifQ=="/>
  </w:docVars>
  <w:rsids>
    <w:rsidRoot w:val="00000000"/>
    <w:rsid w:val="02B1196D"/>
    <w:rsid w:val="07A31A13"/>
    <w:rsid w:val="0DED5218"/>
    <w:rsid w:val="134F6B82"/>
    <w:rsid w:val="13955CCA"/>
    <w:rsid w:val="148B2EBE"/>
    <w:rsid w:val="27EF5A03"/>
    <w:rsid w:val="2FE353D3"/>
    <w:rsid w:val="31C801BA"/>
    <w:rsid w:val="3DDE37D0"/>
    <w:rsid w:val="3FFFD1B0"/>
    <w:rsid w:val="484216E1"/>
    <w:rsid w:val="5366C1BB"/>
    <w:rsid w:val="58B8456C"/>
    <w:rsid w:val="5CFEBA53"/>
    <w:rsid w:val="5E2FC5CB"/>
    <w:rsid w:val="65201CED"/>
    <w:rsid w:val="67F39597"/>
    <w:rsid w:val="69206851"/>
    <w:rsid w:val="796C4B79"/>
    <w:rsid w:val="7C7B0145"/>
    <w:rsid w:val="BB8F3284"/>
    <w:rsid w:val="BF67F3AE"/>
    <w:rsid w:val="D6D9CE45"/>
    <w:rsid w:val="DFF756FC"/>
    <w:rsid w:val="E5F21BF3"/>
    <w:rsid w:val="EFFE328E"/>
    <w:rsid w:val="F39982A8"/>
    <w:rsid w:val="F8FE090C"/>
    <w:rsid w:val="F9BE4E02"/>
    <w:rsid w:val="FEDFBD95"/>
    <w:rsid w:val="FF7D6198"/>
    <w:rsid w:val="FFF9E569"/>
    <w:rsid w:val="FFFDE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heading 1 Char"/>
    <w:basedOn w:val="9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2">
    <w:name w:val="heading 2 Char"/>
    <w:basedOn w:val="9"/>
    <w:link w:val="3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3">
    <w:name w:val="heading 3 Char"/>
    <w:basedOn w:val="9"/>
    <w:link w:val="4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Lenovo</Company>
  <Pages>6</Pages>
  <Words>579</Words>
  <Characters>598</Characters>
  <Lines>0</Lines>
  <Paragraphs>31</Paragraphs>
  <TotalTime>0</TotalTime>
  <ScaleCrop>false</ScaleCrop>
  <LinksUpToDate>false</LinksUpToDate>
  <CharactersWithSpaces>598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2019-11-15T08:58:00Z</dcterms:created>
  <dc:creator>user</dc:creator>
  <cp:lastModifiedBy>薛定谔的猫</cp:lastModifiedBy>
  <cp:lastPrinted>2021-02-25T13:43:00Z</cp:lastPrinted>
  <dcterms:modified xsi:type="dcterms:W3CDTF">2026-06-11T08:50:16Z</dcterms:modified>
  <dc:title>附件2： 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41BA3C569D5B4F958212078A1FCB2A39_13</vt:lpwstr>
  </property>
  <property fmtid="{D5CDD505-2E9C-101B-9397-08002B2CF9AE}" pid="4" name="KSOTemplateDocerSaveRecord">
    <vt:lpwstr>eyJoZGlkIjoiMDI4ODdmMDEwYjY4YzU3ZGIzNWRkOWU2MmI5ZWFjYWIiLCJ1c2VySWQiOiIyODY2MjM3NjEifQ==</vt:lpwstr>
  </property>
</Properties>
</file>