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黑体" w:eastAsia="黑体" w:cs="黑体" w:hAnsi="黑体" w:hint="eastAsia"/>
          <w:sz w:val="32"/>
          <w:szCs w:val="32"/>
          <w:lang w:val="en-US" w:eastAsia="zh-CN"/>
        </w:rPr>
      </w:pPr>
      <w:r>
        <w:rPr>
          <w:rFonts w:ascii="黑体" w:eastAsia="黑体" w:cs="黑体" w:hAnsi="黑体" w:hint="eastAsia"/>
          <w:sz w:val="32"/>
          <w:szCs w:val="32"/>
        </w:rPr>
        <w:t>附件</w:t>
      </w:r>
      <w:r>
        <w:rPr>
          <w:rFonts w:ascii="黑体" w:eastAsia="黑体" w:cs="黑体" w:hAnsi="黑体" w:hint="eastAsia"/>
          <w:sz w:val="32"/>
          <w:szCs w:val="32"/>
          <w:lang w:val="en-US" w:eastAsia="zh-CN"/>
        </w:rPr>
        <w:t>2：</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ascii="方正小标宋简体" w:eastAsia="方正小标宋简体" w:cs="方正小标宋简体" w:hAnsi="方正小标宋简体" w:hint="eastAsia"/>
          <w:b w:val="0"/>
          <w:bCs w:val="0"/>
          <w:sz w:val="44"/>
          <w:szCs w:val="44"/>
          <w:lang w:val="en-US" w:eastAsia="zh-CN"/>
        </w:rPr>
      </w:pPr>
      <w:r>
        <w:rPr>
          <w:rFonts w:ascii="方正小标宋简体" w:eastAsia="方正小标宋简体" w:cs="方正小标宋简体" w:hAnsi="方正小标宋简体"/>
          <w:b w:val="0"/>
          <w:bCs w:val="0"/>
          <w:sz w:val="44"/>
          <w:szCs w:val="44"/>
          <w:lang w:val="en-US" w:eastAsia="zh-CN"/>
        </w:rPr>
        <w:t>石家庄市藁城区交通运输局</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ascii="方正小标宋_GBK" w:eastAsia="方正小标宋_GBK" w:cs="方正小标宋_GBK" w:hAnsi="方正小标宋_GBK" w:hint="eastAsia"/>
          <w:b/>
          <w:bCs/>
          <w:sz w:val="44"/>
          <w:szCs w:val="44"/>
        </w:rPr>
      </w:pPr>
      <w:r>
        <w:rPr>
          <w:rFonts w:ascii="方正小标宋简体" w:eastAsia="方正小标宋简体" w:cs="方正小标宋简体" w:hAnsi="方正小标宋简体" w:hint="eastAsia"/>
          <w:b w:val="0"/>
          <w:bCs w:val="0"/>
          <w:sz w:val="44"/>
          <w:szCs w:val="44"/>
          <w:lang w:val="en-US" w:eastAsia="zh-CN"/>
        </w:rPr>
        <w:t>2025年度</w:t>
      </w:r>
      <w:r>
        <w:rPr>
          <w:rFonts w:ascii="方正小标宋简体" w:eastAsia="方正小标宋简体" w:cs="方正小标宋简体" w:hAnsi="方正小标宋简体" w:hint="eastAsia"/>
          <w:b w:val="0"/>
          <w:bCs w:val="0"/>
          <w:sz w:val="44"/>
          <w:szCs w:val="44"/>
        </w:rPr>
        <w:t>整体支出绩效自评报告</w:t>
      </w:r>
    </w:p>
    <w:p>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ascii="仿宋_GB2312" w:eastAsia="仿宋_GB2312" w:cs="仿宋_GB2312" w:hAnsi="仿宋_GB2312" w:hint="eastAsia"/>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Chars="200" w:firstLine="640"/>
        <w:textAlignment w:val="auto"/>
        <w:rPr>
          <w:rFonts w:ascii="仿宋_GB2312" w:eastAsia="仿宋_GB2312" w:cs="仿宋_GB2312" w:hAnsi="仿宋_GB2312" w:hint="eastAsia"/>
          <w:sz w:val="32"/>
          <w:szCs w:val="32"/>
          <w:lang w:eastAsia="zh-CN"/>
          <w:highlight w:val="none"/>
        </w:rPr>
      </w:pPr>
      <w:r>
        <w:rPr>
          <w:rFonts w:ascii="仿宋_GB2312" w:eastAsia="仿宋_GB2312" w:cs="仿宋_GB2312" w:hAnsi="仿宋_GB2312" w:hint="eastAsia"/>
          <w:sz w:val="32"/>
          <w:szCs w:val="32"/>
          <w:lang w:eastAsia="zh-CN"/>
        </w:rPr>
        <w:t>为贯彻落实</w:t>
      </w:r>
      <w:r>
        <w:rPr>
          <w:rFonts w:ascii="仿宋_GB2312" w:eastAsia="仿宋_GB2312" w:cs="仿宋_GB2312" w:hAnsi="仿宋_GB2312" w:hint="eastAsia"/>
          <w:sz w:val="32"/>
          <w:szCs w:val="32"/>
          <w:lang w:eastAsia="zh-CN"/>
          <w:highlight w:val="none"/>
        </w:rPr>
        <w:t>区委区政府</w:t>
      </w:r>
      <w:r>
        <w:rPr>
          <w:rFonts w:ascii="仿宋_GB2312" w:eastAsia="仿宋_GB2312" w:cs="仿宋_GB2312" w:hAnsi="仿宋_GB2312" w:hint="eastAsia"/>
          <w:sz w:val="32"/>
          <w:szCs w:val="32"/>
          <w:highlight w:val="none"/>
        </w:rPr>
        <w:t>《</w:t>
      </w:r>
      <w:r>
        <w:rPr>
          <w:rFonts w:ascii="仿宋_GB2312" w:eastAsia="仿宋_GB2312" w:cs="仿宋_GB2312" w:hAnsi="仿宋_GB2312" w:hint="eastAsia"/>
          <w:sz w:val="32"/>
          <w:szCs w:val="32"/>
          <w:lang w:eastAsia="zh-CN"/>
          <w:highlight w:val="none"/>
        </w:rPr>
        <w:t>关于全面落实预算绩效管理的实施意见</w:t>
      </w:r>
      <w:r>
        <w:rPr>
          <w:rFonts w:ascii="仿宋_GB2312" w:eastAsia="仿宋_GB2312" w:cs="仿宋_GB2312" w:hAnsi="仿宋_GB2312" w:hint="eastAsia"/>
          <w:sz w:val="32"/>
          <w:szCs w:val="32"/>
          <w:highlight w:val="none"/>
        </w:rPr>
        <w:t>》（</w:t>
      </w:r>
      <w:r>
        <w:rPr>
          <w:rFonts w:ascii="仿宋_GB2312" w:eastAsia="仿宋_GB2312" w:cs="仿宋_GB2312" w:hAnsi="仿宋_GB2312" w:hint="eastAsia"/>
          <w:sz w:val="32"/>
          <w:szCs w:val="32"/>
          <w:lang w:eastAsia="zh-CN"/>
          <w:highlight w:val="none"/>
        </w:rPr>
        <w:t>藁发</w:t>
      </w:r>
      <w:r>
        <w:rPr>
          <w:rFonts w:ascii="仿宋_GB2312" w:eastAsia="仿宋_GB2312" w:cs="仿宋_GB2312" w:hAnsi="仿宋_GB2312" w:hint="eastAsia"/>
          <w:sz w:val="32"/>
          <w:szCs w:val="32"/>
          <w:highlight w:val="none"/>
        </w:rPr>
        <w:t>〔</w:t>
      </w:r>
      <w:r>
        <w:rPr>
          <w:rFonts w:ascii="仿宋_GB2312" w:eastAsia="仿宋_GB2312" w:cs="仿宋_GB2312" w:hAnsi="仿宋_GB2312" w:hint="eastAsia"/>
          <w:sz w:val="32"/>
          <w:szCs w:val="32"/>
          <w:lang w:eastAsia="zh-CN"/>
          <w:highlight w:val="none"/>
        </w:rPr>
        <w:t>2019</w:t>
      </w:r>
      <w:r>
        <w:rPr>
          <w:rFonts w:ascii="仿宋_GB2312" w:eastAsia="仿宋_GB2312" w:cs="仿宋_GB2312" w:hAnsi="仿宋_GB2312" w:hint="eastAsia"/>
          <w:sz w:val="32"/>
          <w:szCs w:val="32"/>
          <w:highlight w:val="none"/>
        </w:rPr>
        <w:t>〕</w:t>
      </w:r>
      <w:r>
        <w:rPr>
          <w:rFonts w:ascii="仿宋_GB2312" w:eastAsia="仿宋_GB2312" w:cs="仿宋_GB2312" w:hAnsi="仿宋_GB2312" w:hint="eastAsia"/>
          <w:sz w:val="32"/>
          <w:szCs w:val="32"/>
          <w:lang w:val="en-US" w:eastAsia="zh-CN"/>
          <w:highlight w:val="none"/>
        </w:rPr>
        <w:t>9</w:t>
      </w:r>
      <w:r>
        <w:rPr>
          <w:rFonts w:ascii="仿宋_GB2312" w:eastAsia="仿宋_GB2312" w:cs="仿宋_GB2312" w:hAnsi="仿宋_GB2312" w:hint="eastAsia"/>
          <w:sz w:val="32"/>
          <w:szCs w:val="32"/>
          <w:highlight w:val="none"/>
        </w:rPr>
        <w:t>号）</w:t>
      </w:r>
      <w:r>
        <w:rPr>
          <w:rFonts w:ascii="仿宋_GB2312" w:eastAsia="仿宋_GB2312" w:cs="仿宋_GB2312" w:hAnsi="仿宋_GB2312" w:hint="eastAsia"/>
          <w:sz w:val="32"/>
          <w:szCs w:val="32"/>
          <w:lang w:eastAsia="zh-CN"/>
          <w:highlight w:val="none"/>
        </w:rPr>
        <w:t>文件精神</w:t>
      </w:r>
      <w:r>
        <w:rPr>
          <w:rFonts w:ascii="仿宋_GB2312" w:eastAsia="仿宋_GB2312" w:cs="仿宋_GB2312" w:hAnsi="仿宋_GB2312" w:hint="eastAsia"/>
          <w:sz w:val="32"/>
          <w:szCs w:val="32"/>
          <w:highlight w:val="none"/>
        </w:rPr>
        <w:t>，</w:t>
      </w:r>
      <w:r>
        <w:rPr>
          <w:rFonts w:ascii="仿宋_GB2312" w:eastAsia="仿宋_GB2312" w:cs="仿宋_GB2312" w:hAnsi="仿宋_GB2312" w:hint="eastAsia"/>
          <w:sz w:val="32"/>
          <w:szCs w:val="32"/>
        </w:rPr>
        <w:t>遵循“科学性、规范性、客观性和公正性”的原</w:t>
      </w:r>
      <w:r>
        <w:rPr>
          <w:rFonts w:ascii="仿宋_GB2312" w:eastAsia="仿宋_GB2312" w:cs="仿宋_GB2312" w:hAnsi="仿宋_GB2312" w:hint="eastAsia"/>
          <w:sz w:val="32"/>
          <w:szCs w:val="32"/>
          <w:lang w:eastAsia="zh-CN"/>
          <w:highlight w:val="none"/>
        </w:rPr>
        <w:t>则，现对本部门202</w:t>
      </w:r>
      <w:r>
        <w:rPr>
          <w:rFonts w:ascii="仿宋_GB2312" w:eastAsia="仿宋_GB2312" w:cs="仿宋_GB2312" w:hAnsi="仿宋_GB2312" w:hint="eastAsia"/>
          <w:sz w:val="32"/>
          <w:szCs w:val="32"/>
          <w:lang w:val="en-US" w:eastAsia="zh-CN"/>
          <w:highlight w:val="none"/>
        </w:rPr>
        <w:t>5</w:t>
      </w:r>
      <w:r>
        <w:rPr>
          <w:rFonts w:ascii="仿宋_GB2312" w:eastAsia="仿宋_GB2312" w:cs="仿宋_GB2312" w:hAnsi="仿宋_GB2312" w:hint="eastAsia"/>
          <w:sz w:val="32"/>
          <w:szCs w:val="32"/>
          <w:lang w:eastAsia="zh-CN"/>
          <w:highlight w:val="none"/>
        </w:rPr>
        <w:t>年度整体支出情况实施财政支出绩效评价，形成本评价报告。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Chars="200" w:firstLine="640"/>
        <w:textAlignment w:val="auto"/>
        <w:outlineLvl w:val="9"/>
        <w:rPr>
          <w:rFonts w:ascii="黑体" w:eastAsia="黑体" w:cs="黑体" w:hAnsi="黑体" w:hint="eastAsia"/>
          <w:sz w:val="32"/>
          <w:szCs w:val="32"/>
          <w:lang w:eastAsia="zh-CN"/>
        </w:rPr>
      </w:pPr>
      <w:r>
        <w:rPr>
          <w:rFonts w:ascii="黑体" w:eastAsia="黑体" w:cs="黑体" w:hAnsi="黑体" w:hint="eastAsia"/>
          <w:sz w:val="32"/>
          <w:szCs w:val="32"/>
        </w:rPr>
        <w:t>一、</w:t>
      </w:r>
      <w:r>
        <w:rPr>
          <w:rFonts w:ascii="黑体" w:eastAsia="黑体" w:cs="黑体" w:hAnsi="黑体" w:hint="eastAsia"/>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Chars="200" w:firstLine="640"/>
        <w:textAlignment w:val="auto"/>
        <w:rPr>
          <w:rFonts w:ascii="楷体_GB2312" w:eastAsia="楷体_GB2312" w:cs="楷体_GB2312" w:hAnsi="楷体_GB2312" w:hint="eastAsia"/>
          <w:bCs/>
          <w:sz w:val="32"/>
          <w:szCs w:val="32"/>
        </w:rPr>
      </w:pPr>
      <w:r>
        <w:rPr>
          <w:rFonts w:ascii="楷体_GB2312" w:eastAsia="楷体_GB2312" w:cs="楷体_GB2312" w:hAnsi="楷体_GB2312" w:hint="eastAsia"/>
          <w:bCs/>
          <w:sz w:val="32"/>
          <w:szCs w:val="32"/>
        </w:rPr>
        <w:t>（一）部门概况</w:t>
      </w:r>
    </w:p>
    <w:p>
      <w:pPr>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1．主要职能。</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kern w:val="0"/>
          <w:sz w:val="32"/>
          <w:szCs w:val="32"/>
        </w:rPr>
        <w:t>（1）</w:t>
      </w:r>
      <w:r>
        <w:rPr>
          <w:rFonts w:ascii="仿宋" w:eastAsia="仿宋" w:cs="仿宋" w:hAnsi="仿宋" w:hint="eastAsia"/>
          <w:sz w:val="32"/>
          <w:szCs w:val="32"/>
        </w:rPr>
        <w:t>贯彻执行上级有关交通运输行业的方针、政策和法律、法规，研究拟定全区公路运输、公路建设、交通运输管理的中、长期发展规划，并监督实施。</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（2）负责交通运输行业统计和信息工作。</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3）负责全区（不含城区）公路、桥梁及其设施的规划、立项报批工作以及设计、建设、养护、路政管理工作，依法拆除违章建筑、管理路产路权、保护公路设施，开发公路用地。培育和管理交通运输基础设施建筑区场，组织公路及其设施的建设、维护、招投标管理。</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（4）负责交通运输系统国有资产的经营管理、增值保值和开发工作。负责全区交通运输行业专项资金的管理和使用。</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（5）负责交通运输行业管理，引导交通运输行业优化结构、协调发展。对关系国计民生的重点物资和紧急物资的运输进行必要调控。</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6）负责培育和管理全区道路运输区场、机动车维修区场、机动车配件经营区场。参与管理旧车交易区场。负责搬运装卸、运输服务的行业管理。负责城乡客货运输管理，搞好汽车客货运输站、场、点的规划、建设和管理，依法保护和支持合法经营，取缔非法运输，指导管理好跨地域客货运输。</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7）负责局机关并指导所属事业单位人事、劳动、机构编制管理、人力资源开发工作；负责所属事业单位党员干部队伍和基层党组织建设，组织指导全区交通运输行业的精神文明建设和职工队伍思想建设，加强行风建设和党风廉政建设。</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（8）负责全区交通战备工作，组织编制全区国防交通规划，制定全区交通运输战时保障方案。</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（9）负责国有资产管理和对保值增值的监督；负责全区交通运输专项资金的管理和使用。</w:t>
      </w:r>
    </w:p>
    <w:p>
      <w:pPr>
        <w:keepNext w:val="0"/>
        <w:keepLines w:val="0"/>
        <w:pageBreakBefore w:val="0"/>
        <w:widowControl w:val="0"/>
        <w:kinsoku/>
        <w:wordWrap/>
        <w:overflowPunct/>
        <w:topLinePunct w:val="0"/>
        <w:autoSpaceDE/>
        <w:autoSpaceDN/>
        <w:bidi w:val="0"/>
        <w:adjustRightInd w:val="0"/>
        <w:snapToGrid w:val="0"/>
        <w:spacing w:line="560" w:lineRule="exact"/>
        <w:ind w:firstLineChars="200" w:firstLine="640"/>
        <w:textAlignment w:val="auto"/>
        <w:rPr>
          <w:rFonts w:ascii="仿宋" w:eastAsia="仿宋" w:cs="仿宋" w:hAnsi="仿宋"/>
          <w:sz w:val="32"/>
          <w:szCs w:val="32"/>
        </w:rPr>
      </w:pPr>
      <w:r>
        <w:rPr>
          <w:rFonts w:ascii="仿宋" w:eastAsia="仿宋" w:cs="仿宋" w:hAnsi="仿宋" w:hint="eastAsia"/>
          <w:sz w:val="32"/>
          <w:szCs w:val="32"/>
        </w:rPr>
        <w:t>（10）承办区人民政府交办的其他工作。</w:t>
      </w:r>
    </w:p>
    <w:p>
      <w:pPr>
        <w:snapToGrid w:val="0"/>
        <w:spacing w:line="560" w:lineRule="exact"/>
        <w:ind w:firstLineChars="200" w:firstLine="640"/>
        <w:rPr>
          <w:rFonts w:ascii="仿宋" w:eastAsia="仿宋" w:hAnsi="仿宋"/>
          <w:sz w:val="32"/>
          <w:szCs w:val="32"/>
        </w:rPr>
      </w:pPr>
      <w:r>
        <w:rPr>
          <w:rFonts w:ascii="仿宋" w:eastAsia="仿宋" w:cs="仿宋" w:hAnsi="仿宋"/>
          <w:sz w:val="32"/>
          <w:szCs w:val="32"/>
        </w:rPr>
        <w:t>2、</w:t>
      </w:r>
      <w:r>
        <w:rPr>
          <w:rFonts w:ascii="仿宋" w:eastAsia="仿宋" w:hAnsi="仿宋" w:hint="eastAsia"/>
          <w:sz w:val="32"/>
          <w:szCs w:val="32"/>
        </w:rPr>
        <w:t>机构情况</w:t>
      </w:r>
    </w:p>
    <w:tbl>
      <w:tblPr>
        <w:tblpPr w:leftFromText="180" w:rightFromText="180" w:vertAnchor="text" w:horzAnchor="margin" w:tblpXSpec="left" w:tblpY="179"/>
        <w:tblOverlap w:val="never"/>
        <w:tblW w:w="95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600" w:firstRow="0" w:lastRow="0" w:firstColumn="0" w:lastColumn="0" w:noHBand="1" w:noVBand="1"/>
      </w:tblPr>
      <w:tblGrid>
        <w:gridCol w:w="807"/>
        <w:gridCol w:w="3345"/>
        <w:gridCol w:w="2205"/>
        <w:gridCol w:w="3220"/>
      </w:tblGrid>
      <w:tr>
        <w:trPr>
          <w:trHeight w:val="873"/>
        </w:trPr>
        <w:tc>
          <w:tcPr>
            <w:tcW w:w="807" w:type="dxa"/>
            <w:vAlign w:val="center"/>
          </w:tcPr>
          <w:p>
            <w:pPr>
              <w:spacing w:line="560" w:lineRule="exact"/>
              <w:jc w:val="center"/>
              <w:rPr>
                <w:rFonts w:ascii="仿宋" w:eastAsia="仿宋" w:cs="Arial Black" w:hAnsi="仿宋"/>
                <w:b/>
                <w:bCs/>
                <w:kern w:val="0"/>
                <w:sz w:val="28"/>
                <w:szCs w:val="28"/>
              </w:rPr>
            </w:pPr>
            <w:r>
              <w:rPr>
                <w:rFonts w:ascii="仿宋" w:eastAsia="仿宋" w:cs="Arial Black" w:hAnsi="仿宋" w:hint="eastAsia"/>
                <w:b/>
                <w:bCs/>
                <w:kern w:val="0"/>
                <w:sz w:val="28"/>
                <w:szCs w:val="28"/>
              </w:rPr>
              <w:t>序号</w:t>
            </w:r>
          </w:p>
        </w:tc>
        <w:tc>
          <w:tcPr>
            <w:tcW w:w="3345" w:type="dxa"/>
            <w:vAlign w:val="center"/>
          </w:tcPr>
          <w:p>
            <w:pPr>
              <w:spacing w:line="560" w:lineRule="exact"/>
              <w:jc w:val="center"/>
              <w:rPr>
                <w:rFonts w:ascii="仿宋" w:eastAsia="仿宋" w:cs="Arial Black" w:hAnsi="仿宋"/>
                <w:b/>
                <w:bCs/>
                <w:kern w:val="0"/>
                <w:sz w:val="28"/>
                <w:szCs w:val="28"/>
              </w:rPr>
            </w:pPr>
            <w:r>
              <w:rPr>
                <w:rFonts w:ascii="仿宋" w:eastAsia="仿宋" w:cs="Arial Black" w:hAnsi="仿宋" w:hint="eastAsia"/>
                <w:b/>
                <w:bCs/>
                <w:kern w:val="0"/>
                <w:sz w:val="28"/>
                <w:szCs w:val="28"/>
              </w:rPr>
              <w:t>单位名称</w:t>
            </w:r>
          </w:p>
        </w:tc>
        <w:tc>
          <w:tcPr>
            <w:tcW w:w="2205" w:type="dxa"/>
            <w:vAlign w:val="center"/>
          </w:tcPr>
          <w:p>
            <w:pPr>
              <w:spacing w:line="560" w:lineRule="exact"/>
              <w:jc w:val="center"/>
              <w:rPr>
                <w:rFonts w:ascii="仿宋" w:eastAsia="仿宋" w:cs="Arial Black" w:hAnsi="仿宋"/>
                <w:b/>
                <w:bCs/>
                <w:kern w:val="0"/>
                <w:sz w:val="28"/>
                <w:szCs w:val="28"/>
              </w:rPr>
            </w:pPr>
            <w:r>
              <w:rPr>
                <w:rFonts w:ascii="仿宋" w:eastAsia="仿宋" w:cs="Arial Black" w:hAnsi="仿宋" w:hint="eastAsia"/>
                <w:b/>
                <w:bCs/>
                <w:kern w:val="0"/>
                <w:sz w:val="28"/>
                <w:szCs w:val="28"/>
              </w:rPr>
              <w:t>单位基本性质</w:t>
            </w:r>
          </w:p>
        </w:tc>
        <w:tc>
          <w:tcPr>
            <w:tcW w:w="3220" w:type="dxa"/>
            <w:vAlign w:val="center"/>
          </w:tcPr>
          <w:p>
            <w:pPr>
              <w:spacing w:line="560" w:lineRule="exact"/>
              <w:jc w:val="center"/>
              <w:rPr>
                <w:rFonts w:ascii="仿宋" w:eastAsia="仿宋" w:cs="Arial Black" w:hAnsi="仿宋"/>
                <w:b/>
                <w:bCs/>
                <w:kern w:val="0"/>
                <w:sz w:val="28"/>
                <w:szCs w:val="28"/>
              </w:rPr>
            </w:pPr>
            <w:r>
              <w:rPr>
                <w:rFonts w:ascii="仿宋" w:eastAsia="仿宋" w:cs="Arial Black" w:hAnsi="仿宋" w:hint="eastAsia"/>
                <w:b/>
                <w:bCs/>
                <w:kern w:val="0"/>
                <w:sz w:val="28"/>
                <w:szCs w:val="28"/>
              </w:rPr>
              <w:t>经费形式</w:t>
            </w:r>
          </w:p>
        </w:tc>
      </w:tr>
      <w:tr>
        <w:trPr>
          <w:trHeight w:val="641"/>
        </w:trPr>
        <w:tc>
          <w:tcPr>
            <w:tcW w:w="807" w:type="dxa"/>
          </w:tcPr>
          <w:p>
            <w:pPr>
              <w:spacing w:line="560" w:lineRule="exact"/>
              <w:jc w:val="center"/>
              <w:rPr>
                <w:rFonts w:ascii="仿宋" w:eastAsia="仿宋" w:cs="Arial Black" w:hAnsi="仿宋"/>
                <w:kern w:val="0"/>
                <w:sz w:val="24"/>
              </w:rPr>
            </w:pPr>
            <w:r>
              <w:rPr>
                <w:rFonts w:ascii="仿宋" w:eastAsia="仿宋" w:cs="Arial Black" w:hAnsi="仿宋" w:hint="eastAsia"/>
                <w:kern w:val="0"/>
                <w:sz w:val="24"/>
              </w:rPr>
              <w:t>1</w:t>
            </w:r>
          </w:p>
        </w:tc>
        <w:tc>
          <w:tcPr>
            <w:tcW w:w="3345" w:type="dxa"/>
            <w:tcBorders>
              <w:left w:val="single" w:sz="4" w:space="0" w:color="auto"/>
            </w:tcBorders>
          </w:tcPr>
          <w:p>
            <w:pPr>
              <w:spacing w:line="560" w:lineRule="exact"/>
              <w:rPr>
                <w:rFonts w:ascii="仿宋" w:eastAsia="仿宋" w:cs="仿宋" w:hAnsi="仿宋"/>
                <w:kern w:val="0"/>
                <w:sz w:val="24"/>
              </w:rPr>
            </w:pPr>
            <w:r>
              <w:rPr>
                <w:rFonts w:ascii="仿宋" w:eastAsia="仿宋" w:cs="仿宋" w:hAnsi="仿宋" w:hint="eastAsia"/>
                <w:kern w:val="0"/>
                <w:sz w:val="24"/>
              </w:rPr>
              <w:t>石家庄市藁城区交通运输局</w:t>
            </w:r>
          </w:p>
        </w:tc>
        <w:tc>
          <w:tcPr>
            <w:tcW w:w="2205" w:type="dxa"/>
            <w:tcBorders>
              <w:left w:val="single" w:sz="4" w:space="0" w:color="auto"/>
            </w:tcBorders>
          </w:tcPr>
          <w:p>
            <w:pPr>
              <w:spacing w:line="560" w:lineRule="exact"/>
              <w:jc w:val="center"/>
              <w:rPr>
                <w:rFonts w:ascii="仿宋" w:eastAsia="仿宋" w:cs="仿宋" w:hAnsi="仿宋"/>
                <w:kern w:val="0"/>
                <w:sz w:val="24"/>
              </w:rPr>
            </w:pPr>
            <w:r>
              <w:rPr>
                <w:rFonts w:ascii="仿宋" w:eastAsia="仿宋" w:cs="仿宋" w:hAnsi="仿宋" w:hint="eastAsia"/>
                <w:kern w:val="0"/>
                <w:sz w:val="24"/>
              </w:rPr>
              <w:t>行政单位</w:t>
            </w:r>
          </w:p>
        </w:tc>
        <w:tc>
          <w:tcPr>
            <w:tcW w:w="3220" w:type="dxa"/>
            <w:tcBorders>
              <w:left w:val="single" w:sz="4" w:space="0" w:color="auto"/>
            </w:tcBorders>
          </w:tcPr>
          <w:p>
            <w:pPr>
              <w:spacing w:line="560" w:lineRule="exact"/>
              <w:jc w:val="center"/>
              <w:rPr>
                <w:rFonts w:ascii="仿宋" w:eastAsia="仿宋" w:cs="仿宋" w:hAnsi="仿宋"/>
                <w:kern w:val="0"/>
                <w:sz w:val="24"/>
              </w:rPr>
            </w:pPr>
            <w:r>
              <w:rPr>
                <w:rFonts w:ascii="仿宋" w:eastAsia="仿宋" w:cs="Arial Black" w:hAnsi="仿宋" w:hint="eastAsia"/>
                <w:kern w:val="0"/>
                <w:sz w:val="24"/>
              </w:rPr>
              <w:t>财政性资金定额或定项补助</w:t>
            </w:r>
          </w:p>
        </w:tc>
      </w:tr>
      <w:tr>
        <w:trPr>
          <w:trHeight w:val="641"/>
        </w:trPr>
        <w:tc>
          <w:tcPr>
            <w:tcW w:w="807" w:type="dxa"/>
          </w:tcPr>
          <w:p>
            <w:pPr>
              <w:spacing w:line="560" w:lineRule="exact"/>
              <w:jc w:val="center"/>
              <w:rPr>
                <w:rFonts w:ascii="仿宋" w:eastAsia="仿宋" w:cs="Arial Black" w:hAnsi="仿宋"/>
                <w:kern w:val="0"/>
                <w:sz w:val="28"/>
                <w:szCs w:val="28"/>
              </w:rPr>
            </w:pPr>
            <w:r>
              <w:rPr>
                <w:rFonts w:ascii="仿宋" w:eastAsia="仿宋" w:cs="Arial Black" w:hAnsi="仿宋" w:hint="eastAsia"/>
                <w:kern w:val="0"/>
                <w:sz w:val="28"/>
                <w:szCs w:val="28"/>
              </w:rPr>
              <w:t>2</w:t>
            </w:r>
          </w:p>
        </w:tc>
        <w:tc>
          <w:tcPr>
            <w:tcW w:w="3345" w:type="dxa"/>
            <w:tcBorders>
              <w:left w:val="single" w:sz="4" w:space="0" w:color="auto"/>
            </w:tcBorders>
          </w:tcPr>
          <w:p>
            <w:pPr>
              <w:spacing w:line="560" w:lineRule="exact"/>
              <w:rPr>
                <w:rFonts w:ascii="仿宋" w:eastAsia="仿宋" w:cs="仿宋" w:hAnsi="仿宋"/>
                <w:kern w:val="0"/>
                <w:sz w:val="28"/>
                <w:szCs w:val="28"/>
              </w:rPr>
            </w:pPr>
            <w:r>
              <w:rPr>
                <w:rFonts w:ascii="仿宋" w:eastAsia="仿宋" w:cs="ArialUnicodeMS" w:hAnsi="仿宋" w:hint="eastAsia"/>
                <w:kern w:val="0"/>
                <w:sz w:val="24"/>
              </w:rPr>
              <w:t>石家庄市藁城区公路管理站</w:t>
            </w:r>
          </w:p>
        </w:tc>
        <w:tc>
          <w:tcPr>
            <w:tcW w:w="2205" w:type="dxa"/>
            <w:tcBorders>
              <w:left w:val="single" w:sz="4" w:space="0" w:color="auto"/>
            </w:tcBorders>
          </w:tcPr>
          <w:p>
            <w:pPr>
              <w:spacing w:line="560" w:lineRule="exact"/>
              <w:jc w:val="center"/>
              <w:rPr>
                <w:rFonts w:ascii="仿宋" w:eastAsia="仿宋" w:cs="仿宋" w:hAnsi="仿宋"/>
                <w:kern w:val="0"/>
                <w:sz w:val="28"/>
                <w:szCs w:val="28"/>
              </w:rPr>
            </w:pPr>
            <w:r>
              <w:rPr>
                <w:rFonts w:ascii="仿宋" w:eastAsia="仿宋" w:cs="ArialUnicodeMS" w:hAnsi="仿宋" w:hint="eastAsia"/>
                <w:kern w:val="0"/>
                <w:sz w:val="24"/>
              </w:rPr>
              <w:t>经费自理事业单位</w:t>
            </w:r>
          </w:p>
        </w:tc>
        <w:tc>
          <w:tcPr>
            <w:tcW w:w="3220" w:type="dxa"/>
            <w:tcBorders>
              <w:left w:val="single" w:sz="4" w:space="0" w:color="auto"/>
            </w:tcBorders>
          </w:tcPr>
          <w:p>
            <w:pPr>
              <w:spacing w:line="560" w:lineRule="exact"/>
              <w:jc w:val="center"/>
              <w:rPr>
                <w:rFonts w:ascii="仿宋" w:eastAsia="仿宋" w:cs="仿宋" w:hAnsi="仿宋"/>
                <w:kern w:val="0"/>
                <w:sz w:val="28"/>
                <w:szCs w:val="28"/>
              </w:rPr>
            </w:pPr>
            <w:r>
              <w:rPr>
                <w:rFonts w:ascii="仿宋" w:eastAsia="仿宋" w:cs="Arial Black" w:hAnsi="仿宋" w:hint="eastAsia"/>
                <w:kern w:val="0"/>
                <w:sz w:val="24"/>
              </w:rPr>
              <w:t>财政性资金定额或定项补助</w:t>
            </w:r>
          </w:p>
        </w:tc>
      </w:tr>
    </w:tbl>
    <w:p>
      <w:pPr>
        <w:snapToGrid w:val="0"/>
        <w:spacing w:line="560" w:lineRule="exact"/>
        <w:ind w:firstLineChars="200" w:firstLine="640"/>
        <w:rPr>
          <w:rFonts w:ascii="仿宋" w:eastAsia="仿宋" w:hAnsi="仿宋"/>
          <w:sz w:val="32"/>
          <w:szCs w:val="32"/>
        </w:rPr>
      </w:pPr>
      <w:r>
        <w:rPr>
          <w:rFonts w:ascii="仿宋_GB2312" w:eastAsia="仿宋_GB2312" w:cs="仿宋_GB2312" w:hAnsi="仿宋_GB2312"/>
          <w:sz w:val="32"/>
          <w:szCs w:val="32"/>
          <w:lang w:eastAsia="zh-CN"/>
          <w:highlight w:val="none"/>
        </w:rPr>
        <w:t>3、</w:t>
      </w:r>
      <w:r>
        <w:rPr>
          <w:rFonts w:ascii="仿宋" w:eastAsia="仿宋" w:hAnsi="仿宋" w:hint="eastAsia"/>
          <w:sz w:val="32"/>
          <w:szCs w:val="32"/>
        </w:rPr>
        <w:t>人员情况</w:t>
      </w:r>
    </w:p>
    <w:p>
      <w:pPr>
        <w:keepNext w:val="0"/>
        <w:keepLines w:val="0"/>
        <w:pageBreakBefore w:val="0"/>
        <w:widowControl w:val="0"/>
        <w:kinsoku/>
        <w:wordWrap/>
        <w:overflowPunct/>
        <w:topLinePunct w:val="0"/>
        <w:autoSpaceDE/>
        <w:autoSpaceDN/>
        <w:adjustRightInd w:val="0"/>
        <w:snapToGrid w:val="0"/>
        <w:spacing w:line="560" w:lineRule="exact"/>
        <w:ind w:firstLineChars="200" w:firstLine="640"/>
        <w:rPr>
          <w:rFonts w:ascii="仿宋" w:eastAsia="仿宋" w:cs="仿宋" w:hAnsi="仿宋" w:hint="eastAsia"/>
          <w:sz w:val="32"/>
          <w:szCs w:val="32"/>
        </w:rPr>
      </w:pPr>
      <w:r>
        <w:rPr>
          <w:rFonts w:ascii="仿宋" w:eastAsia="仿宋" w:hAnsi="仿宋" w:hint="eastAsia"/>
          <w:sz w:val="32"/>
          <w:szCs w:val="32"/>
        </w:rPr>
        <w:t>202</w:t>
      </w:r>
      <w:r>
        <w:rPr>
          <w:rFonts w:ascii="仿宋" w:eastAsia="仿宋" w:hAnsi="仿宋"/>
          <w:sz w:val="32"/>
          <w:szCs w:val="32"/>
        </w:rPr>
        <w:t>5</w:t>
      </w:r>
      <w:r>
        <w:rPr>
          <w:rFonts w:ascii="仿宋" w:eastAsia="仿宋" w:hAnsi="仿宋" w:hint="eastAsia"/>
          <w:sz w:val="32"/>
          <w:szCs w:val="32"/>
        </w:rPr>
        <w:t>年年初在职人数为</w:t>
      </w:r>
      <w:r>
        <w:rPr>
          <w:rFonts w:ascii="仿宋" w:eastAsia="仿宋" w:hAnsi="仿宋"/>
          <w:sz w:val="32"/>
          <w:szCs w:val="32"/>
        </w:rPr>
        <w:t>190</w:t>
      </w:r>
      <w:r>
        <w:rPr>
          <w:rFonts w:ascii="仿宋" w:eastAsia="仿宋" w:hAnsi="仿宋" w:hint="eastAsia"/>
          <w:sz w:val="32"/>
          <w:szCs w:val="32"/>
        </w:rPr>
        <w:t>人，年末在职人数为</w:t>
      </w:r>
      <w:r>
        <w:rPr>
          <w:rFonts w:ascii="仿宋" w:eastAsia="仿宋" w:hAnsi="仿宋"/>
          <w:sz w:val="32"/>
          <w:szCs w:val="32"/>
        </w:rPr>
        <w:t>183</w:t>
      </w:r>
      <w:r>
        <w:rPr>
          <w:rFonts w:ascii="仿宋" w:eastAsia="仿宋" w:hAnsi="仿宋" w:hint="eastAsia"/>
          <w:sz w:val="32"/>
          <w:szCs w:val="32"/>
        </w:rPr>
        <w:t>人，其中，</w:t>
      </w:r>
      <w:r>
        <w:rPr>
          <w:rFonts w:ascii="仿宋" w:eastAsia="仿宋" w:hAnsi="仿宋"/>
          <w:sz w:val="32"/>
          <w:szCs w:val="32"/>
        </w:rPr>
        <w:t>调出1人，</w:t>
      </w:r>
      <w:r>
        <w:rPr>
          <w:rFonts w:ascii="仿宋" w:eastAsia="仿宋" w:hAnsi="仿宋" w:hint="eastAsia"/>
          <w:sz w:val="32"/>
          <w:szCs w:val="32"/>
        </w:rPr>
        <w:t>退休</w:t>
      </w:r>
      <w:r>
        <w:rPr>
          <w:rFonts w:ascii="仿宋" w:eastAsia="仿宋" w:hAnsi="仿宋"/>
          <w:sz w:val="32"/>
          <w:szCs w:val="32"/>
        </w:rPr>
        <w:t>6</w:t>
      </w:r>
      <w:r>
        <w:rPr>
          <w:rFonts w:ascii="仿宋" w:eastAsia="仿宋" w:hAnsi="仿宋" w:hint="eastAsia"/>
          <w:sz w:val="32"/>
          <w:szCs w:val="32"/>
        </w:rPr>
        <w:t>人。行政编制12人，事业编制</w:t>
      </w:r>
      <w:r>
        <w:rPr>
          <w:rFonts w:ascii="仿宋" w:eastAsia="仿宋" w:hAnsi="仿宋"/>
          <w:sz w:val="32"/>
          <w:szCs w:val="32"/>
        </w:rPr>
        <w:t>178</w:t>
      </w:r>
      <w:r>
        <w:rPr>
          <w:rFonts w:ascii="仿宋" w:eastAsia="仿宋" w:hAnsi="仿宋" w:hint="eastAsia"/>
          <w:sz w:val="32"/>
          <w:szCs w:val="32"/>
        </w:rPr>
        <w:t>人。</w:t>
      </w:r>
    </w:p>
    <w:p>
      <w:pPr>
        <w:keepNext w:val="0"/>
        <w:keepLines w:val="0"/>
        <w:pageBreakBefore w:val="0"/>
        <w:widowControl w:val="0"/>
        <w:kinsoku/>
        <w:wordWrap/>
        <w:overflowPunct/>
        <w:topLinePunct w:val="0"/>
        <w:autoSpaceDE/>
        <w:autoSpaceDN/>
        <w:bidi w:val="0"/>
        <w:adjustRightInd w:val="0"/>
        <w:snapToGrid w:val="0"/>
        <w:spacing w:line="560" w:lineRule="exact"/>
        <w:ind w:firstLineChars="200" w:firstLine="640"/>
        <w:textAlignment w:val="auto"/>
        <w:rPr>
          <w:rFonts w:ascii="楷体_GB2312" w:eastAsia="楷体_GB2312" w:cs="楷体_GB2312" w:hAnsi="楷体_GB2312" w:hint="eastAsia"/>
          <w:bCs/>
          <w:sz w:val="32"/>
          <w:szCs w:val="32"/>
        </w:rPr>
      </w:pPr>
      <w:r>
        <w:rPr>
          <w:rFonts w:ascii="楷体_GB2312" w:eastAsia="楷体_GB2312" w:cs="楷体_GB2312" w:hAnsi="楷体_GB2312" w:hint="eastAsia"/>
          <w:bCs/>
          <w:sz w:val="32"/>
          <w:szCs w:val="32"/>
        </w:rPr>
        <w:t>（二）部门收支预决算情况</w:t>
      </w:r>
    </w:p>
    <w:p>
      <w:pPr>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1、部门预算情况</w:t>
      </w:r>
    </w:p>
    <w:p>
      <w:pPr>
        <w:snapToGrid w:val="0"/>
        <w:spacing w:line="560" w:lineRule="exact"/>
        <w:ind w:firstLineChars="200" w:firstLine="640"/>
        <w:rPr>
          <w:rFonts w:eastAsia="仿宋"/>
          <w:sz w:val="32"/>
          <w:szCs w:val="32"/>
        </w:rPr>
      </w:pPr>
      <w:r>
        <w:rPr>
          <w:rFonts w:ascii="仿宋" w:eastAsia="仿宋" w:hAnsi="仿宋" w:hint="eastAsia"/>
          <w:sz w:val="32"/>
          <w:szCs w:val="32"/>
        </w:rPr>
        <w:t>（1）</w:t>
      </w:r>
      <w:r>
        <w:rPr>
          <w:rFonts w:eastAsia="仿宋"/>
          <w:sz w:val="32"/>
          <w:szCs w:val="32"/>
        </w:rPr>
        <w:t>收入说明</w:t>
      </w:r>
    </w:p>
    <w:p>
      <w:pPr>
        <w:keepNext w:val="0"/>
        <w:keepLines w:val="0"/>
        <w:pageBreakBefore w:val="0"/>
        <w:widowControl w:val="0"/>
        <w:kinsoku/>
        <w:wordWrap/>
        <w:overflowPunct/>
        <w:topLinePunct w:val="0"/>
        <w:autoSpaceDE/>
        <w:autoSpaceDN/>
        <w:bidi w:val="0"/>
        <w:adjustRightInd w:val="0"/>
        <w:snapToGrid w:val="0"/>
        <w:spacing w:line="560" w:lineRule="exact"/>
        <w:ind w:firstLineChars="200" w:firstLine="640"/>
        <w:textAlignment w:val="auto"/>
        <w:rPr>
          <w:rFonts w:ascii="仿宋_GB2312" w:eastAsia="仿宋_GB2312" w:cs="仿宋_GB2312" w:hAnsi="仿宋_GB2312"/>
          <w:sz w:val="32"/>
          <w:szCs w:val="32"/>
          <w:lang w:eastAsia="zh-CN"/>
          <w:highlight w:val="none"/>
        </w:rPr>
      </w:pPr>
      <w:r>
        <w:rPr>
          <w:rFonts w:ascii="仿宋_GB2312" w:eastAsia="仿宋_GB2312" w:hAnsi="仿宋" w:hint="eastAsia"/>
          <w:sz w:val="32"/>
          <w:szCs w:val="32"/>
        </w:rPr>
        <w:t>202</w:t>
      </w:r>
      <w:r>
        <w:rPr>
          <w:rFonts w:ascii="仿宋_GB2312" w:eastAsia="仿宋_GB2312" w:hAnsi="仿宋"/>
          <w:sz w:val="32"/>
          <w:szCs w:val="32"/>
        </w:rPr>
        <w:t>5</w:t>
      </w:r>
      <w:r>
        <w:rPr>
          <w:rFonts w:ascii="仿宋_GB2312" w:eastAsia="仿宋_GB2312" w:hAnsi="仿宋" w:hint="eastAsia"/>
          <w:sz w:val="32"/>
          <w:szCs w:val="32"/>
        </w:rPr>
        <w:t>年预算安排收入</w:t>
      </w:r>
      <w:r>
        <w:rPr>
          <w:rFonts w:ascii="仿宋_GB2312" w:eastAsia="仿宋_GB2312" w:hAnsi="仿宋"/>
          <w:sz w:val="32"/>
          <w:szCs w:val="32"/>
          <w:lang w:val="en-US" w:eastAsia="zh-CN"/>
        </w:rPr>
        <w:t>41744.45</w:t>
      </w:r>
      <w:r>
        <w:rPr>
          <w:rFonts w:ascii="仿宋_GB2312" w:eastAsia="仿宋_GB2312" w:hAnsi="仿宋" w:hint="eastAsia"/>
          <w:sz w:val="32"/>
          <w:szCs w:val="32"/>
        </w:rPr>
        <w:t>万元，其中：一般公共预算收入</w:t>
      </w:r>
      <w:r>
        <w:rPr>
          <w:rFonts w:ascii="仿宋_GB2312" w:eastAsia="仿宋_GB2312" w:hAnsi="仿宋"/>
          <w:sz w:val="32"/>
          <w:szCs w:val="32"/>
          <w:lang w:val="en-US" w:eastAsia="zh-CN"/>
        </w:rPr>
        <w:t>9908.77</w:t>
      </w:r>
      <w:r>
        <w:rPr>
          <w:rFonts w:ascii="仿宋_GB2312" w:eastAsia="仿宋_GB2312" w:hAnsi="仿宋" w:hint="eastAsia"/>
          <w:sz w:val="32"/>
          <w:szCs w:val="32"/>
        </w:rPr>
        <w:t>万元，基金预算收入</w:t>
      </w:r>
      <w:r>
        <w:rPr>
          <w:rFonts w:ascii="仿宋_GB2312" w:eastAsia="仿宋_GB2312" w:hAnsi="仿宋"/>
          <w:sz w:val="32"/>
          <w:szCs w:val="32"/>
          <w:lang w:val="en-US" w:eastAsia="zh-CN"/>
        </w:rPr>
        <w:t>19087.93</w:t>
      </w:r>
      <w:r>
        <w:rPr>
          <w:rFonts w:ascii="仿宋_GB2312" w:eastAsia="仿宋_GB2312" w:hAnsi="仿宋" w:hint="eastAsia"/>
          <w:sz w:val="32"/>
          <w:szCs w:val="32"/>
        </w:rPr>
        <w:t>万元，</w:t>
      </w:r>
      <w:r>
        <w:rPr>
          <w:rFonts w:ascii="仿宋_GB2312" w:eastAsia="仿宋_GB2312" w:hAnsi="仿宋"/>
          <w:sz w:val="32"/>
          <w:szCs w:val="32"/>
        </w:rPr>
        <w:t>上年结转结余12747.75</w:t>
      </w:r>
      <w:r>
        <w:rPr>
          <w:rFonts w:ascii="仿宋_GB2312" w:eastAsia="仿宋_GB2312" w:hAnsi="仿宋" w:hint="eastAsia"/>
          <w:sz w:val="32"/>
          <w:szCs w:val="32"/>
        </w:rPr>
        <w:t>万元。</w:t>
      </w:r>
    </w:p>
    <w:p>
      <w:pPr>
        <w:snapToGrid w:val="0"/>
        <w:spacing w:line="560" w:lineRule="exact"/>
        <w:ind w:firstLineChars="200" w:firstLine="640"/>
        <w:rPr>
          <w:rFonts w:eastAsia="仿宋"/>
          <w:sz w:val="32"/>
          <w:szCs w:val="32"/>
        </w:rPr>
      </w:pPr>
      <w:r>
        <w:rPr>
          <w:rFonts w:eastAsia="仿宋" w:hint="eastAsia"/>
          <w:sz w:val="32"/>
          <w:szCs w:val="32"/>
        </w:rPr>
        <w:t>（2）支出说明</w:t>
      </w:r>
    </w:p>
    <w:p>
      <w:pPr>
        <w:keepNext w:val="0"/>
        <w:keepLines w:val="0"/>
        <w:pageBreakBefore w:val="0"/>
        <w:widowControl w:val="0"/>
        <w:kinsoku/>
        <w:wordWrap/>
        <w:overflowPunct/>
        <w:topLinePunct w:val="0"/>
        <w:autoSpaceDE/>
        <w:autoSpaceDN/>
        <w:bidi w:val="0"/>
        <w:adjustRightInd w:val="0"/>
        <w:snapToGrid w:val="0"/>
        <w:spacing w:line="560" w:lineRule="exact"/>
        <w:ind w:firstLineChars="200" w:firstLine="640"/>
        <w:textAlignment w:val="auto"/>
        <w:rPr>
          <w:rFonts w:ascii="仿宋_GB2312" w:eastAsia="仿宋_GB2312" w:hAnsi="仿宋"/>
          <w:sz w:val="32"/>
          <w:szCs w:val="32"/>
        </w:rPr>
      </w:pPr>
      <w:r>
        <w:rPr>
          <w:rFonts w:ascii="仿宋_GB2312" w:eastAsia="仿宋_GB2312" w:hAnsi="仿宋" w:hint="eastAsia"/>
          <w:sz w:val="32"/>
          <w:szCs w:val="32"/>
        </w:rPr>
        <w:t>202</w:t>
      </w:r>
      <w:r>
        <w:rPr>
          <w:rFonts w:ascii="仿宋_GB2312" w:eastAsia="仿宋_GB2312" w:hAnsi="仿宋"/>
          <w:sz w:val="32"/>
          <w:szCs w:val="32"/>
        </w:rPr>
        <w:t>5</w:t>
      </w:r>
      <w:r>
        <w:rPr>
          <w:rFonts w:ascii="仿宋_GB2312" w:eastAsia="仿宋_GB2312" w:hAnsi="仿宋" w:hint="eastAsia"/>
          <w:sz w:val="32"/>
          <w:szCs w:val="32"/>
        </w:rPr>
        <w:t>年</w:t>
      </w:r>
      <w:r>
        <w:rPr>
          <w:rFonts w:ascii="仿宋_GB2312" w:eastAsia="仿宋_GB2312" w:hAnsi="仿宋" w:hint="eastAsia"/>
          <w:sz w:val="32"/>
          <w:szCs w:val="32"/>
          <w:lang w:val="en-US" w:eastAsia="zh-CN"/>
        </w:rPr>
        <w:t>部门</w:t>
      </w:r>
      <w:r>
        <w:rPr>
          <w:rFonts w:ascii="仿宋_GB2312" w:eastAsia="仿宋_GB2312" w:hAnsi="仿宋" w:hint="eastAsia"/>
          <w:sz w:val="32"/>
          <w:szCs w:val="32"/>
        </w:rPr>
        <w:t>支出预算</w:t>
      </w:r>
      <w:r>
        <w:rPr>
          <w:rFonts w:ascii="仿宋_GB2312" w:eastAsia="仿宋_GB2312" w:hAnsi="仿宋"/>
          <w:sz w:val="32"/>
          <w:szCs w:val="32"/>
          <w:lang w:val="en-US" w:eastAsia="zh-CN"/>
        </w:rPr>
        <w:t>41744.45</w:t>
      </w:r>
      <w:r>
        <w:rPr>
          <w:rFonts w:ascii="仿宋_GB2312" w:eastAsia="仿宋_GB2312" w:hAnsi="仿宋" w:hint="eastAsia"/>
          <w:sz w:val="32"/>
          <w:szCs w:val="32"/>
        </w:rPr>
        <w:t>万元，包括一般公共预算支出</w:t>
      </w:r>
      <w:r>
        <w:rPr>
          <w:rFonts w:ascii="仿宋_GB2312" w:eastAsia="仿宋_GB2312" w:hAnsi="仿宋"/>
          <w:sz w:val="32"/>
          <w:szCs w:val="32"/>
          <w:lang w:val="en-US" w:eastAsia="zh-CN"/>
        </w:rPr>
        <w:t>7328.56</w:t>
      </w:r>
      <w:r>
        <w:rPr>
          <w:rFonts w:ascii="仿宋_GB2312" w:eastAsia="仿宋_GB2312" w:hAnsi="仿宋" w:hint="eastAsia"/>
          <w:sz w:val="32"/>
          <w:szCs w:val="32"/>
        </w:rPr>
        <w:t>万元</w:t>
      </w:r>
      <w:r>
        <w:rPr>
          <w:rFonts w:ascii="仿宋_GB2312" w:eastAsia="仿宋_GB2312" w:hAnsi="仿宋"/>
          <w:sz w:val="32"/>
          <w:szCs w:val="32"/>
        </w:rPr>
        <w:t>，</w:t>
      </w:r>
      <w:r>
        <w:rPr>
          <w:rFonts w:ascii="仿宋_GB2312" w:eastAsia="仿宋_GB2312" w:hAnsi="仿宋" w:hint="eastAsia"/>
          <w:sz w:val="32"/>
          <w:szCs w:val="32"/>
        </w:rPr>
        <w:t>政府性基金预算</w:t>
      </w:r>
      <w:r>
        <w:rPr>
          <w:rFonts w:ascii="仿宋_GB2312" w:eastAsia="仿宋_GB2312" w:hAnsi="仿宋"/>
          <w:sz w:val="32"/>
          <w:szCs w:val="32"/>
        </w:rPr>
        <w:t>支出19087.93</w:t>
      </w:r>
      <w:r>
        <w:rPr>
          <w:rFonts w:ascii="仿宋_GB2312" w:eastAsia="仿宋_GB2312" w:hAnsi="仿宋" w:hint="eastAsia"/>
          <w:sz w:val="32"/>
          <w:szCs w:val="32"/>
        </w:rPr>
        <w:t>万元，</w:t>
      </w:r>
      <w:r>
        <w:rPr>
          <w:rFonts w:ascii="仿宋_GB2312" w:eastAsia="仿宋_GB2312" w:hAnsi="仿宋"/>
          <w:sz w:val="32"/>
          <w:szCs w:val="32"/>
        </w:rPr>
        <w:t>上年结转结余12747.75</w:t>
      </w:r>
      <w:r>
        <w:rPr>
          <w:rFonts w:ascii="仿宋_GB2312" w:eastAsia="仿宋_GB2312" w:hAnsi="仿宋" w:hint="eastAsia"/>
          <w:sz w:val="32"/>
          <w:szCs w:val="32"/>
        </w:rPr>
        <w:t>万元</w:t>
      </w:r>
      <w:r>
        <w:rPr>
          <w:rFonts w:ascii="仿宋_GB2312" w:eastAsia="仿宋_GB2312" w:hAnsi="仿宋"/>
          <w:sz w:val="32"/>
          <w:szCs w:val="32"/>
        </w:rPr>
        <w:t>。</w:t>
      </w:r>
      <w:r>
        <w:rPr>
          <w:rFonts w:ascii="仿宋_GB2312" w:eastAsia="仿宋_GB2312" w:hAnsi="仿宋" w:hint="eastAsia"/>
          <w:sz w:val="32"/>
          <w:szCs w:val="32"/>
        </w:rPr>
        <w:t>其中，基本支出</w:t>
      </w:r>
      <w:r>
        <w:rPr>
          <w:rFonts w:ascii="仿宋_GB2312" w:eastAsia="仿宋_GB2312" w:hAnsi="仿宋"/>
          <w:sz w:val="32"/>
          <w:szCs w:val="32"/>
          <w:lang w:val="en-US" w:eastAsia="zh-CN"/>
        </w:rPr>
        <w:t>2580.21</w:t>
      </w:r>
      <w:r>
        <w:rPr>
          <w:rFonts w:ascii="仿宋_GB2312" w:eastAsia="仿宋_GB2312" w:hAnsi="仿宋" w:hint="eastAsia"/>
          <w:sz w:val="32"/>
          <w:szCs w:val="32"/>
        </w:rPr>
        <w:t>万元，包括人员经费</w:t>
      </w:r>
      <w:r>
        <w:rPr>
          <w:rFonts w:ascii="仿宋_GB2312" w:eastAsia="仿宋_GB2312" w:hAnsi="仿宋"/>
          <w:sz w:val="32"/>
          <w:szCs w:val="32"/>
        </w:rPr>
        <w:t>2448.47</w:t>
      </w:r>
      <w:r>
        <w:rPr>
          <w:rFonts w:ascii="仿宋_GB2312" w:eastAsia="仿宋_GB2312" w:hAnsi="仿宋" w:hint="eastAsia"/>
          <w:sz w:val="32"/>
          <w:szCs w:val="32"/>
        </w:rPr>
        <w:t>万元和日常公用经费</w:t>
      </w:r>
      <w:r>
        <w:rPr>
          <w:rFonts w:ascii="仿宋_GB2312" w:eastAsia="仿宋_GB2312" w:hAnsi="仿宋"/>
          <w:sz w:val="32"/>
          <w:szCs w:val="32"/>
          <w:lang w:val="en-US" w:eastAsia="zh-CN"/>
        </w:rPr>
        <w:t>131.74</w:t>
      </w:r>
      <w:r>
        <w:rPr>
          <w:rFonts w:ascii="仿宋_GB2312" w:eastAsia="仿宋_GB2312" w:hAnsi="仿宋" w:hint="eastAsia"/>
          <w:sz w:val="32"/>
          <w:szCs w:val="32"/>
        </w:rPr>
        <w:t>万元；项目支出</w:t>
      </w:r>
      <w:r>
        <w:rPr>
          <w:rFonts w:ascii="仿宋_GB2312" w:eastAsia="仿宋_GB2312" w:hAnsi="仿宋"/>
          <w:sz w:val="32"/>
          <w:szCs w:val="32"/>
          <w:lang w:val="en-US" w:eastAsia="zh-CN"/>
        </w:rPr>
        <w:t>39164.25</w:t>
      </w:r>
      <w:r>
        <w:rPr>
          <w:rFonts w:ascii="仿宋_GB2312" w:eastAsia="仿宋_GB2312" w:hAnsi="仿宋" w:hint="eastAsia"/>
          <w:sz w:val="32"/>
          <w:szCs w:val="32"/>
        </w:rPr>
        <w:t>万元。</w:t>
      </w:r>
    </w:p>
    <w:p>
      <w:pPr>
        <w:keepNext w:val="0"/>
        <w:keepLines w:val="0"/>
        <w:pageBreakBefore w:val="0"/>
        <w:widowControl w:val="0"/>
        <w:kinsoku/>
        <w:wordWrap/>
        <w:overflowPunct/>
        <w:topLinePunct w:val="0"/>
        <w:autoSpaceDE/>
        <w:autoSpaceDN/>
        <w:adjustRightInd w:val="0"/>
        <w:snapToGrid w:val="0"/>
        <w:spacing w:line="560" w:lineRule="exact"/>
        <w:ind w:firstLineChars="200" w:firstLine="640"/>
        <w:rPr>
          <w:rFonts w:ascii="楷体_GB2312" w:eastAsia="楷体_GB2312" w:cs="楷体_GB2312" w:hAnsi="楷体_GB2312"/>
          <w:bCs/>
          <w:sz w:val="32"/>
          <w:szCs w:val="32"/>
        </w:rPr>
      </w:pPr>
      <w:r>
        <w:rPr>
          <w:rFonts w:ascii="仿宋" w:eastAsia="仿宋" w:cs="仿宋" w:hAnsi="仿宋" w:hint="eastAsia"/>
          <w:sz w:val="32"/>
          <w:szCs w:val="32"/>
        </w:rPr>
        <w:t>2、部门决算情况</w:t>
      </w:r>
    </w:p>
    <w:p>
      <w:pPr>
        <w:keepNext w:val="0"/>
        <w:keepLines w:val="0"/>
        <w:pageBreakBefore w:val="0"/>
        <w:widowControl w:val="0"/>
        <w:kinsoku/>
        <w:wordWrap/>
        <w:overflowPunct/>
        <w:topLinePunct w:val="0"/>
        <w:autoSpaceDE/>
        <w:autoSpaceDN/>
        <w:adjustRightInd w:val="0"/>
        <w:snapToGrid w:val="0"/>
        <w:spacing w:line="560" w:lineRule="exact"/>
        <w:ind w:firstLineChars="200" w:firstLine="640"/>
        <w:rPr>
          <w:rFonts w:ascii="楷体_GB2312" w:eastAsia="楷体_GB2312" w:cs="楷体_GB2312" w:hAnsi="楷体_GB2312"/>
          <w:bCs/>
          <w:sz w:val="32"/>
          <w:szCs w:val="32"/>
        </w:rPr>
      </w:pPr>
      <w:r>
        <w:rPr>
          <w:rFonts w:ascii="仿宋_GB2312" w:eastAsia="仿宋_GB2312" w:hAnsi="仿宋" w:hint="eastAsia"/>
          <w:b w:val="0"/>
          <w:bCs w:val="0"/>
          <w:i w:val="0"/>
          <w:iCs w:val="0"/>
          <w:caps w:val="0"/>
          <w:smallCaps w:val="0"/>
          <w:strike w:val="0"/>
          <w:dstrike w:val="0"/>
          <w:kern w:val="2"/>
          <w:sz w:val="32"/>
          <w:szCs w:val="32"/>
          <w:u w:val="none"/>
          <w:lang w:val="en-US" w:eastAsia="zh-CN" w:bidi="ar-SA"/>
          <w:highlight w:val="none"/>
        </w:rPr>
        <w:t>本部门202</w:t>
      </w:r>
      <w:r>
        <w:rPr>
          <w:rFonts w:ascii="仿宋_GB2312" w:eastAsia="仿宋_GB2312" w:hAnsi="仿宋"/>
          <w:b w:val="0"/>
          <w:bCs w:val="0"/>
          <w:i w:val="0"/>
          <w:iCs w:val="0"/>
          <w:caps w:val="0"/>
          <w:smallCaps w:val="0"/>
          <w:strike w:val="0"/>
          <w:dstrike w:val="0"/>
          <w:kern w:val="2"/>
          <w:sz w:val="32"/>
          <w:szCs w:val="32"/>
          <w:u w:val="none"/>
          <w:lang w:val="en-US" w:eastAsia="zh-CN" w:bidi="ar-SA"/>
          <w:highlight w:val="none"/>
        </w:rPr>
        <w:t>5</w:t>
      </w:r>
      <w:r>
        <w:rPr>
          <w:rFonts w:ascii="仿宋_GB2312" w:eastAsia="仿宋_GB2312" w:hAnsi="仿宋" w:hint="eastAsia"/>
          <w:b w:val="0"/>
          <w:bCs w:val="0"/>
          <w:i w:val="0"/>
          <w:iCs w:val="0"/>
          <w:caps w:val="0"/>
          <w:smallCaps w:val="0"/>
          <w:strike w:val="0"/>
          <w:dstrike w:val="0"/>
          <w:kern w:val="2"/>
          <w:sz w:val="32"/>
          <w:szCs w:val="32"/>
          <w:u w:val="none"/>
          <w:lang w:val="en-US" w:eastAsia="zh-CN" w:bidi="ar-SA"/>
          <w:highlight w:val="none"/>
        </w:rPr>
        <w:t>年度本年收入合计</w:t>
      </w:r>
      <w:r>
        <w:rPr>
          <w:rFonts w:ascii="仿宋_GB2312" w:eastAsia="仿宋_GB2312" w:hAnsi="仿宋"/>
          <w:sz w:val="32"/>
          <w:szCs w:val="32"/>
          <w:lang w:val="en-US" w:eastAsia="zh-CN"/>
          <w:highlight w:val="none"/>
        </w:rPr>
        <w:t>51783.33</w:t>
      </w:r>
      <w:r>
        <w:rPr>
          <w:rFonts w:ascii="仿宋_GB2312" w:eastAsia="仿宋_GB2312" w:hAnsi="仿宋" w:hint="eastAsia"/>
          <w:b w:val="0"/>
          <w:bCs w:val="0"/>
          <w:i w:val="0"/>
          <w:iCs w:val="0"/>
          <w:caps w:val="0"/>
          <w:smallCaps w:val="0"/>
          <w:strike w:val="0"/>
          <w:dstrike w:val="0"/>
          <w:kern w:val="2"/>
          <w:sz w:val="32"/>
          <w:szCs w:val="32"/>
          <w:u w:val="none"/>
          <w:lang w:val="en-US" w:eastAsia="zh-CN" w:bidi="ar-SA"/>
          <w:highlight w:val="none"/>
        </w:rPr>
        <w:t>万元，其中：财政拨款收入</w:t>
      </w:r>
      <w:r>
        <w:rPr>
          <w:rFonts w:ascii="仿宋_GB2312" w:eastAsia="仿宋_GB2312" w:hAnsi="仿宋"/>
          <w:sz w:val="32"/>
          <w:szCs w:val="32"/>
          <w:lang w:val="en-US" w:eastAsia="zh-CN"/>
          <w:highlight w:val="none"/>
        </w:rPr>
        <w:t>51783.33</w:t>
      </w:r>
      <w:r>
        <w:rPr>
          <w:rFonts w:ascii="仿宋_GB2312" w:eastAsia="仿宋_GB2312" w:hAnsi="仿宋" w:hint="eastAsia"/>
          <w:b w:val="0"/>
          <w:bCs w:val="0"/>
          <w:i w:val="0"/>
          <w:iCs w:val="0"/>
          <w:caps w:val="0"/>
          <w:smallCaps w:val="0"/>
          <w:strike w:val="0"/>
          <w:dstrike w:val="0"/>
          <w:kern w:val="2"/>
          <w:sz w:val="32"/>
          <w:szCs w:val="32"/>
          <w:u w:val="none"/>
          <w:lang w:val="en-US" w:eastAsia="zh-CN" w:bidi="ar-SA"/>
          <w:highlight w:val="none"/>
        </w:rPr>
        <w:t>万元，占</w:t>
      </w:r>
      <w:r>
        <w:rPr>
          <w:rFonts w:ascii="仿宋_GB2312" w:eastAsia="仿宋_GB2312" w:hAnsi="仿宋"/>
          <w:b w:val="0"/>
          <w:bCs w:val="0"/>
          <w:i w:val="0"/>
          <w:iCs w:val="0"/>
          <w:caps w:val="0"/>
          <w:smallCaps w:val="0"/>
          <w:strike w:val="0"/>
          <w:dstrike w:val="0"/>
          <w:kern w:val="2"/>
          <w:sz w:val="32"/>
          <w:szCs w:val="32"/>
          <w:u w:val="none"/>
          <w:lang w:val="en-US" w:eastAsia="zh-CN" w:bidi="ar-SA"/>
          <w:highlight w:val="none"/>
        </w:rPr>
        <w:t>100</w:t>
      </w:r>
      <w:r>
        <w:rPr>
          <w:rFonts w:ascii="仿宋_GB2312" w:eastAsia="仿宋_GB2312" w:hAnsi="仿宋" w:hint="eastAsia"/>
          <w:b w:val="0"/>
          <w:bCs w:val="0"/>
          <w:i w:val="0"/>
          <w:iCs w:val="0"/>
          <w:caps w:val="0"/>
          <w:smallCaps w:val="0"/>
          <w:strike w:val="0"/>
          <w:dstrike w:val="0"/>
          <w:kern w:val="2"/>
          <w:sz w:val="32"/>
          <w:szCs w:val="32"/>
          <w:u w:val="none"/>
          <w:lang w:val="en-US" w:eastAsia="zh-CN" w:bidi="ar-SA"/>
          <w:highlight w:val="none"/>
        </w:rPr>
        <w:t>%。本部门202</w:t>
      </w:r>
      <w:r>
        <w:rPr>
          <w:rFonts w:ascii="仿宋_GB2312" w:eastAsia="仿宋_GB2312" w:hAnsi="仿宋"/>
          <w:b w:val="0"/>
          <w:bCs w:val="0"/>
          <w:i w:val="0"/>
          <w:iCs w:val="0"/>
          <w:caps w:val="0"/>
          <w:smallCaps w:val="0"/>
          <w:strike w:val="0"/>
          <w:dstrike w:val="0"/>
          <w:kern w:val="2"/>
          <w:sz w:val="32"/>
          <w:szCs w:val="32"/>
          <w:u w:val="none"/>
          <w:lang w:val="en-US" w:eastAsia="zh-CN" w:bidi="ar-SA"/>
          <w:highlight w:val="none"/>
        </w:rPr>
        <w:t>5</w:t>
      </w:r>
      <w:r>
        <w:rPr>
          <w:rFonts w:ascii="仿宋_GB2312" w:eastAsia="仿宋_GB2312" w:hAnsi="仿宋" w:hint="eastAsia"/>
          <w:b w:val="0"/>
          <w:bCs w:val="0"/>
          <w:i w:val="0"/>
          <w:iCs w:val="0"/>
          <w:caps w:val="0"/>
          <w:smallCaps w:val="0"/>
          <w:strike w:val="0"/>
          <w:dstrike w:val="0"/>
          <w:kern w:val="2"/>
          <w:sz w:val="32"/>
          <w:szCs w:val="32"/>
          <w:u w:val="none"/>
          <w:lang w:val="en-US" w:eastAsia="zh-CN" w:bidi="ar-SA"/>
          <w:highlight w:val="none"/>
        </w:rPr>
        <w:t>年度本年支出合计</w:t>
      </w:r>
      <w:r>
        <w:rPr>
          <w:rFonts w:ascii="仿宋_GB2312" w:eastAsia="仿宋_GB2312" w:hAnsi="仿宋"/>
          <w:sz w:val="32"/>
          <w:szCs w:val="32"/>
          <w:lang w:val="en-US" w:eastAsia="zh-CN"/>
          <w:highlight w:val="none"/>
        </w:rPr>
        <w:t>51783.33</w:t>
      </w:r>
      <w:r>
        <w:rPr>
          <w:rFonts w:ascii="仿宋_GB2312" w:eastAsia="仿宋_GB2312" w:hAnsi="仿宋" w:hint="eastAsia"/>
          <w:b w:val="0"/>
          <w:bCs w:val="0"/>
          <w:i w:val="0"/>
          <w:iCs w:val="0"/>
          <w:caps w:val="0"/>
          <w:smallCaps w:val="0"/>
          <w:strike w:val="0"/>
          <w:dstrike w:val="0"/>
          <w:kern w:val="2"/>
          <w:sz w:val="32"/>
          <w:szCs w:val="32"/>
          <w:u w:val="none"/>
          <w:lang w:val="en-US" w:eastAsia="zh-CN" w:bidi="ar-SA"/>
          <w:highlight w:val="none"/>
        </w:rPr>
        <w:t>万元，其中:其中基本支出</w:t>
      </w:r>
      <w:r>
        <w:rPr>
          <w:rFonts w:ascii="仿宋_GB2312" w:eastAsia="仿宋_GB2312" w:hAnsi="仿宋"/>
          <w:b w:val="0"/>
          <w:bCs w:val="0"/>
          <w:i w:val="0"/>
          <w:iCs w:val="0"/>
          <w:caps w:val="0"/>
          <w:smallCaps w:val="0"/>
          <w:strike w:val="0"/>
          <w:dstrike w:val="0"/>
          <w:kern w:val="2"/>
          <w:sz w:val="32"/>
          <w:szCs w:val="32"/>
          <w:u w:val="none"/>
          <w:lang w:val="en-US" w:eastAsia="zh-CN" w:bidi="ar-SA"/>
          <w:highlight w:val="none"/>
        </w:rPr>
        <w:t>2209.65</w:t>
      </w:r>
      <w:r>
        <w:rPr>
          <w:rFonts w:ascii="仿宋_GB2312" w:eastAsia="仿宋_GB2312" w:hAnsi="仿宋" w:hint="eastAsia"/>
          <w:b w:val="0"/>
          <w:bCs w:val="0"/>
          <w:i w:val="0"/>
          <w:iCs w:val="0"/>
          <w:caps w:val="0"/>
          <w:smallCaps w:val="0"/>
          <w:strike w:val="0"/>
          <w:dstrike w:val="0"/>
          <w:kern w:val="2"/>
          <w:sz w:val="32"/>
          <w:szCs w:val="32"/>
          <w:u w:val="none"/>
          <w:lang w:val="en-US" w:eastAsia="zh-CN" w:bidi="ar-SA"/>
          <w:highlight w:val="none"/>
        </w:rPr>
        <w:t>万元，占</w:t>
      </w:r>
      <w:r>
        <w:rPr>
          <w:rFonts w:ascii="仿宋_GB2312" w:eastAsia="仿宋_GB2312" w:hAnsi="仿宋"/>
          <w:b w:val="0"/>
          <w:bCs w:val="0"/>
          <w:i w:val="0"/>
          <w:iCs w:val="0"/>
          <w:caps w:val="0"/>
          <w:smallCaps w:val="0"/>
          <w:strike w:val="0"/>
          <w:dstrike w:val="0"/>
          <w:kern w:val="2"/>
          <w:sz w:val="32"/>
          <w:szCs w:val="32"/>
          <w:u w:val="none"/>
          <w:lang w:val="en-US" w:eastAsia="zh-CN" w:bidi="ar-SA"/>
          <w:highlight w:val="none"/>
        </w:rPr>
        <w:t>4.27</w:t>
      </w:r>
      <w:r>
        <w:rPr>
          <w:rFonts w:ascii="仿宋_GB2312" w:eastAsia="仿宋_GB2312" w:hAnsi="仿宋" w:hint="eastAsia"/>
          <w:b w:val="0"/>
          <w:bCs w:val="0"/>
          <w:i w:val="0"/>
          <w:iCs w:val="0"/>
          <w:caps w:val="0"/>
          <w:smallCaps w:val="0"/>
          <w:strike w:val="0"/>
          <w:dstrike w:val="0"/>
          <w:kern w:val="2"/>
          <w:sz w:val="32"/>
          <w:szCs w:val="32"/>
          <w:u w:val="none"/>
          <w:lang w:val="en-US" w:eastAsia="zh-CN" w:bidi="ar-SA"/>
          <w:highlight w:val="none"/>
        </w:rPr>
        <w:t>%；项目支出</w:t>
      </w:r>
      <w:r>
        <w:rPr>
          <w:rFonts w:ascii="仿宋_GB2312" w:eastAsia="仿宋_GB2312" w:hAnsi="仿宋"/>
          <w:sz w:val="32"/>
          <w:szCs w:val="32"/>
          <w:lang w:val="en-US" w:eastAsia="zh-CN"/>
        </w:rPr>
        <w:t>49573.68</w:t>
      </w:r>
      <w:r>
        <w:rPr>
          <w:rFonts w:ascii="仿宋_GB2312" w:eastAsia="仿宋_GB2312" w:hAnsi="仿宋" w:hint="eastAsia"/>
          <w:b w:val="0"/>
          <w:bCs w:val="0"/>
          <w:i w:val="0"/>
          <w:iCs w:val="0"/>
          <w:caps w:val="0"/>
          <w:smallCaps w:val="0"/>
          <w:strike w:val="0"/>
          <w:dstrike w:val="0"/>
          <w:kern w:val="2"/>
          <w:sz w:val="32"/>
          <w:szCs w:val="32"/>
          <w:u w:val="none"/>
          <w:lang w:val="en-US" w:eastAsia="zh-CN" w:bidi="ar-SA"/>
          <w:highlight w:val="none"/>
        </w:rPr>
        <w:t>万元，占</w:t>
      </w:r>
      <w:r>
        <w:rPr>
          <w:rFonts w:ascii="仿宋_GB2312" w:eastAsia="仿宋_GB2312" w:hAnsi="仿宋"/>
          <w:b w:val="0"/>
          <w:bCs w:val="0"/>
          <w:i w:val="0"/>
          <w:iCs w:val="0"/>
          <w:caps w:val="0"/>
          <w:smallCaps w:val="0"/>
          <w:strike w:val="0"/>
          <w:dstrike w:val="0"/>
          <w:kern w:val="2"/>
          <w:sz w:val="32"/>
          <w:szCs w:val="32"/>
          <w:u w:val="none"/>
          <w:lang w:val="en-US" w:eastAsia="zh-CN" w:bidi="ar-SA"/>
          <w:highlight w:val="none"/>
        </w:rPr>
        <w:t>95.73</w:t>
      </w:r>
      <w:r>
        <w:rPr>
          <w:rFonts w:ascii="仿宋_GB2312" w:eastAsia="仿宋_GB2312" w:hAnsi="仿宋" w:hint="eastAsia"/>
          <w:b w:val="0"/>
          <w:bCs w:val="0"/>
          <w:i w:val="0"/>
          <w:iCs w:val="0"/>
          <w:caps w:val="0"/>
          <w:smallCaps w:val="0"/>
          <w:strike w:val="0"/>
          <w:dstrike w:val="0"/>
          <w:kern w:val="2"/>
          <w:sz w:val="32"/>
          <w:szCs w:val="32"/>
          <w:u w:val="none"/>
          <w:lang w:val="en-US" w:eastAsia="zh-CN" w:bidi="ar-SA"/>
          <w:highlight w:val="none"/>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Chars="200" w:firstLine="640"/>
        <w:textAlignment w:val="auto"/>
        <w:rPr>
          <w:rFonts w:ascii="楷体_GB2312" w:eastAsia="楷体_GB2312" w:cs="楷体_GB2312" w:hAnsi="楷体_GB2312"/>
          <w:bCs/>
          <w:sz w:val="32"/>
          <w:szCs w:val="32"/>
        </w:rPr>
      </w:pPr>
      <w:r>
        <w:rPr>
          <w:rFonts w:ascii="楷体_GB2312" w:eastAsia="楷体_GB2312" w:cs="楷体_GB2312" w:hAnsi="楷体_GB2312" w:hint="eastAsia"/>
          <w:bCs/>
          <w:sz w:val="32"/>
          <w:szCs w:val="32"/>
        </w:rPr>
        <w:t>（三）部门整体支出绩效目标、指标</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总体绩效目标是:</w:t>
      </w:r>
      <w:r>
        <w:rPr>
          <w:rFonts w:ascii="仿宋" w:eastAsia="仿宋" w:cs="仿宋" w:hAnsi="仿宋"/>
          <w:sz w:val="32"/>
          <w:szCs w:val="32"/>
        </w:rPr>
        <w:t>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pPr>
        <w:keepNext w:val="0"/>
        <w:keepLines w:val="0"/>
        <w:pageBreakBefore w:val="0"/>
        <w:widowControl w:val="0"/>
        <w:kinsoku/>
        <w:wordWrap/>
        <w:overflowPunct/>
        <w:topLinePunct w:val="0"/>
        <w:autoSpaceDE/>
        <w:autoSpaceDN/>
        <w:bidi w:val="0"/>
        <w:adjustRightInd w:val="0"/>
        <w:snapToGrid w:val="0"/>
        <w:spacing w:line="560" w:lineRule="exact"/>
        <w:ind w:firstLineChars="200" w:firstLine="640"/>
        <w:textAlignment w:val="auto"/>
        <w:rPr>
          <w:rFonts w:ascii="楷体_GB2312" w:eastAsia="楷体_GB2312" w:cs="楷体_GB2312" w:hAnsi="楷体_GB2312"/>
          <w:bCs/>
          <w:sz w:val="32"/>
          <w:szCs w:val="32"/>
        </w:rPr>
      </w:pPr>
      <w:r>
        <w:rPr>
          <w:rFonts w:ascii="仿宋" w:eastAsia="仿宋" w:cs="仿宋" w:hAnsi="仿宋" w:hint="eastAsia"/>
          <w:sz w:val="32"/>
          <w:szCs w:val="32"/>
        </w:rPr>
        <w:t>普通国省干线日常养护及小修工程建设、县级公路、主要多道及配套设施日常养护、维护、安全隐患治理、槐安路建设、普通国省干线绿化管理护、完善更新公路建设管理养护基础数据，对农村公路实施“以奖代补”承担全区综合运输体系的规划协调，指导城乡客运及有关设施规划和管理，对全县公路及其设施的建设和养护进行管理，指导出租汽车行业管理工作。</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Chars="200" w:firstLine="640"/>
        <w:textAlignment w:val="auto"/>
        <w:outlineLvl w:val="9"/>
        <w:rPr>
          <w:rFonts w:ascii="黑体" w:eastAsia="黑体" w:cs="黑体" w:hAnsi="黑体" w:hint="eastAsia"/>
          <w:sz w:val="32"/>
          <w:szCs w:val="32"/>
        </w:rPr>
      </w:pPr>
      <w:r>
        <w:rPr>
          <w:rFonts w:ascii="黑体" w:eastAsia="黑体" w:cs="黑体" w:hAnsi="黑体" w:hint="eastAsia"/>
          <w:sz w:val="32"/>
          <w:szCs w:val="32"/>
          <w:lang w:eastAsia="zh-CN"/>
        </w:rPr>
        <w:t>自评工作开展</w:t>
      </w:r>
      <w:r>
        <w:rPr>
          <w:rFonts w:ascii="黑体" w:eastAsia="黑体" w:cs="黑体" w:hAnsi="黑体" w:hint="eastAsia"/>
          <w:sz w:val="32"/>
          <w:szCs w:val="32"/>
        </w:rPr>
        <w:t>情况</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Chars="200" w:firstLine="640"/>
        <w:textAlignment w:val="auto"/>
        <w:outlineLvl w:val="9"/>
        <w:rPr>
          <w:rFonts w:ascii="楷体_GB2312" w:eastAsia="楷体_GB2312" w:cs="楷体_GB2312" w:hAnsi="楷体_GB2312"/>
          <w:bCs/>
          <w:sz w:val="32"/>
          <w:szCs w:val="32"/>
        </w:rPr>
      </w:pPr>
      <w:r>
        <w:rPr>
          <w:rFonts w:ascii="楷体_GB2312" w:eastAsia="楷体_GB2312" w:cs="楷体_GB2312" w:hAnsi="楷体_GB2312" w:hint="eastAsia"/>
          <w:bCs/>
          <w:sz w:val="32"/>
          <w:szCs w:val="32"/>
        </w:rPr>
        <w:t>自评的组织工作</w:t>
      </w:r>
    </w:p>
    <w:p>
      <w:pPr>
        <w:keepNext w:val="0"/>
        <w:keepLines w:val="0"/>
        <w:pageBreakBefore w:val="0"/>
        <w:widowControl w:val="0"/>
        <w:kinsoku/>
        <w:wordWrap/>
        <w:overflowPunct/>
        <w:topLinePunct w:val="0"/>
        <w:autoSpaceDE/>
        <w:autoSpaceDN/>
        <w:adjustRightInd/>
        <w:snapToGrid w:val="0"/>
        <w:spacing w:line="560" w:lineRule="exact"/>
        <w:ind w:left="0" w:firstLineChars="200" w:firstLine="640"/>
        <w:rPr>
          <w:rFonts w:ascii="楷体_GB2312" w:eastAsia="楷体_GB2312" w:cs="楷体_GB2312" w:hAnsi="楷体_GB2312" w:hint="eastAsia"/>
          <w:bCs/>
          <w:sz w:val="32"/>
          <w:szCs w:val="32"/>
        </w:rPr>
      </w:pPr>
      <w:r>
        <w:rPr>
          <w:rFonts w:ascii="仿宋" w:eastAsia="仿宋" w:cs="仿宋" w:hAnsi="仿宋" w:hint="eastAsia"/>
          <w:sz w:val="32"/>
          <w:szCs w:val="32"/>
        </w:rPr>
        <w:t>为切实做好202</w:t>
      </w:r>
      <w:r>
        <w:rPr>
          <w:rFonts w:ascii="仿宋" w:eastAsia="仿宋" w:cs="仿宋" w:hAnsi="仿宋"/>
          <w:sz w:val="32"/>
          <w:szCs w:val="32"/>
        </w:rPr>
        <w:t>5</w:t>
      </w:r>
      <w:r>
        <w:rPr>
          <w:rFonts w:ascii="仿宋" w:eastAsia="仿宋" w:cs="仿宋" w:hAnsi="仿宋" w:hint="eastAsia"/>
          <w:sz w:val="32"/>
          <w:szCs w:val="32"/>
        </w:rPr>
        <w:t>年度财政支出绩效自评工作，提高财政资金使用效益，根据区财政局《</w:t>
      </w:r>
      <w:r>
        <w:rPr>
          <w:rFonts w:ascii="仿宋" w:eastAsia="仿宋" w:cs="仿宋_GB2312" w:hAnsi="仿宋" w:hint="eastAsia"/>
          <w:sz w:val="32"/>
          <w:szCs w:val="32"/>
        </w:rPr>
        <w:t>关于开展202</w:t>
      </w:r>
      <w:r>
        <w:rPr>
          <w:rFonts w:ascii="仿宋" w:eastAsia="仿宋" w:cs="仿宋_GB2312" w:hAnsi="仿宋"/>
          <w:sz w:val="32"/>
          <w:szCs w:val="32"/>
        </w:rPr>
        <w:t>6</w:t>
      </w:r>
      <w:r>
        <w:rPr>
          <w:rFonts w:ascii="仿宋" w:eastAsia="仿宋" w:cs="仿宋_GB2312" w:hAnsi="仿宋" w:hint="eastAsia"/>
          <w:sz w:val="32"/>
          <w:szCs w:val="32"/>
        </w:rPr>
        <w:t>年绩效自评工作的通知</w:t>
      </w:r>
      <w:r>
        <w:rPr>
          <w:rFonts w:ascii="仿宋" w:eastAsia="仿宋" w:cs="仿宋" w:hAnsi="仿宋" w:hint="eastAsia"/>
          <w:sz w:val="32"/>
          <w:szCs w:val="32"/>
        </w:rPr>
        <w:t>》文件要求，我单位对202</w:t>
      </w:r>
      <w:r>
        <w:rPr>
          <w:rFonts w:ascii="仿宋" w:eastAsia="仿宋" w:cs="仿宋" w:hAnsi="仿宋"/>
          <w:sz w:val="32"/>
          <w:szCs w:val="32"/>
        </w:rPr>
        <w:t>5</w:t>
      </w:r>
      <w:r>
        <w:rPr>
          <w:rFonts w:ascii="仿宋" w:eastAsia="仿宋" w:cs="仿宋" w:hAnsi="仿宋" w:hint="eastAsia"/>
          <w:sz w:val="32"/>
          <w:szCs w:val="32"/>
        </w:rPr>
        <w:t>年度所有专项项目均开展了绩效自评工作。我局成立由局长丁勇同志任组长，主管副职</w:t>
      </w:r>
      <w:r>
        <w:rPr>
          <w:rFonts w:ascii="仿宋" w:eastAsia="仿宋" w:cs="仿宋" w:hAnsi="仿宋"/>
          <w:sz w:val="32"/>
          <w:szCs w:val="32"/>
        </w:rPr>
        <w:t>王立峰、孙建辉</w:t>
      </w:r>
      <w:r>
        <w:rPr>
          <w:rFonts w:ascii="仿宋" w:eastAsia="仿宋" w:cs="仿宋" w:hAnsi="仿宋" w:hint="eastAsia"/>
          <w:sz w:val="32"/>
          <w:szCs w:val="32"/>
        </w:rPr>
        <w:t>同志任副组长，相关科室负责人为成员的绩效评价工作小组，明确了各成员在此次自评工作中的职责。</w:t>
      </w:r>
      <w:r>
        <w:rPr>
          <w:rFonts w:ascii="仿宋" w:eastAsia="仿宋" w:hAnsi="仿宋" w:hint="eastAsia"/>
          <w:sz w:val="32"/>
          <w:szCs w:val="32"/>
        </w:rPr>
        <w:t>我部门对自评报告中的数据及相关情况进行了收集、审核、确认。</w:t>
      </w:r>
    </w:p>
    <w:p>
      <w:pPr>
        <w:keepNext w:val="0"/>
        <w:keepLines w:val="0"/>
        <w:pageBreakBefore w:val="0"/>
        <w:widowControl w:val="0"/>
        <w:kinsoku/>
        <w:wordWrap/>
        <w:overflowPunct/>
        <w:topLinePunct w:val="0"/>
        <w:autoSpaceDE/>
        <w:autoSpaceDN/>
        <w:bidi w:val="0"/>
        <w:spacing w:line="560" w:lineRule="exact"/>
        <w:ind w:firstLineChars="200" w:firstLine="640"/>
        <w:textAlignment w:val="auto"/>
        <w:rPr>
          <w:rFonts w:ascii="楷体_GB2312" w:eastAsia="楷体_GB2312" w:cs="楷体_GB2312" w:hAnsi="楷体_GB2312" w:hint="eastAsia"/>
          <w:bCs/>
          <w:sz w:val="32"/>
          <w:szCs w:val="32"/>
        </w:rPr>
      </w:pPr>
      <w:r>
        <w:rPr>
          <w:rFonts w:ascii="楷体_GB2312" w:eastAsia="楷体_GB2312" w:cs="楷体_GB2312" w:hAnsi="楷体_GB2312" w:hint="eastAsia"/>
          <w:bCs/>
          <w:sz w:val="32"/>
          <w:szCs w:val="32"/>
          <w:lang w:eastAsia="zh-CN"/>
        </w:rPr>
        <w:t>（二）</w:t>
      </w:r>
      <w:r>
        <w:rPr>
          <w:rFonts w:ascii="楷体_GB2312" w:eastAsia="楷体_GB2312" w:cs="楷体_GB2312" w:hAnsi="楷体_GB2312" w:hint="eastAsia"/>
          <w:bCs/>
          <w:sz w:val="32"/>
          <w:szCs w:val="32"/>
        </w:rPr>
        <w:t>自评的方法和过程</w:t>
      </w:r>
    </w:p>
    <w:p>
      <w:pPr>
        <w:spacing w:line="620" w:lineRule="exact"/>
        <w:ind w:firstLineChars="200" w:firstLine="640"/>
        <w:rPr>
          <w:rFonts w:ascii="仿宋" w:eastAsia="仿宋" w:cs="仿宋" w:hAnsi="仿宋"/>
          <w:sz w:val="32"/>
          <w:szCs w:val="32"/>
        </w:rPr>
      </w:pPr>
      <w:r>
        <w:rPr>
          <w:rFonts w:ascii="仿宋" w:eastAsia="仿宋" w:cs="仿宋" w:hAnsi="仿宋" w:hint="eastAsia"/>
          <w:sz w:val="32"/>
          <w:szCs w:val="32"/>
        </w:rPr>
        <w:t>1、前期准备。</w:t>
      </w:r>
    </w:p>
    <w:p>
      <w:pPr>
        <w:spacing w:line="620" w:lineRule="exact"/>
        <w:ind w:firstLineChars="200" w:firstLine="640"/>
        <w:rPr>
          <w:rFonts w:ascii="仿宋" w:eastAsia="仿宋" w:cs="仿宋" w:hAnsi="仿宋"/>
          <w:sz w:val="32"/>
          <w:szCs w:val="32"/>
        </w:rPr>
      </w:pPr>
      <w:r>
        <w:rPr>
          <w:rFonts w:ascii="仿宋" w:eastAsia="仿宋" w:cs="仿宋" w:hAnsi="仿宋" w:hint="eastAsia"/>
          <w:sz w:val="32"/>
          <w:szCs w:val="32"/>
        </w:rPr>
        <w:t>按照省财政厅和省交通厅有关文件要求及市局的通知，组织相关人员进行了自评并完成了自评报告。</w:t>
      </w:r>
    </w:p>
    <w:p>
      <w:pPr>
        <w:spacing w:line="620" w:lineRule="exact"/>
        <w:ind w:firstLineChars="200" w:firstLine="640"/>
        <w:rPr>
          <w:rFonts w:ascii="仿宋" w:eastAsia="仿宋" w:cs="仿宋" w:hAnsi="仿宋"/>
          <w:sz w:val="32"/>
          <w:szCs w:val="32"/>
        </w:rPr>
      </w:pPr>
      <w:r>
        <w:rPr>
          <w:rFonts w:ascii="仿宋" w:eastAsia="仿宋" w:cs="仿宋" w:hAnsi="仿宋" w:hint="eastAsia"/>
          <w:sz w:val="32"/>
          <w:szCs w:val="32"/>
        </w:rPr>
        <w:t>2、组织实施。</w:t>
      </w:r>
    </w:p>
    <w:p>
      <w:pPr>
        <w:spacing w:line="620" w:lineRule="exact"/>
        <w:ind w:firstLineChars="200" w:firstLine="640"/>
        <w:rPr>
          <w:rFonts w:ascii="仿宋" w:eastAsia="仿宋" w:cs="仿宋" w:hAnsi="仿宋"/>
          <w:sz w:val="32"/>
          <w:szCs w:val="32"/>
        </w:rPr>
      </w:pPr>
      <w:r>
        <w:rPr>
          <w:rFonts w:ascii="仿宋" w:eastAsia="仿宋" w:cs="仿宋" w:hAnsi="仿宋" w:hint="eastAsia"/>
          <w:sz w:val="32"/>
          <w:szCs w:val="32"/>
        </w:rPr>
        <w:t>我单位对自评报告中的数据及相关情况进行了审核、确认。</w:t>
      </w:r>
    </w:p>
    <w:p>
      <w:pPr>
        <w:spacing w:line="620" w:lineRule="exact"/>
        <w:ind w:firstLineChars="200" w:firstLine="640"/>
        <w:rPr>
          <w:rFonts w:ascii="仿宋" w:eastAsia="仿宋" w:cs="仿宋" w:hAnsi="仿宋"/>
          <w:sz w:val="32"/>
          <w:szCs w:val="32"/>
        </w:rPr>
      </w:pPr>
      <w:r>
        <w:rPr>
          <w:rFonts w:ascii="仿宋" w:eastAsia="仿宋" w:cs="仿宋" w:hAnsi="仿宋" w:hint="eastAsia"/>
          <w:sz w:val="32"/>
          <w:szCs w:val="32"/>
        </w:rPr>
        <w:t>3、分析评价。</w:t>
      </w:r>
    </w:p>
    <w:p>
      <w:pPr>
        <w:keepNext w:val="0"/>
        <w:keepLines w:val="0"/>
        <w:pageBreakBefore w:val="0"/>
        <w:widowControl w:val="0"/>
        <w:kinsoku/>
        <w:wordWrap/>
        <w:overflowPunct/>
        <w:topLinePunct w:val="0"/>
        <w:autoSpaceDE/>
        <w:autoSpaceDN/>
        <w:bidi w:val="0"/>
        <w:spacing w:line="560" w:lineRule="exact"/>
        <w:ind w:firstLineChars="200" w:firstLine="640"/>
        <w:textAlignment w:val="auto"/>
        <w:rPr>
          <w:rFonts w:ascii="楷体_GB2312" w:eastAsia="楷体_GB2312" w:cs="楷体_GB2312" w:hAnsi="楷体_GB2312"/>
          <w:bCs/>
          <w:sz w:val="32"/>
          <w:szCs w:val="32"/>
        </w:rPr>
      </w:pPr>
      <w:r>
        <w:rPr>
          <w:rFonts w:ascii="仿宋" w:eastAsia="仿宋" w:cs="仿宋" w:hAnsi="仿宋" w:hint="eastAsia"/>
          <w:sz w:val="32"/>
          <w:szCs w:val="32"/>
        </w:rPr>
        <w:t>我单位积级组织自评报告，严格按照文件要求，实事求是、客观公正地进行本次绩效评价工作。克服了时间紧，任务重等诸多困难，基本按照文件要求完成了本次绩效自评工作。</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Chars="200" w:firstLine="640"/>
        <w:textAlignment w:val="auto"/>
        <w:outlineLvl w:val="9"/>
        <w:rPr>
          <w:rFonts w:ascii="黑体" w:eastAsia="黑体" w:cs="黑体" w:hAnsi="黑体" w:hint="eastAsia"/>
          <w:sz w:val="32"/>
          <w:szCs w:val="32"/>
          <w:lang w:eastAsia="zh-CN"/>
        </w:rPr>
      </w:pPr>
      <w:r>
        <w:rPr>
          <w:rFonts w:ascii="黑体" w:eastAsia="黑体" w:cs="黑体" w:hAnsi="黑体" w:hint="eastAsia"/>
          <w:sz w:val="32"/>
          <w:szCs w:val="32"/>
          <w:lang w:eastAsia="zh-CN"/>
        </w:rPr>
        <w:t>三、部门整体支出绩效目标实现情况及指标分析</w:t>
      </w:r>
    </w:p>
    <w:p>
      <w:pPr>
        <w:keepNext w:val="0"/>
        <w:keepLines w:val="0"/>
        <w:pageBreakBefore w:val="0"/>
        <w:widowControl w:val="0"/>
        <w:kinsoku/>
        <w:wordWrap/>
        <w:overflowPunct/>
        <w:topLinePunct w:val="0"/>
        <w:autoSpaceDE/>
        <w:autoSpaceDN/>
        <w:bidi w:val="0"/>
        <w:adjustRightInd w:val="0"/>
        <w:snapToGrid w:val="0"/>
        <w:spacing w:line="560" w:lineRule="exact"/>
        <w:ind w:firstLineChars="200" w:firstLine="640"/>
        <w:textAlignment w:val="auto"/>
        <w:rPr>
          <w:rFonts w:ascii="楷体_GB2312" w:eastAsia="楷体_GB2312" w:cs="楷体_GB2312" w:hAnsi="楷体_GB2312" w:hint="eastAsia"/>
          <w:bCs/>
          <w:color w:val="FF0000"/>
          <w:sz w:val="32"/>
          <w:szCs w:val="32"/>
        </w:rPr>
      </w:pPr>
      <w:r>
        <w:rPr>
          <w:rFonts w:ascii="楷体_GB2312" w:eastAsia="楷体_GB2312" w:cs="楷体_GB2312" w:hAnsi="楷体_GB2312" w:hint="eastAsia"/>
          <w:bCs/>
          <w:sz w:val="32"/>
          <w:szCs w:val="32"/>
          <w:lang w:eastAsia="zh-CN"/>
        </w:rPr>
        <w:t>（一）</w:t>
      </w:r>
      <w:r>
        <w:rPr>
          <w:rFonts w:ascii="楷体_GB2312" w:eastAsia="楷体_GB2312" w:cs="楷体_GB2312" w:hAnsi="楷体_GB2312" w:hint="eastAsia"/>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Chars="200" w:firstLine="640"/>
        <w:textAlignment w:val="auto"/>
        <w:rPr>
          <w:rFonts w:ascii="仿宋_GB2312" w:eastAsia="仿宋_GB2312" w:cs="仿宋_GB2312" w:hAnsi="仿宋_GB2312"/>
          <w:color w:val="FF0000"/>
          <w:sz w:val="32"/>
          <w:szCs w:val="32"/>
          <w:lang w:eastAsia="zh-CN"/>
          <w:highlight w:val="none"/>
        </w:rPr>
      </w:pPr>
      <w:r>
        <w:rPr>
          <w:rFonts w:ascii="仿宋" w:eastAsia="仿宋" w:hAnsi="仿宋" w:hint="eastAsia"/>
          <w:sz w:val="32"/>
          <w:szCs w:val="32"/>
          <w:shd w:val="clear" w:color="auto" w:fill="FFFFFF"/>
        </w:rPr>
        <w:t>从整体情况来看，202</w:t>
      </w:r>
      <w:r>
        <w:rPr>
          <w:rFonts w:ascii="仿宋" w:eastAsia="仿宋" w:hAnsi="仿宋"/>
          <w:sz w:val="32"/>
          <w:szCs w:val="32"/>
          <w:shd w:val="clear" w:color="auto" w:fill="FFFFFF"/>
        </w:rPr>
        <w:t>5</w:t>
      </w:r>
      <w:r>
        <w:rPr>
          <w:rFonts w:ascii="仿宋" w:eastAsia="仿宋" w:hAnsi="仿宋" w:hint="eastAsia"/>
          <w:sz w:val="32"/>
          <w:szCs w:val="32"/>
          <w:shd w:val="clear" w:color="auto" w:fill="FFFFFF"/>
        </w:rPr>
        <w:t>年所有项目资金涉及人员经费、</w:t>
      </w:r>
      <w:r>
        <w:rPr>
          <w:rFonts w:ascii="仿宋" w:eastAsia="仿宋" w:hAnsi="仿宋"/>
          <w:sz w:val="32"/>
          <w:szCs w:val="32"/>
          <w:shd w:val="clear" w:color="auto" w:fill="FFFFFF"/>
        </w:rPr>
        <w:t>运营补贴、客运补贴、</w:t>
      </w:r>
      <w:r>
        <w:rPr>
          <w:rFonts w:ascii="仿宋" w:eastAsia="仿宋" w:hAnsi="仿宋" w:hint="eastAsia"/>
          <w:sz w:val="32"/>
          <w:szCs w:val="32"/>
          <w:shd w:val="clear" w:color="auto" w:fill="FFFFFF"/>
        </w:rPr>
        <w:t>农村公路及国省干线的</w:t>
      </w:r>
      <w:r>
        <w:rPr>
          <w:rFonts w:ascii="仿宋" w:eastAsia="仿宋" w:hAnsi="仿宋"/>
          <w:sz w:val="32"/>
          <w:szCs w:val="32"/>
          <w:shd w:val="clear" w:color="auto" w:fill="FFFFFF"/>
        </w:rPr>
        <w:t>燃油税、车购税、</w:t>
      </w:r>
      <w:r>
        <w:rPr>
          <w:rFonts w:ascii="仿宋" w:eastAsia="仿宋" w:hAnsi="仿宋" w:hint="eastAsia"/>
          <w:sz w:val="32"/>
          <w:szCs w:val="32"/>
          <w:shd w:val="clear" w:color="auto" w:fill="FFFFFF"/>
        </w:rPr>
        <w:t>养护经费、路赔费、治超经费、路域环境综合整治</w:t>
      </w:r>
      <w:r>
        <w:rPr>
          <w:rFonts w:ascii="仿宋" w:eastAsia="仿宋" w:hAnsi="仿宋"/>
          <w:sz w:val="32"/>
          <w:szCs w:val="32"/>
          <w:shd w:val="clear" w:color="auto" w:fill="FFFFFF"/>
        </w:rPr>
        <w:t>、道路场站建设、道路耕地占用税、化解拖欠企业账款</w:t>
      </w:r>
      <w:r>
        <w:rPr>
          <w:rFonts w:ascii="仿宋" w:eastAsia="仿宋" w:hAnsi="仿宋" w:hint="eastAsia"/>
          <w:sz w:val="32"/>
          <w:szCs w:val="32"/>
          <w:shd w:val="clear" w:color="auto" w:fill="FFFFFF"/>
        </w:rPr>
        <w:t>等资金。</w:t>
      </w:r>
    </w:p>
    <w:p>
      <w:pPr>
        <w:keepNext w:val="0"/>
        <w:keepLines w:val="0"/>
        <w:pageBreakBefore w:val="0"/>
        <w:widowControl w:val="0"/>
        <w:kinsoku/>
        <w:wordWrap/>
        <w:overflowPunct/>
        <w:topLinePunct w:val="0"/>
        <w:autoSpaceDE/>
        <w:autoSpaceDN/>
        <w:spacing w:line="560" w:lineRule="exact"/>
        <w:ind w:firstLineChars="200" w:firstLine="640"/>
        <w:rPr>
          <w:rFonts w:ascii="仿宋_GB2312" w:eastAsia="仿宋_GB2312" w:cs="仿宋_GB2312" w:hAnsi="仿宋_GB2312" w:hint="eastAsia"/>
          <w:sz w:val="32"/>
          <w:szCs w:val="32"/>
        </w:rPr>
      </w:pPr>
      <w:r>
        <w:rPr>
          <w:rFonts w:ascii="仿宋_GB2312" w:eastAsia="仿宋_GB2312" w:cs="仿宋_GB2312" w:hAnsi="仿宋_GB2312"/>
          <w:sz w:val="32"/>
          <w:szCs w:val="32"/>
          <w:lang w:eastAsia="zh-CN"/>
          <w:highlight w:val="none"/>
        </w:rPr>
        <w:t>本年度，我部门严格对照年度既定总体绩效目标、工作职责及上级工作部署，扎实推进各项工作有序开展。全面落实预算管理、绩效管理等各项任务。本年度总体绩效目标基本实现，各项绩效指标完成较好，履职成效良好，财政资源配置合理，整体绩效水平稳步提升。</w:t>
      </w:r>
    </w:p>
    <w:p>
      <w:pPr>
        <w:keepNext w:val="0"/>
        <w:keepLines w:val="0"/>
        <w:pageBreakBefore w:val="0"/>
        <w:widowControl w:val="0"/>
        <w:kinsoku/>
        <w:wordWrap/>
        <w:overflowPunct/>
        <w:topLinePunct w:val="0"/>
        <w:autoSpaceDE/>
        <w:autoSpaceDN/>
        <w:spacing w:line="560" w:lineRule="exact"/>
        <w:ind w:firstLineChars="200" w:firstLine="640"/>
        <w:rPr>
          <w:rFonts w:ascii="楷体" w:eastAsia="楷体" w:hAnsi="楷体"/>
          <w:bCs/>
          <w:sz w:val="32"/>
          <w:szCs w:val="32"/>
        </w:rPr>
      </w:pPr>
      <w:r>
        <w:rPr>
          <w:rFonts w:ascii="楷体_GB2312" w:eastAsia="楷体_GB2312" w:cs="楷体_GB2312" w:hAnsi="楷体_GB2312" w:hint="eastAsia"/>
          <w:bCs/>
          <w:sz w:val="32"/>
          <w:szCs w:val="32"/>
        </w:rPr>
        <w:t>（二）分项绩效目标实现情况及指标分析</w:t>
      </w:r>
    </w:p>
    <w:p>
      <w:pPr>
        <w:keepNext w:val="0"/>
        <w:keepLines w:val="0"/>
        <w:pageBreakBefore w:val="0"/>
        <w:widowControl w:val="0"/>
        <w:kinsoku/>
        <w:wordWrap/>
        <w:overflowPunct/>
        <w:topLinePunct w:val="0"/>
        <w:autoSpaceDE/>
        <w:autoSpaceDN/>
        <w:spacing w:line="560" w:lineRule="exact"/>
        <w:ind w:firstLineChars="200" w:firstLine="640"/>
        <w:rPr>
          <w:rFonts w:ascii="楷体_GB2312" w:eastAsia="楷体_GB2312" w:cs="楷体_GB2312" w:hAnsi="楷体_GB2312"/>
          <w:bCs/>
          <w:sz w:val="32"/>
          <w:szCs w:val="32"/>
        </w:rPr>
      </w:pPr>
      <w:r>
        <w:rPr>
          <w:rFonts w:ascii="仿宋" w:eastAsia="仿宋" w:cs="楷体_GB2312" w:hAnsi="仿宋" w:hint="eastAsia"/>
          <w:bCs/>
          <w:sz w:val="32"/>
          <w:szCs w:val="32"/>
        </w:rPr>
        <w:t>1、交通运输基础设施建设</w:t>
      </w:r>
    </w:p>
    <w:p>
      <w:pPr>
        <w:keepNext w:val="0"/>
        <w:keepLines w:val="0"/>
        <w:pageBreakBefore w:val="0"/>
        <w:widowControl w:val="0"/>
        <w:kinsoku/>
        <w:wordWrap/>
        <w:overflowPunct/>
        <w:topLinePunct w:val="0"/>
        <w:autoSpaceDE/>
        <w:autoSpaceDN/>
        <w:spacing w:line="560" w:lineRule="exact"/>
        <w:ind w:firstLineChars="200" w:firstLine="640"/>
        <w:rPr>
          <w:rFonts w:ascii="仿宋" w:eastAsia="仿宋" w:cs="仿宋" w:hAnsi="仿宋" w:hint="eastAsia"/>
          <w:bCs/>
          <w:sz w:val="32"/>
          <w:szCs w:val="32"/>
        </w:rPr>
      </w:pPr>
      <w:r>
        <w:rPr>
          <w:rFonts w:ascii="仿宋" w:eastAsia="仿宋" w:cs="仿宋" w:hAnsi="仿宋" w:hint="eastAsia"/>
          <w:bCs/>
          <w:sz w:val="32"/>
          <w:szCs w:val="32"/>
        </w:rPr>
        <w:t>绩效目标:建立和维护公路秩序，确保道路畅通</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 w:eastAsia="仿宋" w:hAnsi="仿宋"/>
          <w:sz w:val="32"/>
          <w:szCs w:val="32"/>
        </w:rPr>
      </w:pPr>
      <w:r>
        <w:rPr>
          <w:rFonts w:ascii="仿宋" w:eastAsia="仿宋" w:cs="仿宋" w:hAnsi="仿宋" w:hint="eastAsia"/>
          <w:bCs/>
          <w:sz w:val="32"/>
          <w:szCs w:val="32"/>
        </w:rPr>
        <w:t>绩效指标:按区政府规定权限审批、核准区规划内和年度计划规模内的固定资产投资项目，完成基础设施建设工程可行性缺口补贴工程建设投资项目。对工程质量和安全生产进行监管，招投标活动进行监督管理。</w:t>
      </w:r>
      <w:r>
        <w:rPr>
          <w:rFonts w:ascii="仿宋" w:eastAsia="仿宋" w:hAnsi="仿宋" w:hint="eastAsia"/>
          <w:sz w:val="32"/>
          <w:szCs w:val="32"/>
        </w:rPr>
        <w:t>该项绩效目标全部完成。</w:t>
      </w:r>
    </w:p>
    <w:p>
      <w:pPr>
        <w:keepNext w:val="0"/>
        <w:keepLines w:val="0"/>
        <w:pageBreakBefore w:val="0"/>
        <w:widowControl w:val="0"/>
        <w:kinsoku/>
        <w:wordWrap/>
        <w:overflowPunct/>
        <w:topLinePunct w:val="0"/>
        <w:autoSpaceDE/>
        <w:autoSpaceDN/>
        <w:spacing w:line="560" w:lineRule="exact"/>
        <w:ind w:firstLineChars="200" w:firstLine="640"/>
        <w:rPr>
          <w:rFonts w:ascii="仿宋" w:eastAsia="仿宋" w:hAnsi="仿宋"/>
          <w:sz w:val="32"/>
          <w:szCs w:val="32"/>
        </w:rPr>
      </w:pPr>
      <w:r>
        <w:rPr>
          <w:rFonts w:ascii="仿宋" w:eastAsia="仿宋" w:hAnsi="仿宋"/>
          <w:sz w:val="32"/>
          <w:szCs w:val="32"/>
        </w:rPr>
        <w:t>2、交通运输基础设施养护、维护。</w:t>
      </w:r>
    </w:p>
    <w:p>
      <w:pPr>
        <w:keepNext w:val="0"/>
        <w:keepLines w:val="0"/>
        <w:pageBreakBefore w:val="0"/>
        <w:widowControl w:val="0"/>
        <w:kinsoku/>
        <w:wordWrap/>
        <w:overflowPunct/>
        <w:topLinePunct w:val="0"/>
        <w:autoSpaceDE/>
        <w:autoSpaceDN/>
        <w:spacing w:line="560" w:lineRule="exact"/>
        <w:ind w:firstLineChars="200" w:firstLine="640"/>
        <w:rPr>
          <w:rFonts w:ascii="仿宋" w:eastAsia="仿宋" w:hAnsi="仿宋"/>
          <w:sz w:val="32"/>
          <w:szCs w:val="32"/>
        </w:rPr>
      </w:pPr>
      <w:r>
        <w:rPr>
          <w:rFonts w:ascii="仿宋" w:eastAsia="仿宋" w:hAnsi="仿宋"/>
          <w:sz w:val="32"/>
          <w:szCs w:val="32"/>
        </w:rPr>
        <w:t>绩效目标:确保工程质量，恢复、提升公路原有技术指标，有效提高能力和行车舒适性，保障沿线人民出行需要</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 w:eastAsia="仿宋" w:hAnsi="仿宋"/>
          <w:kern w:val="0"/>
          <w:sz w:val="32"/>
          <w:szCs w:val="32"/>
        </w:rPr>
      </w:pPr>
      <w:r>
        <w:rPr>
          <w:rFonts w:ascii="仿宋" w:eastAsia="仿宋" w:hAnsi="仿宋"/>
          <w:sz w:val="32"/>
          <w:szCs w:val="32"/>
        </w:rPr>
        <w:t>绩效指标:普通国省干线公路养护，养护里程127公里;县级公路及主要乡道养护养护里程116公里、县级公路及主要乡道附属配套设施维护。确保工程质量，恢复、提升公路原有技术指标，有效提高通行能力和行车舒适性，保障沿线人民出行需求。</w:t>
      </w:r>
      <w:r>
        <w:rPr>
          <w:rFonts w:ascii="仿宋" w:eastAsia="仿宋" w:hAnsi="仿宋" w:hint="eastAsia"/>
          <w:kern w:val="0"/>
          <w:sz w:val="32"/>
          <w:szCs w:val="32"/>
        </w:rPr>
        <w:t>该项绩效目标全部完成。</w:t>
      </w:r>
    </w:p>
    <w:p>
      <w:pPr>
        <w:keepNext w:val="0"/>
        <w:keepLines w:val="0"/>
        <w:pageBreakBefore w:val="0"/>
        <w:widowControl w:val="0"/>
        <w:kinsoku/>
        <w:wordWrap/>
        <w:overflowPunct/>
        <w:topLinePunct w:val="0"/>
        <w:autoSpaceDE/>
        <w:autoSpaceDN/>
        <w:spacing w:line="560" w:lineRule="exact"/>
        <w:ind w:firstLineChars="200" w:firstLine="640"/>
        <w:rPr>
          <w:rFonts w:ascii="仿宋" w:eastAsia="仿宋" w:hAnsi="仿宋"/>
          <w:kern w:val="0"/>
          <w:sz w:val="32"/>
          <w:szCs w:val="32"/>
        </w:rPr>
      </w:pPr>
      <w:r>
        <w:rPr>
          <w:rFonts w:ascii="仿宋" w:eastAsia="仿宋" w:hAnsi="仿宋"/>
          <w:kern w:val="0"/>
          <w:sz w:val="32"/>
          <w:szCs w:val="32"/>
        </w:rPr>
        <w:t>3、交通运输管理</w:t>
      </w:r>
    </w:p>
    <w:p>
      <w:pPr>
        <w:keepNext w:val="0"/>
        <w:keepLines w:val="0"/>
        <w:pageBreakBefore w:val="0"/>
        <w:widowControl w:val="0"/>
        <w:kinsoku/>
        <w:wordWrap/>
        <w:overflowPunct/>
        <w:topLinePunct w:val="0"/>
        <w:autoSpaceDE/>
        <w:autoSpaceDN/>
        <w:spacing w:line="560" w:lineRule="exact"/>
        <w:ind w:firstLineChars="200" w:firstLine="640"/>
        <w:rPr>
          <w:rFonts w:ascii="仿宋" w:eastAsia="仿宋" w:hAnsi="仿宋"/>
          <w:kern w:val="0"/>
          <w:sz w:val="32"/>
          <w:szCs w:val="32"/>
        </w:rPr>
      </w:pPr>
      <w:r>
        <w:rPr>
          <w:rFonts w:ascii="仿宋" w:eastAsia="仿宋" w:hAnsi="仿宋"/>
          <w:kern w:val="0"/>
          <w:sz w:val="32"/>
          <w:szCs w:val="32"/>
        </w:rPr>
        <w:t>绩效目标:保障道路通畅，完成运输生产任务，确保安全生产，提高服务保障水平。</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 w:eastAsia="仿宋" w:hAnsi="仿宋"/>
          <w:sz w:val="32"/>
          <w:szCs w:val="32"/>
        </w:rPr>
      </w:pPr>
      <w:r>
        <w:rPr>
          <w:rFonts w:ascii="仿宋" w:eastAsia="仿宋" w:hAnsi="仿宋"/>
          <w:kern w:val="0"/>
          <w:sz w:val="32"/>
          <w:szCs w:val="32"/>
        </w:rPr>
        <w:t>绩效指标:对全区道路旅客运输、货物运输、从业人员、道路运输相关业务进行行业管理、市场监管及安全检查，依法行使道路运输行政许可、行政处罚强制权，监督检有关道路运输法律法规的执行情况，对全区货运源头治超工作进行监督检查治理。</w:t>
      </w:r>
      <w:r>
        <w:rPr>
          <w:rFonts w:ascii="仿宋" w:eastAsia="仿宋" w:hAnsi="仿宋" w:hint="eastAsia"/>
          <w:sz w:val="32"/>
          <w:szCs w:val="32"/>
        </w:rPr>
        <w:t>该项绩效目标全部完成。</w:t>
      </w:r>
    </w:p>
    <w:p>
      <w:pPr>
        <w:keepNext w:val="0"/>
        <w:keepLines w:val="0"/>
        <w:pageBreakBefore w:val="0"/>
        <w:widowControl w:val="0"/>
        <w:kinsoku/>
        <w:wordWrap/>
        <w:overflowPunct/>
        <w:topLinePunct w:val="0"/>
        <w:autoSpaceDE/>
        <w:autoSpaceDN/>
        <w:spacing w:line="560" w:lineRule="exact"/>
        <w:ind w:firstLineChars="200" w:firstLine="640"/>
        <w:rPr>
          <w:rFonts w:ascii="仿宋" w:eastAsia="仿宋" w:hAnsi="仿宋"/>
          <w:kern w:val="0"/>
          <w:sz w:val="32"/>
          <w:szCs w:val="32"/>
        </w:rPr>
      </w:pPr>
      <w:r>
        <w:rPr>
          <w:rFonts w:ascii="仿宋" w:eastAsia="仿宋" w:hAnsi="仿宋"/>
          <w:kern w:val="0"/>
          <w:sz w:val="32"/>
          <w:szCs w:val="32"/>
        </w:rPr>
        <w:t>4、交通政务管理</w:t>
      </w:r>
    </w:p>
    <w:p>
      <w:pPr>
        <w:keepNext w:val="0"/>
        <w:keepLines w:val="0"/>
        <w:pageBreakBefore w:val="0"/>
        <w:widowControl w:val="0"/>
        <w:kinsoku/>
        <w:wordWrap/>
        <w:overflowPunct/>
        <w:topLinePunct w:val="0"/>
        <w:autoSpaceDE/>
        <w:autoSpaceDN/>
        <w:spacing w:line="560" w:lineRule="exact"/>
        <w:ind w:firstLineChars="200" w:firstLine="640"/>
        <w:rPr>
          <w:rFonts w:ascii="仿宋" w:eastAsia="仿宋" w:hAnsi="仿宋"/>
          <w:kern w:val="0"/>
          <w:sz w:val="32"/>
          <w:szCs w:val="32"/>
        </w:rPr>
      </w:pPr>
      <w:r>
        <w:rPr>
          <w:rFonts w:ascii="仿宋" w:eastAsia="仿宋" w:hAnsi="仿宋"/>
          <w:kern w:val="0"/>
          <w:sz w:val="32"/>
          <w:szCs w:val="32"/>
        </w:rPr>
        <w:t>绩效目标:保障机关正常工作高效运转，保障各项业务工作畅通。</w:t>
      </w:r>
    </w:p>
    <w:p>
      <w:pPr>
        <w:keepNext w:val="0"/>
        <w:keepLines w:val="0"/>
        <w:pageBreakBefore w:val="0"/>
        <w:widowControl w:val="0"/>
        <w:kinsoku/>
        <w:wordWrap/>
        <w:overflowPunct/>
        <w:topLinePunct w:val="0"/>
        <w:autoSpaceDE/>
        <w:autoSpaceDN/>
        <w:spacing w:line="560" w:lineRule="exact"/>
        <w:ind w:firstLineChars="200" w:firstLine="640"/>
        <w:rPr>
          <w:rFonts w:ascii="仿宋" w:eastAsia="仿宋" w:hAnsi="仿宋"/>
          <w:kern w:val="0"/>
          <w:sz w:val="32"/>
          <w:szCs w:val="32"/>
        </w:rPr>
      </w:pPr>
      <w:r>
        <w:rPr>
          <w:rFonts w:ascii="仿宋" w:eastAsia="仿宋" w:hAnsi="仿宋"/>
          <w:kern w:val="0"/>
          <w:sz w:val="32"/>
          <w:szCs w:val="32"/>
        </w:rPr>
        <w:t>绩效指标:完成国防公路建设工役制人员补助发放工作;完成公路占地补偿。完成机关及公路站等下属单位项目及经费落实，管理交通国有资产，筹措、管理、监督交通建设专项资金，开展基本建设项目绩效监督管理工作和行业内部审计工作，承担国防交通战备工作，指导行业交通公安工作及行业精神文明建设。</w:t>
      </w:r>
      <w:r>
        <w:rPr>
          <w:rFonts w:ascii="仿宋" w:eastAsia="仿宋" w:hAnsi="仿宋" w:hint="eastAsia"/>
          <w:sz w:val="32"/>
          <w:szCs w:val="32"/>
        </w:rPr>
        <w:t>该项绩效目标全部完成。</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Chars="200" w:firstLine="640"/>
        <w:textAlignment w:val="auto"/>
        <w:outlineLvl w:val="9"/>
        <w:rPr>
          <w:rFonts w:ascii="黑体" w:eastAsia="黑体" w:cs="黑体" w:hAnsi="黑体"/>
          <w:color w:val="auto"/>
          <w:sz w:val="32"/>
          <w:szCs w:val="32"/>
          <w:lang w:eastAsia="zh-CN"/>
        </w:rPr>
      </w:pPr>
      <w:r>
        <w:rPr>
          <w:rFonts w:ascii="黑体" w:eastAsia="黑体" w:cs="黑体" w:hAnsi="黑体" w:hint="eastAsia"/>
          <w:color w:val="auto"/>
          <w:sz w:val="32"/>
          <w:szCs w:val="32"/>
          <w:lang w:eastAsia="zh-CN"/>
        </w:rPr>
        <w:t>四、评价结论和评价等级</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Chars="200" w:firstLine="640"/>
        <w:textAlignment w:val="auto"/>
        <w:outlineLvl w:val="9"/>
        <w:rPr>
          <w:rFonts w:ascii="仿宋" w:eastAsia="仿宋" w:cs="仿宋_GB2312" w:hAnsi="仿宋" w:hint="eastAsia"/>
          <w:color w:val="FF0000"/>
          <w:sz w:val="32"/>
          <w:szCs w:val="32"/>
          <w:lang w:eastAsia="zh-CN"/>
        </w:rPr>
      </w:pPr>
      <w:r>
        <w:rPr>
          <w:rFonts w:ascii="仿宋" w:eastAsia="仿宋" w:hAnsi="仿宋" w:hint="eastAsia"/>
          <w:color w:val="333333"/>
          <w:sz w:val="32"/>
          <w:szCs w:val="32"/>
          <w:shd w:val="clear" w:color="auto" w:fill="FFFFFF"/>
        </w:rPr>
        <w:t>202</w:t>
      </w:r>
      <w:r>
        <w:rPr>
          <w:rFonts w:ascii="仿宋" w:eastAsia="仿宋" w:hAnsi="仿宋"/>
          <w:color w:val="333333"/>
          <w:sz w:val="32"/>
          <w:szCs w:val="32"/>
          <w:shd w:val="clear" w:color="auto" w:fill="FFFFFF"/>
        </w:rPr>
        <w:t>4</w:t>
      </w:r>
      <w:r>
        <w:rPr>
          <w:rFonts w:ascii="仿宋" w:eastAsia="仿宋" w:hAnsi="仿宋" w:hint="eastAsia"/>
          <w:color w:val="333333"/>
          <w:sz w:val="32"/>
          <w:szCs w:val="32"/>
          <w:shd w:val="clear" w:color="auto" w:fill="FFFFFF"/>
        </w:rPr>
        <w:t>年部门整体支出绩效自评结果显示，我单位绩效管理情况较为良好，达到了年初设定的各项绩效目标。所有资金使用严格按审批程序办理、操作规范，会计核算结果真实、准确，各项支出严格按照各项制度执行。</w:t>
      </w:r>
      <w:r>
        <w:rPr>
          <w:rFonts w:ascii="仿宋" w:eastAsia="仿宋" w:cs="仿宋_GB2312" w:hAnsi="仿宋" w:hint="eastAsia"/>
          <w:sz w:val="32"/>
          <w:szCs w:val="32"/>
        </w:rPr>
        <w:t>总体产出指标、效益指标及满意度指标均达预期指标值</w:t>
      </w:r>
      <w:r>
        <w:rPr>
          <w:rFonts w:ascii="仿宋" w:eastAsia="仿宋" w:cs="仿宋_GB2312" w:hAnsi="仿宋" w:hint="eastAsia"/>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left="0" w:right="0" w:firstLineChars="200" w:firstLine="640"/>
        <w:textAlignment w:val="auto"/>
        <w:outlineLvl w:val="9"/>
        <w:rPr>
          <w:rFonts w:ascii="黑体" w:eastAsia="黑体" w:cs="黑体" w:hAnsi="黑体"/>
          <w:color w:val="FF0000"/>
          <w:sz w:val="32"/>
          <w:szCs w:val="32"/>
          <w:lang w:eastAsia="zh-CN"/>
        </w:rPr>
      </w:pPr>
      <w:r>
        <w:rPr>
          <w:rFonts w:ascii="仿宋_GB2312" w:eastAsia="仿宋_GB2312" w:cs="仿宋_GB2312" w:hAnsi="仿宋_GB2312" w:hint="eastAsia"/>
          <w:sz w:val="32"/>
          <w:szCs w:val="32"/>
          <w:lang w:eastAsia="zh-CN"/>
          <w:highlight w:val="none"/>
        </w:rPr>
        <w:t>根据部门职责定位和各项工作履职情况进行综合评价，给出总得分，满分100分，得出综合绩效评价等级。部门整体支出综合绩效评价分为4个等级：得分≥85分为优秀；75≤得分＜85分为良好；60≤得分＜75分为一般；得分＜60分为较差。</w:t>
      </w:r>
      <w:r>
        <w:rPr>
          <w:rFonts w:ascii="仿宋" w:eastAsia="仿宋" w:cs="仿宋" w:hAnsi="仿宋" w:hint="eastAsia"/>
          <w:sz w:val="32"/>
          <w:szCs w:val="32"/>
        </w:rPr>
        <w:t>通过逐项分析每个项目产出指标、效益指标、预算执行率指标、满意度指标的完成情况，</w:t>
      </w:r>
      <w:r>
        <w:rPr>
          <w:rFonts w:ascii="仿宋" w:eastAsia="仿宋" w:cs="仿宋" w:hAnsi="仿宋" w:hint="eastAsia"/>
          <w:color w:val="auto"/>
          <w:sz w:val="32"/>
          <w:szCs w:val="32"/>
        </w:rPr>
        <w:t>得出全年项目绩效评价总体自评得分</w:t>
      </w:r>
      <w:r>
        <w:rPr>
          <w:rFonts w:ascii="仿宋" w:eastAsia="仿宋" w:cs="仿宋" w:hAnsi="仿宋" w:hint="eastAsia"/>
          <w:color w:val="auto"/>
          <w:sz w:val="32"/>
          <w:szCs w:val="32"/>
          <w:lang w:val="en-US" w:eastAsia="zh-CN"/>
        </w:rPr>
        <w:t>9</w:t>
      </w:r>
      <w:r>
        <w:rPr>
          <w:rFonts w:ascii="仿宋" w:eastAsia="仿宋" w:cs="仿宋" w:hAnsi="仿宋"/>
          <w:color w:val="auto"/>
          <w:sz w:val="32"/>
          <w:szCs w:val="32"/>
          <w:lang w:val="en-US" w:eastAsia="zh-CN"/>
        </w:rPr>
        <w:t>9.4</w:t>
      </w:r>
      <w:r>
        <w:rPr>
          <w:rFonts w:ascii="仿宋" w:eastAsia="仿宋" w:cs="仿宋" w:hAnsi="仿宋" w:hint="eastAsia"/>
          <w:color w:val="auto"/>
          <w:sz w:val="32"/>
          <w:szCs w:val="32"/>
        </w:rPr>
        <w:t>分，评价等级为优秀。</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right="0" w:firstLineChars="200" w:firstLine="640"/>
        <w:textAlignment w:val="auto"/>
        <w:outlineLvl w:val="9"/>
        <w:rPr>
          <w:rFonts w:ascii="黑体" w:eastAsia="黑体" w:hAnsi="黑体" w:hint="eastAsia"/>
          <w:sz w:val="32"/>
          <w:szCs w:val="32"/>
        </w:rPr>
      </w:pPr>
      <w:r>
        <w:rPr>
          <w:rFonts w:ascii="黑体" w:eastAsia="黑体" w:hAnsi="黑体" w:hint="eastAsia"/>
          <w:sz w:val="32"/>
          <w:szCs w:val="32"/>
        </w:rPr>
        <w:t>存在的问题及改进措施</w:t>
      </w:r>
      <w:bookmarkStart w:id="0" w:name="_GoBack"/>
      <w:bookmarkEnd w:id="0"/>
    </w:p>
    <w:p>
      <w:pPr>
        <w:keepNext w:val="0"/>
        <w:keepLines w:val="0"/>
        <w:pageBreakBefore w:val="0"/>
        <w:widowControl w:val="0"/>
        <w:kinsoku/>
        <w:wordWrap/>
        <w:overflowPunct/>
        <w:topLinePunct w:val="0"/>
        <w:autoSpaceDE/>
        <w:autoSpaceDN/>
        <w:bidi w:val="0"/>
        <w:spacing w:line="560" w:lineRule="exact"/>
        <w:ind w:firstLineChars="200" w:firstLine="640"/>
        <w:textAlignment w:val="auto"/>
        <w:rPr>
          <w:rFonts w:ascii="楷体_GB2312" w:eastAsia="楷体_GB2312" w:cs="楷体_GB2312" w:hAnsi="楷体_GB2312" w:hint="eastAsia"/>
          <w:bCs/>
          <w:sz w:val="32"/>
          <w:szCs w:val="32"/>
        </w:rPr>
      </w:pPr>
      <w:r>
        <w:rPr>
          <w:rFonts w:ascii="楷体_GB2312" w:eastAsia="楷体_GB2312" w:cs="楷体_GB2312" w:hAnsi="楷体_GB2312" w:hint="eastAsia"/>
          <w:bCs/>
          <w:sz w:val="32"/>
          <w:szCs w:val="32"/>
        </w:rPr>
        <w:t>（一）存在的主要问题</w:t>
      </w:r>
    </w:p>
    <w:p>
      <w:pPr>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1、对绩效评价工作的认识不够。</w:t>
      </w:r>
    </w:p>
    <w:p>
      <w:pPr>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对绩效评价工作了解还不够深入，认为绩效评价只是财务部门的事情，相关项目职责部门配合不够，往往只能提供有限的财经资料或简单的工作计划、工作总结，绩效评价工作资料非常有限，内容粗浅。大部分单位直接借用工作总结作为绩效自评报告的主要内容。</w:t>
      </w:r>
    </w:p>
    <w:p>
      <w:pPr>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2、人员素质有待进一步提高</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eastAsia="zh-CN"/>
          <w:highlight w:val="none"/>
        </w:rPr>
      </w:pPr>
      <w:r>
        <w:rPr>
          <w:rFonts w:ascii="仿宋" w:eastAsia="仿宋" w:cs="仿宋" w:hAnsi="仿宋" w:hint="eastAsia"/>
          <w:sz w:val="32"/>
          <w:szCs w:val="32"/>
        </w:rPr>
        <w:t>由于预算绩效管理工作开展时间短，涉及面广，专业性强，相关人员对预算绩效管理理解不充分，对预算绩效管理业务部精通，在一定程度上影响了绩效评价工作质量。</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楷体_GB2312" w:eastAsia="楷体_GB2312" w:cs="楷体_GB2312" w:hAnsi="楷体_GB2312"/>
          <w:bCs/>
          <w:sz w:val="32"/>
          <w:szCs w:val="32"/>
        </w:rPr>
      </w:pPr>
      <w:r>
        <w:rPr>
          <w:rFonts w:ascii="楷体_GB2312" w:eastAsia="楷体_GB2312" w:cs="楷体_GB2312" w:hAnsi="楷体_GB2312" w:hint="eastAsia"/>
          <w:bCs/>
          <w:sz w:val="32"/>
          <w:szCs w:val="32"/>
        </w:rPr>
        <w:t>（二）针对问题提出具体的改进措施或建议</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1、深入学习对绩效评价的认识</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通过绩效评价工作的逐步推进，我单位逐步树立了绩效理念，对预算绩效评价工作的态度由“被动接受”变成“主动实施”，多种方式学习提高全体人员对绩效评价的认识。</w:t>
      </w:r>
    </w:p>
    <w:p>
      <w:pPr>
        <w:adjustRightInd w:val="0"/>
        <w:snapToGrid w:val="0"/>
        <w:spacing w:line="560" w:lineRule="exact"/>
        <w:ind w:firstLineChars="200" w:firstLine="640"/>
        <w:rPr>
          <w:rFonts w:ascii="仿宋" w:eastAsia="仿宋" w:cs="仿宋" w:hAnsi="仿宋"/>
          <w:sz w:val="32"/>
          <w:szCs w:val="32"/>
        </w:rPr>
      </w:pPr>
      <w:r>
        <w:rPr>
          <w:rFonts w:ascii="仿宋" w:eastAsia="仿宋" w:cs="仿宋" w:hAnsi="仿宋" w:hint="eastAsia"/>
          <w:sz w:val="32"/>
          <w:szCs w:val="32"/>
        </w:rPr>
        <w:t>2、加强学习，提高人员素质</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eastAsia="zh-CN"/>
          <w:highlight w:val="none"/>
        </w:rPr>
      </w:pPr>
      <w:r>
        <w:rPr>
          <w:rFonts w:ascii="仿宋" w:eastAsia="仿宋" w:cs="仿宋" w:hAnsi="仿宋" w:hint="eastAsia"/>
          <w:sz w:val="32"/>
          <w:szCs w:val="32"/>
        </w:rPr>
        <w:t>加强学习，希望财政部门多组织关于绩效评价的讲座，培养单位专业人员，在健全制度、完善政策、改进管理、优化流程中多做功课，逐步增强绩效管理，开展好整体支出及项目资金绩效管理工作，运用好绩效评价结果，不断提升预算管理水平。</w:t>
      </w:r>
    </w:p>
    <w:p>
      <w:pPr>
        <w:keepNext w:val="0"/>
        <w:keepLines w:val="0"/>
        <w:pageBreakBefore w:val="0"/>
        <w:widowControl w:val="0"/>
        <w:kinsoku/>
        <w:wordWrap/>
        <w:overflowPunct/>
        <w:topLinePunct w:val="0"/>
        <w:autoSpaceDE/>
        <w:autoSpaceDN/>
        <w:bidi w:val="0"/>
        <w:adjustRightInd/>
        <w:snapToGrid/>
        <w:spacing w:line="560" w:lineRule="exact"/>
        <w:ind w:firstLineChars="200" w:firstLine="640"/>
        <w:textAlignment w:val="auto"/>
        <w:rPr>
          <w:rFonts w:ascii="仿宋_GB2312" w:eastAsia="仿宋_GB2312" w:cs="仿宋_GB2312" w:hAnsi="仿宋_GB2312" w:hint="eastAsia"/>
          <w:sz w:val="32"/>
          <w:szCs w:val="32"/>
          <w:lang w:eastAsia="zh-CN"/>
          <w:highlight w:val="none"/>
        </w:rPr>
      </w:pPr>
    </w:p>
    <w:sectPr>
      <w:headerReference w:type="default" r:id="rId2"/>
      <w:footerReference w:type="default" r:id="rId3"/>
      <w:pgSz w:w="11906" w:h="16838"/>
      <w:pgMar w:top="2098" w:right="1474" w:bottom="1984" w:left="1587" w:header="851" w:footer="1701" w:gutter="0"/>
      <w:pgNumType w:fmt="numberInDash"/>
      <w:cols w:num="1" w:space="720"/>
      <w:docGrid w:type="lines" w:linePitch="312" w:charSpace="0"/>
    </w:sectPr>
  </w:body>
</w:document>
</file>

<file path=word/fontTable.xml><?xml version="1.0" encoding="utf-8"?>
<w:fonts xmlns:w="http://schemas.openxmlformats.org/wordprocessingml/2006/main" xmlns:r="http://schemas.openxmlformats.org/officeDocument/2006/relationships">
  <w:font w:name="国标宋体">
    <w:panose1 w:val="02000500000000000000"/>
    <w:charset w:val="86"/>
    <w:family w:val="auto"/>
    <w:pitch w:val="variable"/>
    <w:sig w:usb0="00000001" w:usb1="28000000" w:usb2="00000000" w:usb3="00000000" w:csb0="00060007" w:csb1="00000000"/>
  </w:font>
  <w:font w:name="黑体">
    <w:panose1 w:val="02010609060101010101"/>
    <w:charset w:val="86"/>
    <w:family w:val="auto"/>
    <w:pitch w:val="variable"/>
    <w:sig w:usb0="800002BF" w:usb1="38CF7CFA" w:usb2="00000016" w:usb3="00000000" w:csb0="00040001" w:csb1="00000000"/>
  </w:font>
  <w:font w:name="方正小标宋简体">
    <w:altName w:val="方正小标宋_GBK"/>
    <w:panose1 w:val="02000000000000000000"/>
    <w:charset w:val="86"/>
    <w:family w:val="auto"/>
    <w:pitch w:val="variable"/>
    <w:sig w:usb0="00000000" w:usb1="00000000" w:usb2="00000012" w:usb3="00000000" w:csb0="00040001" w:csb1="00000000"/>
  </w:font>
  <w:font w:name="方正小标宋_GBK">
    <w:panose1 w:val="02000000000000000000"/>
    <w:charset w:val="86"/>
    <w:family w:val="auto"/>
    <w:pitch w:val="variable"/>
    <w:sig w:usb0="A00002BF" w:usb1="38CF7CFA" w:usb2="00082016" w:usb3="00000000" w:csb0="00040001" w:csb1="00000000"/>
  </w:font>
  <w:font w:name="仿宋_GB2312">
    <w:altName w:val="仿宋"/>
    <w:panose1 w:val="02010609030101010101"/>
    <w:charset w:val="86"/>
    <w:family w:val="auto"/>
    <w:pitch w:val="variable"/>
    <w:sig w:usb0="00000000" w:usb1="00000000" w:usb2="00000000" w:usb3="00000000" w:csb0="00040000" w:csb1="00000000"/>
  </w:font>
  <w:font w:name="楷体_GB2312">
    <w:altName w:val="楷体"/>
    <w:panose1 w:val="02010609030101010101"/>
    <w:charset w:val="86"/>
    <w:family w:val="auto"/>
    <w:pitch w:val="variable"/>
    <w:sig w:usb0="00000000" w:usb1="00000000" w:usb2="00000000" w:usb3="00000000" w:csb0="00040000" w:csb1="00000000"/>
  </w:font>
  <w:font w:name="仿宋">
    <w:panose1 w:val="02010609060101010101"/>
    <w:charset w:val="86"/>
    <w:family w:val="auto"/>
    <w:pitch w:val="variable"/>
    <w:sig w:usb0="800002BF" w:usb1="38CF7CFA" w:usb2="00000016" w:usb3="00000000" w:csb0="00040001" w:csb1="00000000"/>
  </w:font>
  <w:font w:name="Arial Black">
    <w:panose1 w:val="020B0A04020102020204"/>
    <w:charset w:val="00"/>
    <w:family w:val="swiss"/>
    <w:pitch w:val="variable"/>
    <w:sig w:usb0="A00002AF" w:usb1="400078FB" w:usb2="00000000" w:usb3="00000000" w:csb0="6000009F" w:csb1="DFD70000"/>
  </w:font>
  <w:font w:name="ArialUnicodeMS">
    <w:altName w:val="Malgun Gothic"/>
    <w:panose1 w:val="00000000000000000000"/>
    <w:charset w:val="81"/>
    <w:family w:val="auto"/>
    <w:pitch w:val="variable"/>
    <w:sig w:usb0="00000000" w:usb1="00000000" w:usb2="00000010" w:usb3="00000000" w:csb0="00080001" w:csb1="00000000"/>
  </w:font>
  <w:font w:name="楷体">
    <w:panose1 w:val="02010609060101010101"/>
    <w:charset w:val="86"/>
    <w:family w:val="modern"/>
    <w:pitch w:val="variable"/>
    <w:sig w:usb0="800002BF" w:usb1="38CF7CFA" w:usb2="00000016" w:usb3="00000000" w:csb0="00040001" w:csb1="00000000"/>
  </w:font>
  <w:font w:name="Times New Roman">
    <w:panose1 w:val="02020603050405020304"/>
    <w:charset w:val="86"/>
    <w:family w:val="auto"/>
    <w:pitch w:val="variable"/>
    <w:sig w:usb0="E0002EFF" w:usb1="C000785B" w:usb2="00000009" w:usb3="00000000" w:csb0="400001FF" w:csb1="FFFF0000"/>
  </w:font>
  <w:font w:name="宋体">
    <w:panose1 w:val="02010600030101010101"/>
    <w:charset w:val="86"/>
    <w:family w:val="auto"/>
    <w:pitch w:val="variable"/>
    <w:sig w:usb0="00000203" w:usb1="288F0000" w:usb2="00000006" w:usb3="00000000" w:csb0="00040001" w:csb1="00000000"/>
  </w:font>
  <w:font w:name="Arial">
    <w:panose1 w:val="020B0604020202020204"/>
    <w:charset w:val="01"/>
    <w:family w:val="swiss"/>
    <w:pitch w:val="variable"/>
    <w:sig w:usb0="E0002EFF" w:usb1="C000785B"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rPr>
        <w:sz w:val="21"/>
      </w:rPr>
      <mc:AlternateContent>
        <mc:Choice Requires="wps">
          <w:drawing>
            <wp:anchor distT="0" distB="0" distL="114300" distR="114300" simplePos="0" relativeHeight="12" behindDoc="0" locked="0" layoutInCell="1" hidden="0" allowOverlap="1">
              <wp:simplePos x="0" y="0"/>
              <wp:positionH relativeFrom="margin">
                <wp:align>center</wp:align>
              </wp:positionH>
              <wp:positionV relativeFrom="paragraph">
                <wp:posOffset>0</wp:posOffset>
              </wp:positionV>
              <wp:extent cx="456480" cy="231278"/>
              <wp:wrapNone/>
              <wp:docPr id="1" name="文本框 1"/>
              <wp:cNvGraphicFramePr>
                <a:graphicFrameLocks noChangeAspect="0"/>
              </wp:cNvGraphicFramePr>
              <a:graphic>
                <a:graphicData uri="http://schemas.microsoft.com/office/word/2010/wordprocessingShape">
                  <wps:wsp>
                    <wps:cNvSpPr/>
                    <wps:spPr>
                      <a:xfrm rot="0">
                        <a:off x="0" y="0"/>
                        <a:ext cx="456480" cy="231278"/>
                      </a:xfrm>
                      <a:prstGeom prst="rect"/>
                      <a:noFill/>
                      <a:ln w="6350" cmpd="sng" cap="flat">
                        <a:noFill/>
                        <a:prstDash val="solid"/>
                        <a:round/>
                      </a:ln>
                    </wps:spPr>
                    <wps:txbx id="1">
                      <w:txbxContent>
                        <w:p>
                          <w:pPr>
                            <w:pStyle w:val="15"/>
                            <w:tabs>
                              <w:tab w:val="center" w:pos="4153"/>
                              <w:tab w:val="right" w:pos="8306"/>
                            </w:tabs>
                            <w:rPr>
                              <w:rFonts w:ascii="国标宋体" w:eastAsia="国标宋体" w:cs="国标宋体" w:hAnsi="国标宋体" w:hint="eastAsia"/>
                              <w:sz w:val="28"/>
                              <w:szCs w:val="28"/>
                            </w:rPr>
                          </w:pPr>
                          <w:r>
                            <w:rPr>
                              <w:rFonts w:ascii="国标宋体" w:eastAsia="国标宋体" w:cs="国标宋体" w:hAnsi="国标宋体" w:hint="eastAsia"/>
                              <w:sz w:val="28"/>
                              <w:szCs w:val="28"/>
                            </w:rPr>
                            <w:fldChar w:fldCharType="begin"/>
                          </w:r>
                          <w:r>
                            <w:rPr>
                              <w:rFonts w:ascii="国标宋体" w:eastAsia="国标宋体" w:cs="国标宋体" w:hAnsi="国标宋体" w:hint="eastAsia"/>
                              <w:sz w:val="28"/>
                              <w:szCs w:val="28"/>
                            </w:rPr>
                            <w:instrText xml:space="preserve"> PAGE  \* MERGEFORMAT </w:instrText>
                          </w:r>
                          <w:r>
                            <w:rPr>
                              <w:rFonts w:ascii="国标宋体" w:eastAsia="国标宋体" w:cs="国标宋体" w:hAnsi="国标宋体" w:hint="eastAsia"/>
                              <w:sz w:val="28"/>
                              <w:szCs w:val="28"/>
                            </w:rPr>
                            <w:fldChar w:fldCharType="separate"/>
                          </w:r>
                          <w:r>
                            <w:rPr>
                              <w:rFonts w:ascii="国标宋体" w:eastAsia="国标宋体" w:cs="国标宋体" w:hAnsi="国标宋体" w:hint="eastAsia"/>
                              <w:sz w:val="28"/>
                              <w:szCs w:val="28"/>
                            </w:rPr>
                            <w:t>- 1 -</w:t>
                          </w:r>
                          <w:r>
                            <w:rPr>
                              <w:rFonts w:ascii="国标宋体" w:eastAsia="国标宋体" w:cs="国标宋体" w:hAnsi="国标宋体" w:hint="eastAsia"/>
                              <w:sz w:val="28"/>
                              <w:szCs w:val="28"/>
                            </w:rPr>
                            <w:fldChar w:fldCharType="end"/>
                          </w:r>
                        </w:p>
                      </w:txbxContent>
                    </wps:txbx>
                    <wps:bodyPr vert="horz" wrap="none" lIns="0" tIns="0" rIns="0" bIns="0" anchor="t" anchorCtr="0" upright="0">
                      <a:spAutoFit/>
                    </wps:bodyPr>
                  </wps:wsp>
                </a:graphicData>
              </a:graphic>
            </wp:anchor>
          </w:drawing>
        </mc:Choice>
        <mc:Fallback>
          <w:pict>
            <v:rect type="#_x0000_t1" id="文本框 1" o:spid="_x0000_s2" filled="f" stroked="f" strokeweight="0.5pt" style="position:absolute;margin-left:0.0pt;margin-top:0.0pt;width:35.94335pt;height:18.210938pt;z-index:12;mso-position-horizontal:center;mso-position-horizontal-relative:margin;mso-position-vertical:absolute;mso-wrap-style:none;">
              <v:stroke/>
              <v:textbox id="848" inset="0mm,0mm,0mm,0mm" o:insetmode="custom" style="layout-flow:horizontal;v-text-anchor:top;mso-fit-shape-to-text:t;">
                <w:txbxContent>
                  <w:p>
                    <w:pPr>
                      <w:pStyle w:val="15"/>
                      <w:tabs>
                        <w:tab w:val="center" w:pos="4153"/>
                        <w:tab w:val="right" w:pos="8306"/>
                      </w:tabs>
                      <w:rPr>
                        <w:rFonts w:ascii="国标宋体" w:eastAsia="国标宋体" w:cs="国标宋体" w:hAnsi="国标宋体" w:hint="eastAsia"/>
                        <w:sz w:val="28"/>
                        <w:szCs w:val="28"/>
                      </w:rPr>
                    </w:pPr>
                    <w:r>
                      <w:rPr>
                        <w:rFonts w:ascii="国标宋体" w:eastAsia="国标宋体" w:cs="国标宋体" w:hAnsi="国标宋体" w:hint="eastAsia"/>
                        <w:sz w:val="28"/>
                        <w:szCs w:val="28"/>
                      </w:rPr>
                      <w:fldChar w:fldCharType="begin"/>
                    </w:r>
                    <w:r>
                      <w:rPr>
                        <w:rFonts w:ascii="国标宋体" w:eastAsia="国标宋体" w:cs="国标宋体" w:hAnsi="国标宋体" w:hint="eastAsia"/>
                        <w:sz w:val="28"/>
                        <w:szCs w:val="28"/>
                      </w:rPr>
                      <w:instrText xml:space="preserve"> PAGE  \* MERGEFORMAT </w:instrText>
                    </w:r>
                    <w:r>
                      <w:rPr>
                        <w:rFonts w:ascii="国标宋体" w:eastAsia="国标宋体" w:cs="国标宋体" w:hAnsi="国标宋体" w:hint="eastAsia"/>
                        <w:sz w:val="28"/>
                        <w:szCs w:val="28"/>
                      </w:rPr>
                      <w:fldChar w:fldCharType="separate"/>
                    </w:r>
                    <w:r>
                      <w:rPr>
                        <w:rFonts w:ascii="国标宋体" w:eastAsia="国标宋体" w:cs="国标宋体" w:hAnsi="国标宋体" w:hint="eastAsia"/>
                        <w:sz w:val="28"/>
                        <w:szCs w:val="28"/>
                      </w:rPr>
                      <w:t>- 1 -</w:t>
                    </w:r>
                    <w:r>
                      <w:rPr>
                        <w:rFonts w:ascii="国标宋体" w:eastAsia="国标宋体" w:cs="国标宋体" w:hAnsi="国标宋体" w:hint="eastAsia"/>
                        <w:sz w:val="28"/>
                        <w:szCs w:val="28"/>
                      </w:rPr>
                      <w:fldChar w:fldCharType="end"/>
                    </w:r>
                  </w:p>
                </w:txbxContent>
              </v:textbox>
            </v:rect>
          </w:pict>
        </mc:Fallback>
      </mc:AlternateContent>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pBdr>
        <w:bottom w:val="none" w:sz="0" w:space="1" w:color="auto"/>
      </w:pBdr>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98E0822F"/>
    <w:multiLevelType w:val="singleLevel"/>
    <w:tmpl w:val="98E0822F"/>
    <w:lvl w:ilvl="0">
      <w:start w:val="2"/>
      <w:numFmt w:val="chineseCounting"/>
      <w:lvlRestart w:val="0"/>
      <w:suff w:val="nothing"/>
      <w:lvlText w:val="%1、"/>
      <w:lvlJc w:val="left"/>
      <w:pPr/>
      <w:rPr>
        <w:rFonts w:hint="eastAsia"/>
      </w:rPr>
    </w:lvl>
  </w:abstractNum>
  <w:abstractNum w:abstractNumId="1">
    <w:nsid w:val="5F72B344"/>
    <w:multiLevelType w:val="multilevel"/>
    <w:tmpl w:val="5F72B344"/>
    <w:lvl w:ilvl="0">
      <w:start w:val="1"/>
      <w:numFmt w:val="chineseCountingThousand"/>
      <w:lvlRestart w:val="0"/>
      <w:lvlText w:val="（%1）"/>
      <w:lvlJc w:val="left"/>
      <w:pPr>
        <w:tabs>
          <w:tab w:val="num" w:pos="0"/>
        </w:tabs>
        <w:ind w:left="0" w:hanging="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330718AF"/>
    <w:multiLevelType w:val="singleLevel"/>
    <w:tmpl w:val="330718AF"/>
    <w:lvl w:ilvl="0">
      <w:start w:val="5"/>
      <w:numFmt w:val="chineseCounting"/>
      <w:lvlRestart w:val="0"/>
      <w:suff w:val="nothing"/>
      <w:lvlText w:val="%1、"/>
      <w:lvlJc w:val="left"/>
      <w:pPr/>
      <w:rPr>
        <w:rFonts w:hint="eastAsia"/>
      </w:rPr>
    </w:lvl>
  </w:abstractNum>
  <w:num w:numId="1">
    <w:abstractNumId w:val="0"/>
  </w:num>
  <w:num w:numId="2">
    <w:abstractNumId w:val="1"/>
  </w:num>
  <w:num w:numId="3">
    <w:abstractNumId w:val="2"/>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docVars>
    <w:docVar w:name="commondata" w:val="eyJoZGlkIjoiMDcxNzliNTMwNThhNjg2ZTE4MmVhOGZmMmNjY2NhZWUifQ=="/>
  </w:docVars>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Times New Roman" w:eastAsia="宋体" w:cs="Times New Roman" w:hAnsi="Times New Roman"/>
      <w:kern w:val="2"/>
      <w:sz w:val="21"/>
      <w:szCs w:val="24"/>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Times New Roman" w:hAnsi="Times New Roman"/>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Times New Roman" w:hAnsi="Times New Roman"/>
      <w:b/>
      <w:bCs/>
      <w:kern w:val="2"/>
      <w:sz w:val="32"/>
      <w:szCs w:val="32"/>
      <w:lang w:val="en-US" w:eastAsia="zh-CN" w:bidi="ar-SA"/>
    </w:rPr>
  </w:style>
  <w:style w:type="character" w:default="1" w:styleId="10">
    <w:name w:val="Default Paragraph Font"/>
    <w:qFormat/>
  </w:style>
  <w:style w:type="paragraph" w:styleId="15">
    <w:name w:val="footer"/>
    <w:qFormat/>
    <w:basedOn w:val="0"/>
    <w:pPr>
      <w:tabs>
        <w:tab w:val="center" w:pos="4153"/>
        <w:tab w:val="right" w:pos="8306"/>
      </w:tabs>
      <w:snapToGrid w:val="0"/>
      <w:jc w:val="left"/>
    </w:pPr>
    <w:rPr>
      <w:sz w:val="18"/>
      <w:szCs w:val="18"/>
    </w:rPr>
  </w:style>
  <w:style w:type="paragraph" w:styleId="16">
    <w:name w:val="header"/>
    <w:qFormat/>
    <w:basedOn w:val="0"/>
    <w:pPr>
      <w:pBdr>
        <w:bottom w:val="single" w:sz="6" w:space="1" w:color="auto"/>
      </w:pBdr>
      <w:tabs>
        <w:tab w:val="center" w:pos="4153"/>
        <w:tab w:val="right" w:pos="8306"/>
      </w:tabs>
      <w:snapToGrid w:val="0"/>
      <w:jc w:val="center"/>
    </w:pPr>
    <w:rPr>
      <w:sz w:val="18"/>
      <w:szCs w:val="18"/>
    </w:rPr>
  </w:style>
  <w:style w:type="paragraph" w:customStyle="1" w:yozoId="4094" w:styleId="17">
    <w:name w:val="正文文本 Char Char"/>
    <w:qFormat/>
    <w:basedOn w:val="0"/>
    <w:pPr>
      <w:widowControl w:val="0"/>
      <w:shd w:val="clear" w:color="auto" w:fill="auto"/>
      <w:spacing w:line="389" w:lineRule="auto"/>
      <w:ind w:firstLine="400"/>
    </w:pPr>
    <w:rPr>
      <w:sz w:val="30"/>
      <w:szCs w:val="30"/>
      <w:u w:val="none"/>
      <w:lang w:val="zh-CN" w:eastAsia="zh-CN"/>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 Id="rId8"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F713043-0AD3-4151-9AC4-A9A2A1833492}">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206</TotalTime>
  <Application>WPS_Yozo_Office9.0.5727.102ZH.HE36</Application>
  <Pages>8</Pages>
  <Words>0</Words>
  <Characters>2883</Characters>
  <Lines>0</Lines>
  <Paragraphs>75</Paragraphs>
  <CharactersWithSpaces>3845</CharactersWithSpaces>
  <Company>Lenovo</Company>
</Properties>
</file>

<file path=docProps/core.xml><?xml version="1.0" encoding="utf-8"?>
<cp:coreProperties xmlns:cp="http://schemas.openxmlformats.org/package/2006/metadata/core-properties" xmlns:dc="http://purl.org/dc/elements/1.1/" xmlns:dcterms="http://purl.org/dc/terms/" xmlns:xsi="http://www.w3.org/2001/XMLSchema-instance">
  <dc:title>附件2： </dc:title>
  <dc:creator>user</dc:creator>
  <cp:lastModifiedBy>JTJ</cp:lastModifiedBy>
  <cp:revision>20</cp:revision>
  <cp:lastPrinted>2021-02-25T13:43:00Z</cp:lastPrinted>
  <dcterms:created xsi:type="dcterms:W3CDTF">2019-11-15T08:58:00Z</dcterms:created>
  <dcterms:modified xsi:type="dcterms:W3CDTF">2026-05-28T03:01:26Z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2052-12.1.0.16929</vt:lpwstr>
  </property>
  <property fmtid="{D5CDD505-2E9C-101B-9397-08002B2CF9AE}" pid="3" name="ICV">
    <vt:lpwstr>28C64EFCB758481798A31117B3E7B5E3</vt:lpwstr>
  </property>
  <property fmtid="{D5CDD505-2E9C-101B-9397-08002B2CF9AE}" pid="4" name="KSOTemplateDocerSaveRecord">
    <vt:lpwstr>eyJoZGlkIjoiNzljNTRhNTNjOWE4MjBkMjQxNjdkNzdjYmE3M2NkNDQiLCJ1c2VySWQiOiIyNjg1NDQzODEifQ==</vt:lpwstr>
  </property>
</Properties>
</file>