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9FB2B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石家庄市藁城区红十字部门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（一）部门概况</w:t>
      </w:r>
    </w:p>
    <w:p w14:paraId="740256F4">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1．主要职能</w:t>
      </w:r>
    </w:p>
    <w:p w14:paraId="232792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宣传和执行《中华人民共和国红十字会法》、《中国红十字会章程》和《中国红十字会标志使用办法》等相关法律法规；开展</w:t>
      </w:r>
      <w:r>
        <w:rPr>
          <w:rFonts w:hint="eastAsia" w:ascii="仿宋_GB2312" w:hAnsi="仿宋_GB2312" w:eastAsia="仿宋_GB2312" w:cs="仿宋_GB2312"/>
          <w:sz w:val="32"/>
          <w:szCs w:val="32"/>
          <w:lang w:val="en-US" w:eastAsia="zh-CN"/>
        </w:rPr>
        <w:t>救援、</w:t>
      </w:r>
      <w:r>
        <w:rPr>
          <w:rFonts w:hint="eastAsia" w:ascii="仿宋_GB2312" w:hAnsi="仿宋_GB2312" w:eastAsia="仿宋_GB2312" w:cs="仿宋_GB2312"/>
          <w:sz w:val="32"/>
          <w:szCs w:val="32"/>
        </w:rPr>
        <w:t>救灾</w:t>
      </w:r>
      <w:r>
        <w:rPr>
          <w:rFonts w:hint="eastAsia" w:ascii="仿宋_GB2312" w:hAnsi="仿宋_GB2312" w:eastAsia="仿宋_GB2312" w:cs="仿宋_GB2312"/>
          <w:sz w:val="32"/>
          <w:szCs w:val="32"/>
          <w:lang w:val="en-US" w:eastAsia="zh-CN"/>
        </w:rPr>
        <w:t>的相关</w:t>
      </w:r>
      <w:r>
        <w:rPr>
          <w:rFonts w:hint="eastAsia" w:ascii="仿宋_GB2312" w:hAnsi="仿宋_GB2312" w:eastAsia="仿宋_GB2312" w:cs="仿宋_GB2312"/>
          <w:sz w:val="32"/>
          <w:szCs w:val="32"/>
        </w:rPr>
        <w:t>工作；开展应急救护</w:t>
      </w:r>
      <w:r>
        <w:rPr>
          <w:rFonts w:hint="eastAsia" w:ascii="仿宋_GB2312" w:hAnsi="仿宋_GB2312" w:eastAsia="仿宋_GB2312" w:cs="仿宋_GB2312"/>
          <w:sz w:val="32"/>
          <w:szCs w:val="32"/>
          <w:lang w:val="en-US" w:eastAsia="zh-CN"/>
        </w:rPr>
        <w:t>培训，普及应急救护、防灾避险和卫生健康知识，组织志愿者参与现场救护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参与、推动</w:t>
      </w:r>
      <w:r>
        <w:rPr>
          <w:rFonts w:hint="eastAsia" w:ascii="仿宋_GB2312" w:hAnsi="仿宋_GB2312" w:eastAsia="仿宋_GB2312" w:cs="仿宋_GB2312"/>
          <w:sz w:val="32"/>
          <w:szCs w:val="32"/>
        </w:rPr>
        <w:t>无偿献血、遗体</w:t>
      </w:r>
      <w:r>
        <w:rPr>
          <w:rFonts w:hint="eastAsia" w:ascii="仿宋_GB2312" w:hAnsi="仿宋_GB2312" w:eastAsia="仿宋_GB2312" w:cs="仿宋_GB2312"/>
          <w:sz w:val="32"/>
          <w:szCs w:val="32"/>
          <w:lang w:val="en-US" w:eastAsia="zh-CN"/>
        </w:rPr>
        <w:t>和人体</w:t>
      </w:r>
      <w:r>
        <w:rPr>
          <w:rFonts w:hint="eastAsia" w:ascii="仿宋_GB2312" w:hAnsi="仿宋_GB2312" w:eastAsia="仿宋_GB2312" w:cs="仿宋_GB2312"/>
          <w:sz w:val="32"/>
          <w:szCs w:val="32"/>
        </w:rPr>
        <w:t>器官捐献</w:t>
      </w:r>
      <w:r>
        <w:rPr>
          <w:rFonts w:hint="eastAsia" w:ascii="仿宋_GB2312" w:hAnsi="仿宋_GB2312" w:eastAsia="仿宋_GB2312" w:cs="仿宋_GB2312"/>
          <w:sz w:val="32"/>
          <w:szCs w:val="32"/>
          <w:lang w:val="en-US" w:eastAsia="zh-CN"/>
        </w:rPr>
        <w:t>工作，参与开展</w:t>
      </w:r>
      <w:r>
        <w:rPr>
          <w:rFonts w:hint="eastAsia" w:ascii="仿宋_GB2312" w:hAnsi="仿宋_GB2312" w:eastAsia="仿宋_GB2312" w:cs="仿宋_GB2312"/>
          <w:sz w:val="32"/>
          <w:szCs w:val="32"/>
        </w:rPr>
        <w:t>造血干细胞</w:t>
      </w:r>
      <w:r>
        <w:rPr>
          <w:rFonts w:hint="eastAsia" w:ascii="仿宋_GB2312" w:hAnsi="仿宋_GB2312" w:eastAsia="仿宋_GB2312" w:cs="仿宋_GB2312"/>
          <w:sz w:val="32"/>
          <w:szCs w:val="32"/>
          <w:lang w:val="en-US" w:eastAsia="zh-CN"/>
        </w:rPr>
        <w:t>捐献的相关</w:t>
      </w:r>
      <w:r>
        <w:rPr>
          <w:rFonts w:hint="eastAsia" w:ascii="仿宋_GB2312" w:hAnsi="仿宋_GB2312" w:eastAsia="仿宋_GB2312" w:cs="仿宋_GB2312"/>
          <w:sz w:val="32"/>
          <w:szCs w:val="32"/>
        </w:rPr>
        <w:t>工作；开展社会救助及相关服务工作；开展有益于青少年身心健康的红十字青少年活动；组织开展志愿服务工作；依法开展募捐活动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协助人民政府开展与其职责相关的其他人道主义服务活动</w:t>
      </w:r>
      <w:r>
        <w:rPr>
          <w:rFonts w:hint="eastAsia" w:ascii="仿宋_GB2312" w:hAnsi="仿宋_GB2312" w:eastAsia="仿宋_GB2312" w:cs="仿宋_GB2312"/>
          <w:sz w:val="32"/>
          <w:szCs w:val="32"/>
        </w:rPr>
        <w:t>。</w:t>
      </w:r>
    </w:p>
    <w:p w14:paraId="54800C57">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机构</w:t>
      </w:r>
      <w:r>
        <w:rPr>
          <w:rFonts w:hint="eastAsia" w:ascii="仿宋_GB2312" w:hAnsi="仿宋_GB2312" w:eastAsia="仿宋_GB2312" w:cs="仿宋_GB2312"/>
          <w:b/>
          <w:bCs/>
          <w:sz w:val="32"/>
          <w:szCs w:val="32"/>
          <w:lang w:val="en-US" w:eastAsia="zh-CN"/>
        </w:rPr>
        <w:t>设置及人员情况</w:t>
      </w:r>
    </w:p>
    <w:p w14:paraId="5AA4CD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2025年，纳入本部门决算汇编范围的独立核算机构共1个，即</w:t>
      </w:r>
      <w:r>
        <w:rPr>
          <w:rFonts w:hint="eastAsia" w:ascii="仿宋_GB2312" w:hAnsi="仿宋_GB2312" w:eastAsia="仿宋_GB2312" w:cs="仿宋_GB2312"/>
          <w:sz w:val="32"/>
          <w:szCs w:val="32"/>
        </w:rPr>
        <w:t>藁城区红十字会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藁城区红十字会规格为正科级，单位性质为</w:t>
      </w:r>
      <w:r>
        <w:rPr>
          <w:rFonts w:hint="eastAsia" w:ascii="仿宋_GB2312" w:hAnsi="仿宋_GB2312" w:eastAsia="仿宋_GB2312" w:cs="仿宋_GB2312"/>
          <w:sz w:val="32"/>
          <w:szCs w:val="32"/>
        </w:rPr>
        <w:t>参公群团，内设办公室和捐赠管理股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核定行政编制4名，年末</w:t>
      </w:r>
      <w:r>
        <w:rPr>
          <w:rFonts w:hint="eastAsia" w:ascii="仿宋_GB2312" w:hAnsi="仿宋_GB2312" w:eastAsia="仿宋_GB2312" w:cs="仿宋_GB2312"/>
          <w:sz w:val="32"/>
          <w:szCs w:val="32"/>
        </w:rPr>
        <w:t>在职人员</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人，全部财政开支。</w:t>
      </w:r>
    </w:p>
    <w:p w14:paraId="2EE845E6">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3、资产情况</w:t>
      </w:r>
    </w:p>
    <w:p w14:paraId="6E9C9E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截止2025年12月31日，资产总额5.30万元，其中行政单位国有资产5.30万元，占比100%。</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12E660F1">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1、2025年预算</w:t>
      </w:r>
      <w:r>
        <w:rPr>
          <w:rFonts w:hint="eastAsia" w:ascii="仿宋_GB2312" w:hAnsi="仿宋_GB2312" w:eastAsia="仿宋_GB2312" w:cs="仿宋_GB2312"/>
          <w:sz w:val="32"/>
          <w:szCs w:val="32"/>
        </w:rPr>
        <w:t>收入为</w:t>
      </w:r>
      <w:r>
        <w:rPr>
          <w:rFonts w:hint="eastAsia" w:ascii="仿宋_GB2312" w:hAnsi="仿宋_GB2312" w:eastAsia="仿宋_GB2312" w:cs="仿宋_GB2312"/>
          <w:sz w:val="32"/>
          <w:lang w:val="en-US" w:eastAsia="zh-CN"/>
        </w:rPr>
        <w:t>123.06</w:t>
      </w:r>
      <w:r>
        <w:rPr>
          <w:rFonts w:hint="eastAsia" w:ascii="仿宋_GB2312" w:hAnsi="仿宋_GB2312" w:eastAsia="仿宋_GB2312" w:cs="仿宋_GB2312"/>
          <w:sz w:val="32"/>
          <w:szCs w:val="32"/>
        </w:rPr>
        <w:t>元，其中：</w:t>
      </w: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lang w:val="en-US" w:eastAsia="zh-CN"/>
        </w:rPr>
        <w:t>123.06</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基金预算收入0元，</w:t>
      </w:r>
      <w:r>
        <w:rPr>
          <w:rFonts w:hint="eastAsia" w:ascii="仿宋_GB2312" w:hAnsi="仿宋_GB2312" w:eastAsia="仿宋_GB2312" w:cs="仿宋_GB2312"/>
          <w:sz w:val="32"/>
          <w:szCs w:val="32"/>
        </w:rPr>
        <w:t>非财政补助收入0元。</w:t>
      </w:r>
    </w:p>
    <w:p w14:paraId="51C51802">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部门决算</w:t>
      </w:r>
      <w:r>
        <w:rPr>
          <w:rFonts w:hint="eastAsia" w:ascii="仿宋_GB2312" w:hAnsi="仿宋_GB2312" w:eastAsia="仿宋_GB2312" w:cs="仿宋_GB2312"/>
          <w:sz w:val="32"/>
          <w:szCs w:val="32"/>
        </w:rPr>
        <w:t>支出为</w:t>
      </w:r>
      <w:r>
        <w:rPr>
          <w:rFonts w:hint="eastAsia" w:ascii="仿宋_GB2312" w:hAnsi="仿宋_GB2312" w:eastAsia="仿宋_GB2312" w:cs="仿宋_GB2312"/>
          <w:sz w:val="32"/>
          <w:lang w:val="en-US" w:eastAsia="zh-CN"/>
        </w:rPr>
        <w:t>123.06</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元。其中：行政支出：</w:t>
      </w:r>
      <w:r>
        <w:rPr>
          <w:rFonts w:hint="eastAsia" w:ascii="仿宋_GB2312" w:eastAsia="仿宋_GB2312"/>
          <w:sz w:val="32"/>
          <w:lang w:val="en-US" w:eastAsia="zh-CN"/>
        </w:rPr>
        <w:t>117.22</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包括人员经费105.79万元和日常工经费11.43万元；</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5.84万</w:t>
      </w:r>
      <w:r>
        <w:rPr>
          <w:rFonts w:hint="eastAsia" w:ascii="仿宋_GB2312" w:hAnsi="仿宋_GB2312" w:eastAsia="仿宋_GB2312" w:cs="仿宋_GB2312"/>
          <w:sz w:val="32"/>
          <w:szCs w:val="32"/>
        </w:rPr>
        <w:t>元。</w:t>
      </w:r>
    </w:p>
    <w:p w14:paraId="5A0CA76A">
      <w:pPr>
        <w:snapToGrid w:val="0"/>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3、2025年度</w:t>
      </w:r>
      <w:r>
        <w:rPr>
          <w:rFonts w:hint="eastAsia" w:ascii="仿宋_GB2312" w:hAnsi="仿宋_GB2312" w:eastAsia="仿宋_GB2312" w:cs="仿宋_GB2312"/>
          <w:sz w:val="32"/>
          <w:szCs w:val="32"/>
        </w:rPr>
        <w:t>资金结存情况：财政拨款结转结余0元，其中财政拨款结转（项目结转）0元，财政结余0元，非财政拨款收入0元。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26F91152">
      <w:pPr>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Cs/>
          <w:sz w:val="32"/>
          <w:szCs w:val="32"/>
          <w:lang w:val="en-US" w:eastAsia="zh-CN"/>
        </w:rPr>
        <w:t>2025年，以党的二十大精神为指导，紧紧</w:t>
      </w:r>
      <w:r>
        <w:rPr>
          <w:rFonts w:hint="eastAsia" w:ascii="仿宋_GB2312" w:hAnsi="仿宋_GB2312" w:eastAsia="仿宋_GB2312" w:cs="仿宋_GB2312"/>
          <w:bCs/>
          <w:sz w:val="32"/>
          <w:szCs w:val="32"/>
        </w:rPr>
        <w:t>围绕</w:t>
      </w:r>
      <w:r>
        <w:rPr>
          <w:rFonts w:hint="eastAsia" w:ascii="仿宋_GB2312" w:hAnsi="仿宋_GB2312" w:eastAsia="仿宋_GB2312" w:cs="仿宋_GB2312"/>
          <w:bCs/>
          <w:sz w:val="32"/>
          <w:szCs w:val="32"/>
          <w:lang w:val="en-US" w:eastAsia="zh-CN"/>
        </w:rPr>
        <w:t>区委区政府</w:t>
      </w:r>
      <w:r>
        <w:rPr>
          <w:rFonts w:hint="eastAsia" w:ascii="仿宋_GB2312" w:hAnsi="仿宋_GB2312" w:eastAsia="仿宋_GB2312" w:cs="仿宋_GB2312"/>
          <w:bCs/>
          <w:sz w:val="32"/>
          <w:szCs w:val="32"/>
        </w:rPr>
        <w:t>中心</w:t>
      </w:r>
      <w:r>
        <w:rPr>
          <w:rFonts w:hint="eastAsia" w:ascii="仿宋_GB2312" w:hAnsi="仿宋_GB2312" w:eastAsia="仿宋_GB2312" w:cs="仿宋_GB2312"/>
          <w:bCs/>
          <w:sz w:val="32"/>
          <w:szCs w:val="32"/>
          <w:lang w:val="en-US" w:eastAsia="zh-CN"/>
        </w:rPr>
        <w:t>工作</w:t>
      </w:r>
      <w:r>
        <w:rPr>
          <w:rFonts w:hint="eastAsia" w:ascii="仿宋_GB2312" w:hAnsi="仿宋_GB2312" w:eastAsia="仿宋_GB2312" w:cs="仿宋_GB2312"/>
          <w:bCs/>
          <w:sz w:val="32"/>
          <w:szCs w:val="32"/>
        </w:rPr>
        <w:t>、服务大局，依法履行职责，积极发挥党委政府在人道领域的助手和联系群众的桥梁纽带作用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将有限的财力用到促进我区红十字事业持续、协调、健康发展的关键环节</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“三救”</w:t>
      </w:r>
      <w:r>
        <w:rPr>
          <w:rFonts w:hint="eastAsia" w:ascii="仿宋_GB2312" w:hAnsi="仿宋_GB2312" w:eastAsia="仿宋_GB2312" w:cs="仿宋_GB2312"/>
          <w:sz w:val="32"/>
          <w:szCs w:val="32"/>
          <w:lang w:val="en-US" w:eastAsia="zh-CN"/>
        </w:rPr>
        <w:t>工作不断提质，为保障和改善民生发挥红十字的独特作用</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sz w:val="32"/>
          <w:szCs w:val="32"/>
        </w:rPr>
        <w:t>主动融入政府应急救援体系,提升备灾救灾和应急救援能力；</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把应急救护</w:t>
      </w:r>
      <w:r>
        <w:rPr>
          <w:rFonts w:hint="eastAsia" w:ascii="仿宋_GB2312" w:hAnsi="仿宋_GB2312" w:eastAsia="仿宋_GB2312" w:cs="仿宋_GB2312"/>
          <w:sz w:val="32"/>
          <w:szCs w:val="32"/>
          <w:lang w:val="en-US" w:eastAsia="zh-CN"/>
        </w:rPr>
        <w:t>宣传</w:t>
      </w:r>
      <w:r>
        <w:rPr>
          <w:rFonts w:hint="eastAsia" w:ascii="仿宋_GB2312" w:hAnsi="仿宋_GB2312" w:eastAsia="仿宋_GB2312" w:cs="仿宋_GB2312"/>
          <w:sz w:val="32"/>
          <w:szCs w:val="32"/>
        </w:rPr>
        <w:t>“五进”作为推进健康行动的重要抓手，不断扩大自救互救知识和技能的社会普及面；</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color w:val="000000"/>
          <w:sz w:val="32"/>
          <w:szCs w:val="32"/>
        </w:rPr>
        <w:t>开展</w:t>
      </w:r>
      <w:r>
        <w:rPr>
          <w:rFonts w:hint="eastAsia" w:ascii="仿宋_GB2312" w:hAnsi="仿宋_GB2312" w:eastAsia="仿宋_GB2312" w:cs="仿宋_GB2312"/>
          <w:color w:val="000000"/>
          <w:sz w:val="32"/>
          <w:szCs w:val="32"/>
          <w:lang w:val="en-US" w:eastAsia="zh-CN"/>
        </w:rPr>
        <w:t>人道</w:t>
      </w:r>
      <w:r>
        <w:rPr>
          <w:rFonts w:hint="eastAsia" w:ascii="仿宋_GB2312" w:hAnsi="仿宋_GB2312" w:eastAsia="仿宋_GB2312" w:cs="仿宋_GB2312"/>
          <w:color w:val="000000"/>
          <w:sz w:val="32"/>
          <w:szCs w:val="32"/>
        </w:rPr>
        <w:t>救助活动，积极募捐资金，对因灾致贫、因病致贫及生活极度贫困的家庭实施救助以及用于自然灾害和突发事件的救援。“三献”</w:t>
      </w:r>
      <w:r>
        <w:rPr>
          <w:rFonts w:hint="eastAsia" w:ascii="仿宋_GB2312" w:hAnsi="仿宋_GB2312" w:eastAsia="仿宋_GB2312" w:cs="仿宋_GB2312"/>
          <w:color w:val="000000"/>
          <w:sz w:val="32"/>
          <w:szCs w:val="32"/>
          <w:lang w:val="en-US" w:eastAsia="zh-CN"/>
        </w:rPr>
        <w:t>工作持续推进，充分发挥政府在人道主义领域的助手作用</w:t>
      </w:r>
      <w:r>
        <w:rPr>
          <w:rFonts w:hint="eastAsia" w:ascii="仿宋_GB2312" w:hAnsi="仿宋_GB2312" w:eastAsia="仿宋_GB2312" w:cs="仿宋_GB2312"/>
          <w:color w:val="000000"/>
          <w:sz w:val="32"/>
          <w:szCs w:val="32"/>
        </w:rPr>
        <w:t>：开展群众性的卫生救护培训和造血干细胞捐献宣传工作，参与无偿献血、艾滋病预防、遗体（器官）捐献等科学知识的宣传普及活动。在志愿服务、红十字青少年活动、人道法传播方面：</w:t>
      </w:r>
      <w:r>
        <w:rPr>
          <w:rFonts w:hint="eastAsia" w:ascii="仿宋_GB2312" w:hAnsi="仿宋_GB2312" w:eastAsia="仿宋_GB2312" w:cs="仿宋_GB2312"/>
          <w:color w:val="000000"/>
          <w:sz w:val="32"/>
          <w:szCs w:val="32"/>
          <w:lang w:val="en-US" w:eastAsia="zh-CN"/>
        </w:rPr>
        <w:t>一是</w:t>
      </w:r>
      <w:r>
        <w:rPr>
          <w:rFonts w:hint="eastAsia" w:ascii="仿宋_GB2312" w:hAnsi="仿宋_GB2312" w:eastAsia="仿宋_GB2312" w:cs="仿宋_GB2312"/>
          <w:color w:val="000000"/>
          <w:sz w:val="32"/>
          <w:szCs w:val="32"/>
        </w:rPr>
        <w:t>大力发展红十字志愿者，做好红十字志愿者登记造册工作，组织不同专业、不同领域的红十字志愿者服务队伍，开展富有特色的志愿服务活动</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二是加强人道传播，积极拓宽宣传渠道，广泛传播红十字会精神，举办红十字纪念日宣传活动，通过融媒体、宣传册等途径进一步扩大红十字会法传播范围，营造有利于红十字事业发展的舆论环境，扩大红十字会的影响力。</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6CE7F85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深入贯彻落实中共中央、国务院《关于全面实施预算绩效管理的意见》文件精神,强化预算支出责任，提高财政资金支出绩效，我会严格对照预算文本中制定的部门整体绩效目标，提早部署、分解任务、压实责任、严肃考评。按照《藁城区财政局关于开展2025年绩效自评工作的通知》要求，我会高度重视绩效自评工作，成立了绩效评估工作小组，单位主要负责人，分管财务负责人、主抓业务工作人员及财务人员组成自评小组，对2025年度红十字应急救护取证费项目</w:t>
      </w:r>
      <w:r>
        <w:rPr>
          <w:rFonts w:hint="eastAsia" w:ascii="仿宋_GB2312" w:hAnsi="仿宋_GB2312" w:eastAsia="仿宋_GB2312" w:cs="仿宋_GB2312"/>
          <w:sz w:val="32"/>
          <w:szCs w:val="32"/>
          <w:highlight w:val="none"/>
          <w:lang w:val="en-US" w:eastAsia="zh-CN"/>
        </w:rPr>
        <w:t>和应急救护大赛经费项目</w:t>
      </w:r>
      <w:r>
        <w:rPr>
          <w:rFonts w:hint="eastAsia" w:ascii="仿宋_GB2312" w:hAnsi="仿宋_GB2312" w:eastAsia="仿宋_GB2312" w:cs="仿宋_GB2312"/>
          <w:sz w:val="32"/>
          <w:szCs w:val="32"/>
          <w:highlight w:val="none"/>
          <w:lang w:eastAsia="zh-CN"/>
        </w:rPr>
        <w:t>财政支出的经济性、效率性及效益性进行重点评价，并针对评价内容做出分析及合理化建议。</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2CB182CE">
      <w:pPr>
        <w:adjustRightInd w:val="0"/>
        <w:snapToGrid w:val="0"/>
        <w:spacing w:line="62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一是绩效自评小组成员首先学习领会通知精神，掌握项目评价标准、评价方法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二是通过对收集、整理项目实施材料，财务提交的真实、准确各种报表，由项目负责人介绍项目预期绩效目标及具体实施取得的实际效果。三是评价小组成员集中检查、核实情况对应评审。</w:t>
      </w:r>
      <w:r>
        <w:rPr>
          <w:rFonts w:hint="eastAsia" w:ascii="仿宋_GB2312" w:hAnsi="仿宋_GB2312" w:eastAsia="仿宋_GB2312" w:cs="仿宋_GB2312"/>
          <w:sz w:val="32"/>
          <w:szCs w:val="32"/>
        </w:rPr>
        <w:t>在开展预算自评工作时，针对区红十字会的工作实际，</w:t>
      </w:r>
      <w:r>
        <w:rPr>
          <w:rFonts w:hint="eastAsia" w:ascii="仿宋_GB2312" w:hAnsi="仿宋_GB2312" w:eastAsia="仿宋_GB2312" w:cs="仿宋_GB2312"/>
          <w:sz w:val="32"/>
          <w:szCs w:val="32"/>
          <w:lang w:val="en-US" w:eastAsia="zh-CN"/>
        </w:rPr>
        <w:t>设计</w:t>
      </w:r>
      <w:r>
        <w:rPr>
          <w:rFonts w:hint="eastAsia" w:ascii="仿宋_GB2312" w:hAnsi="仿宋_GB2312" w:eastAsia="仿宋_GB2312" w:cs="仿宋_GB2312"/>
          <w:sz w:val="32"/>
          <w:szCs w:val="32"/>
        </w:rPr>
        <w:t>能够体现项目特点绩效评价指标体系。绩效指标权重根据本项目实际情况确定，总分设定为100分。产出指标为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数量、质量、时效、成本</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；预算执行率指标10分，包括预算资金使用到位100% 10分；效益指标</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经济效益、社会效益、生态效益、可持续影响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；满意度指标10分，包括群众满意数量占总数的比例10分。</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698DBE0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2025年，藁城区红十字会在区委区政府的正确领导下，围绕区委区政府中心工作，</w:t>
      </w:r>
      <w:r>
        <w:rPr>
          <w:rFonts w:hint="eastAsia" w:ascii="仿宋_GB2312" w:hAnsi="仿宋_GB2312" w:eastAsia="仿宋_GB2312" w:cs="仿宋_GB2312"/>
          <w:kern w:val="0"/>
          <w:sz w:val="32"/>
          <w:szCs w:val="32"/>
          <w:lang w:val="en-US" w:eastAsia="zh-CN"/>
        </w:rPr>
        <w:t>大力弘扬</w:t>
      </w:r>
      <w:r>
        <w:rPr>
          <w:rFonts w:hint="eastAsia" w:ascii="仿宋_GB2312" w:hAnsi="仿宋_GB2312" w:eastAsia="仿宋_GB2312" w:cs="仿宋_GB2312"/>
          <w:sz w:val="32"/>
          <w:szCs w:val="32"/>
          <w:lang w:val="en-US" w:eastAsia="zh-CN"/>
        </w:rPr>
        <w:t>“人道、博爱、奉献”的红十字精神，以当好党和政府在人道领域联系群众的桥梁和纽带为出发点和落脚点，扎实开展“三救三献”主要业务工作，全力以赴完成上级红会和区委政府交予的重点工作，推动全区红十字事业健康发展。</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524DC98B">
      <w:pPr>
        <w:bidi w:val="0"/>
        <w:ind w:firstLine="1280" w:firstLineChars="4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我会按照年度考核和绩效目标管理的通知要求，注重痕迹印证，强化跟踪问效，狠抓目标管理，力促核心业务高质量发展，有效推动核心业务提质提效，各项任务目标均圆满完成。</w:t>
      </w:r>
    </w:p>
    <w:p w14:paraId="5775F899">
      <w:pPr>
        <w:bidi w:val="0"/>
        <w:ind w:firstLine="964"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一是人道救助水平不断提升。</w:t>
      </w:r>
      <w:r>
        <w:rPr>
          <w:rFonts w:hint="eastAsia" w:ascii="仿宋_GB2312" w:hAnsi="仿宋_GB2312" w:eastAsia="仿宋_GB2312" w:cs="仿宋_GB2312"/>
          <w:sz w:val="32"/>
          <w:szCs w:val="32"/>
          <w:lang w:val="en-US" w:eastAsia="zh-CN"/>
        </w:rPr>
        <w:t>25年我会“博爱一日捐”共筹集捐款</w:t>
      </w:r>
      <w:r>
        <w:rPr>
          <w:rFonts w:hint="eastAsia" w:ascii="仿宋" w:hAnsi="仿宋" w:eastAsia="仿宋" w:cs="仿宋"/>
          <w:kern w:val="2"/>
          <w:sz w:val="32"/>
          <w:szCs w:val="32"/>
          <w:lang w:val="en-US" w:eastAsia="zh-CN" w:bidi="ar-SA"/>
        </w:rPr>
        <w:t>50.317万元，“5·8人道公益日”企业线下应急救护定向筹资4.45万元</w:t>
      </w:r>
      <w:r>
        <w:rPr>
          <w:rFonts w:hint="eastAsia" w:ascii="仿宋_GB2312" w:hAnsi="仿宋_GB2312" w:eastAsia="仿宋_GB2312" w:cs="仿宋_GB2312"/>
          <w:sz w:val="32"/>
          <w:szCs w:val="32"/>
          <w:lang w:val="en-US" w:eastAsia="zh-CN"/>
        </w:rPr>
        <w:t>；组织开展“博爱送万家”活动，筹资8.68万元购买物资慰问困难群众家庭546户；人道救助活动中，共困难群众59人，发放救助金19.45万元；助学活动中，救助家庭困难应届大专院校学生67人，发放助学金共计6.7万元；“天使圆梦”助学活动为5名困难家庭中应届女大学发放助学金0.5万元；</w:t>
      </w:r>
      <w:r>
        <w:rPr>
          <w:rFonts w:hint="eastAsia" w:ascii="仿宋" w:hAnsi="仿宋" w:eastAsia="仿宋" w:cs="仿宋"/>
          <w:color w:val="000000" w:themeColor="text1"/>
          <w:kern w:val="2"/>
          <w:sz w:val="32"/>
          <w:szCs w:val="32"/>
          <w:lang w:val="en-US" w:eastAsia="zh-CN" w:bidi="ar-SA"/>
          <w14:textFill>
            <w14:solidFill>
              <w14:schemeClr w14:val="tx1"/>
            </w14:solidFill>
          </w14:textFill>
        </w:rPr>
        <w:t>申报中国红基会“小天使基金”、“天使阳光基金”救助3人，共争取救助金8万元，申报省红十字会便民救助4人。</w:t>
      </w:r>
      <w:r>
        <w:rPr>
          <w:rFonts w:hint="eastAsia" w:ascii="仿宋_GB2312" w:hAnsi="仿宋_GB2312" w:eastAsia="仿宋_GB2312" w:cs="仿宋_GB2312"/>
          <w:b/>
          <w:bCs/>
          <w:sz w:val="32"/>
          <w:szCs w:val="32"/>
          <w:lang w:val="en-US" w:eastAsia="zh-CN"/>
        </w:rPr>
        <w:t>二是应急救护能力显著提升。</w:t>
      </w:r>
      <w:r>
        <w:rPr>
          <w:rFonts w:hint="eastAsia" w:ascii="仿宋" w:hAnsi="仿宋" w:eastAsia="仿宋" w:cs="仿宋"/>
          <w:kern w:val="2"/>
          <w:sz w:val="32"/>
          <w:szCs w:val="32"/>
          <w:lang w:val="en-US" w:eastAsia="zh-CN" w:bidi="ar-SA"/>
        </w:rPr>
        <w:t>开展应急救护进社区、进学校、进公园等活动，共开展“健康夜市”应急救护公益普及活动9场，学校应急救护普及培训4场，应急救护取证培训14场，共取证992人。今年5月获得石家庄市第四届红十字应急救护大赛团体三等奖。</w:t>
      </w:r>
      <w:r>
        <w:rPr>
          <w:rFonts w:hint="eastAsia" w:ascii="仿宋_GB2312" w:hAnsi="仿宋_GB2312" w:eastAsia="仿宋_GB2312" w:cs="仿宋_GB2312"/>
          <w:b/>
          <w:bCs/>
          <w:sz w:val="32"/>
          <w:szCs w:val="32"/>
          <w:lang w:val="en-US" w:eastAsia="zh-CN"/>
        </w:rPr>
        <w:t>三是无偿献血志愿服务质量显著提升。</w:t>
      </w:r>
      <w:r>
        <w:rPr>
          <w:rFonts w:hint="eastAsia" w:ascii="仿宋" w:hAnsi="仿宋" w:eastAsia="仿宋" w:cs="仿宋"/>
          <w:kern w:val="2"/>
          <w:sz w:val="32"/>
          <w:szCs w:val="32"/>
          <w:lang w:val="en-US" w:eastAsia="zh-CN" w:bidi="ar-SA"/>
        </w:rPr>
        <w:t>3月5日，区红十字会开展了“鲜花送雷锋”活动，为捐献造血干细胞志愿者和表现突出的志愿者送上了鲜花和绶带。区红十字会积极开展无偿献血宣传工作，成立了藁城区无偿献血志愿服务分队，无偿献血集中活动期间，各乡镇红十字基层组织志愿者为无偿献血爱心人士共提供24次全程志愿服务；成立了由爱心志愿者组成的红十字赈济救援队，并开展志愿服务活动；10月份我区成功捐献造血干细胞一例。</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41AD784D">
      <w:pPr>
        <w:widowControl w:val="0"/>
        <w:wordWrap/>
        <w:adjustRightInd w:val="0"/>
        <w:snapToGrid w:val="0"/>
        <w:spacing w:line="56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部门职责定位和各项工作履职情况进行综合评价</w:t>
      </w:r>
      <w:r>
        <w:rPr>
          <w:rFonts w:hint="eastAsia" w:ascii="仿宋_GB2312" w:hAnsi="仿宋_GB2312" w:eastAsia="仿宋_GB2312" w:cs="仿宋_GB2312"/>
          <w:sz w:val="32"/>
          <w:szCs w:val="32"/>
        </w:rPr>
        <w:t>，给出总得分</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得出综合绩效评价等级。</w:t>
      </w:r>
      <w:r>
        <w:rPr>
          <w:rFonts w:hint="eastAsia" w:ascii="仿宋_GB2312" w:hAnsi="仿宋_GB2312" w:eastAsia="仿宋_GB2312" w:cs="仿宋_GB2312"/>
          <w:sz w:val="32"/>
          <w:szCs w:val="32"/>
          <w:lang w:eastAsia="zh-CN"/>
        </w:rPr>
        <w:t>我部门整体支出</w:t>
      </w:r>
      <w:r>
        <w:rPr>
          <w:rFonts w:hint="eastAsia" w:ascii="仿宋_GB2312" w:hAnsi="仿宋_GB2312" w:eastAsia="仿宋_GB2312" w:cs="仿宋_GB2312"/>
          <w:sz w:val="32"/>
          <w:szCs w:val="32"/>
        </w:rPr>
        <w:t>综合绩效评价</w:t>
      </w:r>
      <w:r>
        <w:rPr>
          <w:rFonts w:hint="eastAsia" w:ascii="仿宋_GB2312" w:hAnsi="仿宋_GB2312" w:eastAsia="仿宋_GB2312" w:cs="仿宋_GB2312"/>
          <w:sz w:val="32"/>
          <w:szCs w:val="32"/>
          <w:lang w:eastAsia="zh-CN"/>
        </w:rPr>
        <w:t>平均得分</w:t>
      </w:r>
      <w:r>
        <w:rPr>
          <w:rFonts w:hint="eastAsia" w:ascii="仿宋_GB2312" w:hAnsi="仿宋_GB2312" w:eastAsia="仿宋_GB2312" w:cs="仿宋_GB2312"/>
          <w:sz w:val="32"/>
          <w:szCs w:val="32"/>
          <w:lang w:val="en-US" w:eastAsia="zh-CN"/>
        </w:rPr>
        <w:t>98分，</w:t>
      </w:r>
      <w:r>
        <w:rPr>
          <w:rFonts w:hint="eastAsia" w:ascii="仿宋_GB2312" w:hAnsi="仿宋_GB2312" w:eastAsia="仿宋_GB2312" w:cs="仿宋_GB2312"/>
          <w:sz w:val="32"/>
          <w:szCs w:val="32"/>
        </w:rPr>
        <w:t>绩效评价等级</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优秀。</w:t>
      </w:r>
    </w:p>
    <w:tbl>
      <w:tblPr>
        <w:tblStyle w:val="8"/>
        <w:tblpPr w:leftFromText="180" w:rightFromText="180" w:vertAnchor="text" w:horzAnchor="page" w:tblpX="1635" w:tblpY="855"/>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5205E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053C2220">
            <w:pPr>
              <w:snapToGrid w:val="0"/>
              <w:spacing w:line="360" w:lineRule="auto"/>
              <w:ind w:firstLine="630" w:firstLineChars="300"/>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项目名称</w:t>
            </w:r>
          </w:p>
        </w:tc>
        <w:tc>
          <w:tcPr>
            <w:tcW w:w="1395" w:type="dxa"/>
          </w:tcPr>
          <w:p w14:paraId="1DDFF9FF">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产出</w:t>
            </w:r>
            <w:r>
              <w:rPr>
                <w:rFonts w:hint="eastAsia" w:ascii="仿宋_GB2312" w:hAnsi="仿宋_GB2312" w:eastAsia="仿宋_GB2312" w:cs="仿宋_GB2312"/>
                <w:sz w:val="21"/>
                <w:szCs w:val="21"/>
                <w:highlight w:val="none"/>
              </w:rPr>
              <w:t>指标</w:t>
            </w:r>
            <w:r>
              <w:rPr>
                <w:rFonts w:hint="eastAsia" w:ascii="仿宋_GB2312" w:hAnsi="仿宋_GB2312" w:eastAsia="仿宋_GB2312" w:cs="仿宋_GB2312"/>
                <w:sz w:val="21"/>
                <w:szCs w:val="21"/>
                <w:highlight w:val="none"/>
                <w:lang w:eastAsia="zh-CN"/>
              </w:rPr>
              <w:t>完成得分情况</w:t>
            </w:r>
          </w:p>
        </w:tc>
        <w:tc>
          <w:tcPr>
            <w:tcW w:w="1335" w:type="dxa"/>
          </w:tcPr>
          <w:p w14:paraId="5E7657BD">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预算执行率指标完成得分情况</w:t>
            </w:r>
          </w:p>
        </w:tc>
        <w:tc>
          <w:tcPr>
            <w:tcW w:w="1560" w:type="dxa"/>
          </w:tcPr>
          <w:p w14:paraId="7F0F2B42">
            <w:pPr>
              <w:snapToGrid w:val="0"/>
              <w:spacing w:line="360" w:lineRule="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eastAsia="zh-CN"/>
              </w:rPr>
              <w:t>效益指标完成得分情况</w:t>
            </w:r>
          </w:p>
        </w:tc>
        <w:tc>
          <w:tcPr>
            <w:tcW w:w="1485" w:type="dxa"/>
          </w:tcPr>
          <w:p w14:paraId="1B916FB1">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满意度指标完成得分情况</w:t>
            </w:r>
          </w:p>
        </w:tc>
        <w:tc>
          <w:tcPr>
            <w:tcW w:w="900" w:type="dxa"/>
          </w:tcPr>
          <w:p w14:paraId="01686F6A">
            <w:pPr>
              <w:snapToGrid w:val="0"/>
              <w:spacing w:line="360" w:lineRule="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eastAsia="zh-CN"/>
              </w:rPr>
              <w:t>自评得分</w:t>
            </w:r>
          </w:p>
        </w:tc>
      </w:tr>
      <w:tr w14:paraId="699C4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6BA8C34D">
            <w:pPr>
              <w:snapToGrid w:val="0"/>
              <w:spacing w:line="360" w:lineRule="auto"/>
              <w:jc w:val="center"/>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lang w:val="en-US" w:eastAsia="zh-CN"/>
              </w:rPr>
              <w:t>红十字应急救护取证经费</w:t>
            </w:r>
          </w:p>
        </w:tc>
        <w:tc>
          <w:tcPr>
            <w:tcW w:w="1395" w:type="dxa"/>
            <w:vAlign w:val="center"/>
          </w:tcPr>
          <w:p w14:paraId="45AB1D80">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50</w:t>
            </w:r>
          </w:p>
        </w:tc>
        <w:tc>
          <w:tcPr>
            <w:tcW w:w="1335" w:type="dxa"/>
            <w:vAlign w:val="center"/>
          </w:tcPr>
          <w:p w14:paraId="6D4C1380">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1560" w:type="dxa"/>
            <w:vAlign w:val="center"/>
          </w:tcPr>
          <w:p w14:paraId="07C16A11">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28</w:t>
            </w:r>
          </w:p>
        </w:tc>
        <w:tc>
          <w:tcPr>
            <w:tcW w:w="1485" w:type="dxa"/>
            <w:vAlign w:val="center"/>
          </w:tcPr>
          <w:p w14:paraId="41D315B9">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900" w:type="dxa"/>
            <w:vAlign w:val="center"/>
          </w:tcPr>
          <w:p w14:paraId="75526C16">
            <w:pPr>
              <w:snapToGrid w:val="0"/>
              <w:spacing w:line="360" w:lineRule="auto"/>
              <w:jc w:val="center"/>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98</w:t>
            </w:r>
          </w:p>
        </w:tc>
      </w:tr>
      <w:tr w14:paraId="20639E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2FCD6CCA">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红十字应急救护大赛经费</w:t>
            </w:r>
          </w:p>
        </w:tc>
        <w:tc>
          <w:tcPr>
            <w:tcW w:w="1395" w:type="dxa"/>
            <w:vAlign w:val="center"/>
          </w:tcPr>
          <w:p w14:paraId="0D317A17">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50</w:t>
            </w:r>
          </w:p>
        </w:tc>
        <w:tc>
          <w:tcPr>
            <w:tcW w:w="1335" w:type="dxa"/>
            <w:vAlign w:val="center"/>
          </w:tcPr>
          <w:p w14:paraId="656D49BD">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1560" w:type="dxa"/>
            <w:vAlign w:val="center"/>
          </w:tcPr>
          <w:p w14:paraId="48B6CD27">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28</w:t>
            </w:r>
          </w:p>
        </w:tc>
        <w:tc>
          <w:tcPr>
            <w:tcW w:w="1485" w:type="dxa"/>
            <w:vAlign w:val="center"/>
          </w:tcPr>
          <w:p w14:paraId="14273AD8">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900" w:type="dxa"/>
            <w:vAlign w:val="center"/>
          </w:tcPr>
          <w:p w14:paraId="0CFB6F47">
            <w:pPr>
              <w:snapToGrid w:val="0"/>
              <w:spacing w:line="360" w:lineRule="auto"/>
              <w:jc w:val="center"/>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98</w:t>
            </w:r>
          </w:p>
        </w:tc>
      </w:tr>
    </w:tbl>
    <w:p w14:paraId="4EFD4886">
      <w:pPr>
        <w:pStyle w:val="2"/>
        <w:rPr>
          <w:rFonts w:hint="eastAsia"/>
          <w:lang w:val="en-US" w:eastAsia="zh-CN"/>
        </w:rPr>
      </w:pP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bookmarkStart w:id="0" w:name="_GoBack"/>
      <w:bookmarkEnd w:id="0"/>
    </w:p>
    <w:p w14:paraId="6F74C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我部门2025年度绩效目标全部按时完成，在绩效评价工作过程中，我部门预算绩效管理评价工作小组发现，项目存在绩效指标设定比较简单、不够全面、不够细化的问题。</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276A243B">
      <w:pPr>
        <w:numPr>
          <w:ilvl w:val="0"/>
          <w:numId w:val="0"/>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1、加强项目绩效认识。提高机关及分管人员对绩效管理及预算资金使用效益的认识，把预算资金是否发挥使用效益与各岗位是否履职尽责相结合。</w:t>
      </w:r>
    </w:p>
    <w:p w14:paraId="3426EE2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2、加强预算绩效管理。进一步加强机关预算资金管理，减少预算资金使用的随意性，对预算的事前、事中、事后进行全过程控制，加大对预算编制与执行的监督管理力度，提高预算资金使用效率。</w:t>
      </w:r>
    </w:p>
    <w:p w14:paraId="3751FA6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3、加强项目实施监控。加强对项目实施进度的实时监控， 对项目实施过程中进度异常、实施范围调整等情况及时按照流程报批。</w:t>
      </w:r>
    </w:p>
    <w:p w14:paraId="0DC5CF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EA0109C-C1C6-42D7-AD3A-EF25B1166CAD}"/>
  </w:font>
  <w:font w:name="黑体">
    <w:panose1 w:val="02010609060101010101"/>
    <w:charset w:val="86"/>
    <w:family w:val="auto"/>
    <w:pitch w:val="default"/>
    <w:sig w:usb0="800002BF" w:usb1="38CF7CFA" w:usb2="00000016" w:usb3="00000000" w:csb0="00040001" w:csb1="00000000"/>
    <w:embedRegular r:id="rId2" w:fontKey="{4266503C-B2A8-4D81-8587-E5BFA30184B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3" w:fontKey="{1C13CEB0-AB15-4A8A-81FD-036A5705D31D}"/>
  </w:font>
  <w:font w:name="方正小标宋简体">
    <w:panose1 w:val="03000509000000000000"/>
    <w:charset w:val="86"/>
    <w:family w:val="auto"/>
    <w:pitch w:val="default"/>
    <w:sig w:usb0="00000001" w:usb1="080E0000" w:usb2="00000000" w:usb3="00000000" w:csb0="00040000" w:csb1="00000000"/>
    <w:embedRegular r:id="rId4" w:fontKey="{C47EADE9-EA02-4155-A123-83B84F19AFB6}"/>
  </w:font>
  <w:font w:name="方正小标宋_GBK">
    <w:altName w:val="Arial Unicode MS"/>
    <w:panose1 w:val="02000000000000000000"/>
    <w:charset w:val="86"/>
    <w:family w:val="auto"/>
    <w:pitch w:val="default"/>
    <w:sig w:usb0="00000000" w:usb1="00000000" w:usb2="00000000" w:usb3="00000000" w:csb0="00040000" w:csb1="00000000"/>
    <w:embedRegular r:id="rId5" w:fontKey="{FBBAC7AF-62FB-42B5-ABE6-1E23E5C2021B}"/>
  </w:font>
  <w:font w:name="Arial Unicode MS">
    <w:panose1 w:val="020B0604020202020204"/>
    <w:charset w:val="86"/>
    <w:family w:val="auto"/>
    <w:pitch w:val="default"/>
    <w:sig w:usb0="FFFFFFFF" w:usb1="E9FFFFFF" w:usb2="0000003F" w:usb3="00000000" w:csb0="603F01FF" w:csb1="FFFF0000"/>
  </w:font>
  <w:font w:name="楷体_GB2312">
    <w:panose1 w:val="02010609030101010101"/>
    <w:charset w:val="86"/>
    <w:family w:val="auto"/>
    <w:pitch w:val="default"/>
    <w:sig w:usb0="00000001" w:usb1="080E0000" w:usb2="00000000" w:usb3="00000000" w:csb0="00040000" w:csb1="00000000"/>
    <w:embedRegular r:id="rId6" w:fontKey="{D6D9C9E1-2EB2-4E6A-AAD2-9ED13BA88BB2}"/>
  </w:font>
  <w:font w:name="楷体">
    <w:panose1 w:val="02010609060101010101"/>
    <w:charset w:val="86"/>
    <w:family w:val="modern"/>
    <w:pitch w:val="default"/>
    <w:sig w:usb0="800002BF" w:usb1="38CF7CFA" w:usb2="00000016" w:usb3="00000000" w:csb0="00040001" w:csb1="00000000"/>
    <w:embedRegular r:id="rId7" w:fontKey="{6B68044B-2CB3-4B1B-AC56-8A2BFE83114D}"/>
  </w:font>
  <w:font w:name="仿宋">
    <w:panose1 w:val="02010609060101010101"/>
    <w:charset w:val="86"/>
    <w:family w:val="auto"/>
    <w:pitch w:val="default"/>
    <w:sig w:usb0="800002BF" w:usb1="38CF7CFA" w:usb2="00000016" w:usb3="00000000" w:csb0="00040001" w:csb1="00000000"/>
    <w:embedRegular r:id="rId8" w:fontKey="{7D95CFB4-2D4C-4685-BB45-15CD3E4FF2E4}"/>
  </w:font>
  <w:font w:name="国标宋体">
    <w:altName w:val="宋体"/>
    <w:panose1 w:val="02000500000000000000"/>
    <w:charset w:val="86"/>
    <w:family w:val="auto"/>
    <w:pitch w:val="default"/>
    <w:sig w:usb0="00000000" w:usb1="00000000" w:usb2="00000000" w:usb3="00000000" w:csb0="00060007" w:csb1="00000000"/>
    <w:embedRegular r:id="rId9" w:fontKey="{1759FC36-AF11-4CDB-BA59-A095ACA60FE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6"/>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6"/>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81F6BCE"/>
    <w:rsid w:val="088D28C3"/>
    <w:rsid w:val="134F6B82"/>
    <w:rsid w:val="13955CCA"/>
    <w:rsid w:val="1C442EA1"/>
    <w:rsid w:val="27EF5A03"/>
    <w:rsid w:val="2BE056C5"/>
    <w:rsid w:val="2FE353D3"/>
    <w:rsid w:val="3DDE37D0"/>
    <w:rsid w:val="3E3D0FF4"/>
    <w:rsid w:val="3FFFD1B0"/>
    <w:rsid w:val="4B7A0A05"/>
    <w:rsid w:val="5366C1BB"/>
    <w:rsid w:val="58B8456C"/>
    <w:rsid w:val="5CFEBA53"/>
    <w:rsid w:val="5E2FC5CB"/>
    <w:rsid w:val="67F39597"/>
    <w:rsid w:val="69206851"/>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0">
    <w:name w:val="heading 1 Char"/>
    <w:basedOn w:val="9"/>
    <w:link w:val="3"/>
    <w:qFormat/>
    <w:uiPriority w:val="0"/>
    <w:rPr>
      <w:rFonts w:ascii="Times New Roman" w:hAnsi="Times New Roman" w:eastAsia="宋体" w:cs="Times New Roman"/>
      <w:b/>
      <w:bCs/>
      <w:kern w:val="44"/>
      <w:sz w:val="44"/>
      <w:szCs w:val="44"/>
      <w:lang w:val="en-US" w:eastAsia="zh-CN" w:bidi="ar-SA"/>
    </w:rPr>
  </w:style>
  <w:style w:type="character" w:customStyle="1" w:styleId="11">
    <w:name w:val="heading 2 Char"/>
    <w:basedOn w:val="9"/>
    <w:link w:val="4"/>
    <w:qFormat/>
    <w:uiPriority w:val="0"/>
    <w:rPr>
      <w:rFonts w:ascii="Times New Roman" w:hAnsi="Times New Roman" w:eastAsia="黑体" w:cs="Times New Roman"/>
      <w:b/>
      <w:bCs/>
      <w:kern w:val="2"/>
      <w:sz w:val="32"/>
      <w:szCs w:val="32"/>
      <w:lang w:val="en-US" w:eastAsia="zh-CN" w:bidi="ar-SA"/>
    </w:rPr>
  </w:style>
  <w:style w:type="character" w:customStyle="1" w:styleId="12">
    <w:name w:val="heading 3 Char"/>
    <w:basedOn w:val="9"/>
    <w:link w:val="5"/>
    <w:qFormat/>
    <w:uiPriority w:val="0"/>
    <w:rPr>
      <w:rFonts w:ascii="Times New Roman" w:hAnsi="Times New Roman" w:eastAsia="宋体" w:cs="Times New Roman"/>
      <w:b/>
      <w:bCs/>
      <w:kern w:val="2"/>
      <w:sz w:val="32"/>
      <w:szCs w:val="32"/>
      <w:lang w:val="en-US" w:eastAsia="zh-CN" w:bidi="ar-SA"/>
    </w:rPr>
  </w:style>
  <w:style w:type="paragraph" w:customStyle="1" w:styleId="13">
    <w:name w:val="p0"/>
    <w:basedOn w:val="1"/>
    <w:autoRedefine/>
    <w:qFormat/>
    <w:uiPriority w:val="0"/>
    <w:pPr>
      <w:widowControl/>
    </w:pPr>
    <w:rPr>
      <w:rFonts w:hint="eastAsia"/>
    </w:rPr>
  </w:style>
  <w:style w:type="paragraph" w:customStyle="1" w:styleId="14">
    <w:name w:val="p"/>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7</Pages>
  <Words>3125</Words>
  <Characters>3259</Characters>
  <Lines>0</Lines>
  <Paragraphs>31</Paragraphs>
  <TotalTime>32</TotalTime>
  <ScaleCrop>false</ScaleCrop>
  <LinksUpToDate>false</LinksUpToDate>
  <CharactersWithSpaces>3266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夏天</cp:lastModifiedBy>
  <cp:lastPrinted>2021-02-25T13:43:00Z</cp:lastPrinted>
  <dcterms:modified xsi:type="dcterms:W3CDTF">2026-04-17T02:26:23Z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28C64EFCB758481798A31117B3E7B5E3</vt:lpwstr>
  </property>
  <property fmtid="{D5CDD505-2E9C-101B-9397-08002B2CF9AE}" pid="4" name="KSOTemplateDocerSaveRecord">
    <vt:lpwstr>eyJoZGlkIjoiMWM1NDVlMmY0N2EwNTViNWIwNzM5YzU4YTA2ZmM1MDciLCJ1c2VySWQiOiIxMTY3MjgwNTc4In0=</vt:lpwstr>
  </property>
</Properties>
</file>