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B0CE8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75F4075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6D8A592D">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藁城区投促局</w:t>
      </w:r>
      <w:r>
        <w:rPr>
          <w:rFonts w:hint="eastAsia" w:ascii="方正小标宋简体" w:hAnsi="方正小标宋简体" w:eastAsia="方正小标宋简体" w:cs="方正小标宋简体"/>
          <w:b w:val="0"/>
          <w:bCs w:val="0"/>
          <w:sz w:val="44"/>
          <w:szCs w:val="44"/>
        </w:rPr>
        <w:t>部门</w:t>
      </w:r>
    </w:p>
    <w:p w14:paraId="7D59C28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年度整体支出绩效自评工作报告</w:t>
      </w:r>
    </w:p>
    <w:p w14:paraId="6D77A4AD">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p>
    <w:p w14:paraId="0EB3DA8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w:t>
      </w:r>
      <w:r>
        <w:rPr>
          <w:rFonts w:hint="eastAsia" w:ascii="仿宋_GB2312" w:hAnsi="仿宋_GB2312" w:eastAsia="仿宋_GB2312" w:cs="仿宋_GB2312"/>
          <w:sz w:val="32"/>
          <w:szCs w:val="32"/>
          <w:highlight w:val="none"/>
          <w:lang w:val="en-US" w:eastAsia="zh-CN"/>
        </w:rPr>
        <w:t>投促局</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543B6DA7">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FBA23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BF00C23">
      <w:pPr>
        <w:pStyle w:val="11"/>
        <w:numPr>
          <w:ilvl w:val="0"/>
          <w:numId w:val="1"/>
        </w:numPr>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部门基本职责情况</w:t>
      </w:r>
    </w:p>
    <w:p w14:paraId="211AA2F6">
      <w:pPr>
        <w:pStyle w:val="5"/>
        <w:spacing w:before="0" w:beforeAutospacing="0" w:after="0" w:afterAutospacing="0" w:line="56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区投资促进局主要职责：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w:t>
      </w:r>
    </w:p>
    <w:p w14:paraId="2DB52B80">
      <w:pPr>
        <w:pStyle w:val="11"/>
        <w:numPr>
          <w:ilvl w:val="0"/>
          <w:numId w:val="1"/>
        </w:numPr>
        <w:ind w:left="0" w:leftChars="0" w:firstLine="960" w:firstLineChars="3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部门组织机构及人员情况</w:t>
      </w:r>
    </w:p>
    <w:p w14:paraId="72DA529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藁城区投促局规格为正科级，1个区投促局本级单位，一级预算单位，一个下属单位为藁城区投资促进服务中心。领导职数1正2副，核定行政编制10名。设内设机构3个，办公室、经济技术协作与外国投资管理股、投资促进股，核定股级领导职数3名。单位性质为行政机关，资金保障形式为财政拨款。下属事业单位藁城区投资促进服务中心，规格股级，核定全额事业编制15名，设主任1名，副主任1名。</w:t>
      </w:r>
    </w:p>
    <w:p w14:paraId="3745BD8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年末总人19人，行政编制9人，事业编制10人。</w:t>
      </w:r>
    </w:p>
    <w:p w14:paraId="0D5BD1D3">
      <w:pPr>
        <w:pStyle w:val="2"/>
        <w:numPr>
          <w:ilvl w:val="0"/>
          <w:numId w:val="1"/>
        </w:numPr>
        <w:ind w:left="0" w:leftChars="0" w:firstLine="960" w:firstLineChars="3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部门资产情况</w:t>
      </w:r>
    </w:p>
    <w:p w14:paraId="286D2331">
      <w:pPr>
        <w:pStyle w:val="2"/>
        <w:numPr>
          <w:ilvl w:val="0"/>
          <w:numId w:val="0"/>
        </w:numPr>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截止202</w:t>
      </w:r>
      <w:r>
        <w:rPr>
          <w:rFonts w:hint="eastAsia" w:cs="仿宋_GB2312"/>
          <w:kern w:val="2"/>
          <w:sz w:val="32"/>
          <w:szCs w:val="32"/>
          <w:highlight w:val="none"/>
          <w:lang w:val="en-US" w:eastAsia="zh-CN" w:bidi="ar-SA"/>
        </w:rPr>
        <w:t>5</w:t>
      </w:r>
      <w:r>
        <w:rPr>
          <w:rFonts w:hint="eastAsia" w:ascii="仿宋_GB2312" w:hAnsi="仿宋_GB2312" w:eastAsia="仿宋_GB2312" w:cs="仿宋_GB2312"/>
          <w:kern w:val="2"/>
          <w:sz w:val="32"/>
          <w:szCs w:val="32"/>
          <w:highlight w:val="none"/>
          <w:lang w:val="en-US" w:eastAsia="zh-CN" w:bidi="ar-SA"/>
        </w:rPr>
        <w:t>年12月31日，</w:t>
      </w:r>
      <w:r>
        <w:rPr>
          <w:rFonts w:hint="eastAsia" w:ascii="仿宋_GB2312" w:eastAsia="仿宋_GB2312"/>
          <w:color w:val="auto"/>
          <w:sz w:val="32"/>
          <w:szCs w:val="32"/>
          <w:lang w:eastAsia="zh-CN"/>
        </w:rPr>
        <w:t>2025</w:t>
      </w:r>
      <w:r>
        <w:rPr>
          <w:rFonts w:hint="eastAsia" w:ascii="仿宋_GB2312" w:eastAsia="仿宋_GB2312"/>
          <w:color w:val="auto"/>
          <w:sz w:val="32"/>
          <w:szCs w:val="32"/>
        </w:rPr>
        <w:t>年末资产</w:t>
      </w:r>
      <w:r>
        <w:rPr>
          <w:rFonts w:hint="eastAsia" w:ascii="仿宋_GB2312" w:eastAsia="仿宋_GB2312"/>
          <w:color w:val="auto"/>
          <w:sz w:val="32"/>
          <w:szCs w:val="32"/>
          <w:lang w:val="en-US" w:eastAsia="zh-CN"/>
        </w:rPr>
        <w:t>28.4392</w:t>
      </w:r>
      <w:r>
        <w:rPr>
          <w:rFonts w:hint="eastAsia" w:ascii="仿宋_GB2312" w:eastAsia="仿宋_GB2312"/>
          <w:color w:val="auto"/>
          <w:sz w:val="32"/>
          <w:szCs w:val="32"/>
        </w:rPr>
        <w:t>万元。其中：固定资产</w:t>
      </w:r>
      <w:r>
        <w:rPr>
          <w:rFonts w:hint="eastAsia" w:ascii="仿宋_GB2312" w:eastAsia="仿宋_GB2312"/>
          <w:color w:val="auto"/>
          <w:sz w:val="32"/>
          <w:szCs w:val="32"/>
          <w:lang w:val="en-US" w:eastAsia="zh-CN"/>
        </w:rPr>
        <w:t>28.4392</w:t>
      </w:r>
      <w:r>
        <w:rPr>
          <w:rFonts w:hint="eastAsia" w:ascii="仿宋_GB2312" w:eastAsia="仿宋_GB2312"/>
          <w:color w:val="auto"/>
          <w:sz w:val="32"/>
          <w:szCs w:val="32"/>
        </w:rPr>
        <w:t>万元。</w:t>
      </w:r>
      <w:r>
        <w:rPr>
          <w:rFonts w:hint="eastAsia" w:ascii="仿宋_GB2312" w:eastAsia="仿宋_GB2312"/>
          <w:color w:val="auto"/>
          <w:sz w:val="32"/>
          <w:szCs w:val="32"/>
          <w:lang w:val="en-US" w:eastAsia="zh-CN"/>
        </w:rPr>
        <w:t>本年累计折旧11.1680万元</w:t>
      </w:r>
      <w:r>
        <w:rPr>
          <w:rFonts w:hint="eastAsia" w:ascii="仿宋_GB2312" w:hAnsi="仿宋_GB2312" w:eastAsia="仿宋_GB2312" w:cs="仿宋_GB2312"/>
          <w:kern w:val="2"/>
          <w:sz w:val="32"/>
          <w:szCs w:val="32"/>
          <w:highlight w:val="none"/>
          <w:lang w:val="en-US" w:eastAsia="zh-CN" w:bidi="ar-SA"/>
        </w:rPr>
        <w:t>。</w:t>
      </w:r>
    </w:p>
    <w:p w14:paraId="39AA793E">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lang w:val="en-US" w:eastAsia="zh-CN"/>
        </w:rPr>
      </w:pPr>
      <w:r>
        <w:rPr>
          <w:rFonts w:hint="eastAsia" w:ascii="仿宋_GB2312" w:hAnsi="仿宋_GB2312" w:eastAsia="仿宋_GB2312" w:cs="仿宋_GB2312"/>
          <w:kern w:val="2"/>
          <w:sz w:val="32"/>
          <w:szCs w:val="32"/>
          <w:highlight w:val="none"/>
          <w:lang w:val="en-US" w:eastAsia="zh-CN" w:bidi="ar-SA"/>
        </w:rPr>
        <w:t>部门收支预决算情况</w:t>
      </w:r>
    </w:p>
    <w:p w14:paraId="6C55B2E4">
      <w:pPr>
        <w:snapToGrid w:val="0"/>
        <w:spacing w:line="520" w:lineRule="exact"/>
        <w:ind w:firstLine="640" w:firstLineChars="200"/>
        <w:rPr>
          <w:rFonts w:ascii="仿宋_GB2312" w:hAnsi="仿宋" w:eastAsia="仿宋_GB2312"/>
          <w:color w:val="auto"/>
          <w:sz w:val="32"/>
          <w:szCs w:val="32"/>
        </w:rPr>
      </w:pPr>
      <w:r>
        <w:rPr>
          <w:rFonts w:hint="eastAsia" w:ascii="仿宋_GB2312" w:eastAsia="仿宋_GB2312"/>
          <w:color w:val="auto"/>
          <w:sz w:val="32"/>
          <w:szCs w:val="32"/>
          <w:lang w:eastAsia="zh-CN"/>
        </w:rPr>
        <w:t>2025</w:t>
      </w:r>
      <w:r>
        <w:rPr>
          <w:rFonts w:hint="eastAsia" w:ascii="仿宋_GB2312" w:eastAsia="仿宋_GB2312"/>
          <w:color w:val="auto"/>
          <w:sz w:val="32"/>
          <w:szCs w:val="32"/>
        </w:rPr>
        <w:t>年本</w:t>
      </w:r>
      <w:r>
        <w:rPr>
          <w:rFonts w:hint="eastAsia" w:ascii="仿宋_GB2312" w:eastAsia="仿宋_GB2312"/>
          <w:color w:val="auto"/>
          <w:sz w:val="32"/>
          <w:szCs w:val="32"/>
          <w:lang w:val="en-US" w:eastAsia="zh-CN"/>
        </w:rPr>
        <w:t>部门</w:t>
      </w:r>
      <w:r>
        <w:rPr>
          <w:rFonts w:hint="eastAsia" w:ascii="仿宋_GB2312" w:eastAsia="仿宋_GB2312"/>
          <w:color w:val="auto"/>
          <w:sz w:val="32"/>
          <w:szCs w:val="32"/>
        </w:rPr>
        <w:t>共收入经费</w:t>
      </w:r>
      <w:r>
        <w:rPr>
          <w:rFonts w:hint="eastAsia" w:ascii="仿宋_GB2312" w:hAnsi="仿宋" w:eastAsia="仿宋_GB2312" w:cs="Times New Roman"/>
          <w:color w:val="auto"/>
          <w:kern w:val="2"/>
          <w:sz w:val="32"/>
          <w:szCs w:val="32"/>
          <w:lang w:val="en-US" w:eastAsia="zh-CN" w:bidi="ar-SA"/>
        </w:rPr>
        <w:t>312.85</w:t>
      </w:r>
      <w:r>
        <w:rPr>
          <w:rFonts w:hint="eastAsia" w:ascii="仿宋_GB2312" w:eastAsia="仿宋_GB2312"/>
          <w:color w:val="auto"/>
          <w:sz w:val="32"/>
          <w:szCs w:val="32"/>
        </w:rPr>
        <w:t>万元，其中人员经费收入</w:t>
      </w:r>
      <w:r>
        <w:rPr>
          <w:rFonts w:hint="eastAsia" w:ascii="仿宋_GB2312" w:hAnsi="仿宋" w:eastAsia="仿宋_GB2312" w:cs="Times New Roman"/>
          <w:color w:val="auto"/>
          <w:kern w:val="2"/>
          <w:sz w:val="32"/>
          <w:szCs w:val="32"/>
          <w:lang w:val="en-US" w:eastAsia="zh-CN" w:bidi="ar-SA"/>
        </w:rPr>
        <w:t>260.78</w:t>
      </w:r>
      <w:r>
        <w:rPr>
          <w:rFonts w:hint="eastAsia" w:ascii="仿宋_GB2312" w:eastAsia="仿宋_GB2312"/>
          <w:color w:val="auto"/>
          <w:sz w:val="32"/>
          <w:szCs w:val="32"/>
        </w:rPr>
        <w:t>万元，日常公用经费收入</w:t>
      </w:r>
      <w:r>
        <w:rPr>
          <w:rFonts w:hint="eastAsia" w:ascii="仿宋_GB2312" w:hAnsi="仿宋" w:eastAsia="仿宋_GB2312" w:cs="Times New Roman"/>
          <w:color w:val="auto"/>
          <w:kern w:val="2"/>
          <w:sz w:val="32"/>
          <w:szCs w:val="32"/>
          <w:lang w:val="en-US" w:eastAsia="zh-CN" w:bidi="ar-SA"/>
        </w:rPr>
        <w:t>20.26</w:t>
      </w:r>
      <w:r>
        <w:rPr>
          <w:rFonts w:hint="eastAsia" w:ascii="仿宋_GB2312" w:eastAsia="仿宋_GB2312"/>
          <w:color w:val="auto"/>
          <w:sz w:val="32"/>
          <w:szCs w:val="32"/>
        </w:rPr>
        <w:t>万元，项目经费</w:t>
      </w:r>
      <w:r>
        <w:rPr>
          <w:rFonts w:hint="eastAsia" w:ascii="仿宋_GB2312" w:eastAsia="仿宋_GB2312"/>
          <w:color w:val="auto"/>
          <w:sz w:val="32"/>
          <w:szCs w:val="32"/>
          <w:lang w:val="en-US" w:eastAsia="zh-CN"/>
        </w:rPr>
        <w:t>31.81</w:t>
      </w:r>
      <w:r>
        <w:rPr>
          <w:rFonts w:hint="eastAsia" w:ascii="仿宋_GB2312" w:eastAsia="仿宋_GB2312"/>
          <w:color w:val="auto"/>
          <w:sz w:val="32"/>
          <w:szCs w:val="32"/>
        </w:rPr>
        <w:t>万元。</w:t>
      </w:r>
      <w:r>
        <w:rPr>
          <w:rFonts w:hint="eastAsia" w:ascii="仿宋_GB2312" w:eastAsia="仿宋_GB2312"/>
          <w:color w:val="auto"/>
          <w:sz w:val="32"/>
          <w:szCs w:val="32"/>
          <w:lang w:eastAsia="zh-CN"/>
        </w:rPr>
        <w:t>2025</w:t>
      </w:r>
      <w:r>
        <w:rPr>
          <w:rFonts w:hint="eastAsia" w:ascii="仿宋_GB2312" w:eastAsia="仿宋_GB2312"/>
          <w:color w:val="auto"/>
          <w:sz w:val="32"/>
          <w:szCs w:val="32"/>
        </w:rPr>
        <w:t>年本</w:t>
      </w:r>
      <w:r>
        <w:rPr>
          <w:rFonts w:hint="eastAsia" w:ascii="仿宋_GB2312" w:eastAsia="仿宋_GB2312"/>
          <w:color w:val="auto"/>
          <w:sz w:val="32"/>
          <w:szCs w:val="32"/>
          <w:lang w:val="en-US" w:eastAsia="zh-CN"/>
        </w:rPr>
        <w:t>部门</w:t>
      </w:r>
      <w:r>
        <w:rPr>
          <w:rFonts w:hint="eastAsia" w:ascii="仿宋_GB2312" w:eastAsia="仿宋_GB2312"/>
          <w:color w:val="auto"/>
          <w:sz w:val="32"/>
          <w:szCs w:val="32"/>
        </w:rPr>
        <w:t>共支出</w:t>
      </w:r>
      <w:r>
        <w:rPr>
          <w:rFonts w:hint="eastAsia" w:ascii="仿宋_GB2312" w:hAnsi="仿宋" w:eastAsia="仿宋_GB2312" w:cs="Times New Roman"/>
          <w:color w:val="auto"/>
          <w:kern w:val="2"/>
          <w:sz w:val="32"/>
          <w:szCs w:val="32"/>
          <w:lang w:val="en-US" w:eastAsia="zh-CN" w:bidi="ar-SA"/>
        </w:rPr>
        <w:t>312.85</w:t>
      </w:r>
      <w:r>
        <w:rPr>
          <w:rFonts w:hint="eastAsia" w:ascii="仿宋_GB2312" w:eastAsia="仿宋_GB2312"/>
          <w:color w:val="auto"/>
          <w:sz w:val="32"/>
          <w:szCs w:val="32"/>
        </w:rPr>
        <w:t>万元，其中人员经费支出</w:t>
      </w:r>
      <w:r>
        <w:rPr>
          <w:rFonts w:hint="eastAsia" w:ascii="仿宋_GB2312" w:hAnsi="仿宋" w:eastAsia="仿宋_GB2312" w:cs="Times New Roman"/>
          <w:color w:val="auto"/>
          <w:kern w:val="2"/>
          <w:sz w:val="32"/>
          <w:szCs w:val="32"/>
          <w:lang w:val="en-US" w:eastAsia="zh-CN" w:bidi="ar-SA"/>
        </w:rPr>
        <w:t>260.78</w:t>
      </w:r>
      <w:r>
        <w:rPr>
          <w:rFonts w:hint="eastAsia" w:ascii="仿宋_GB2312" w:eastAsia="仿宋_GB2312"/>
          <w:color w:val="auto"/>
          <w:sz w:val="32"/>
          <w:szCs w:val="32"/>
        </w:rPr>
        <w:t>万元，日常公用经费支出</w:t>
      </w:r>
      <w:r>
        <w:rPr>
          <w:rFonts w:hint="eastAsia" w:ascii="仿宋_GB2312" w:hAnsi="仿宋" w:eastAsia="仿宋_GB2312" w:cs="Times New Roman"/>
          <w:color w:val="auto"/>
          <w:kern w:val="2"/>
          <w:sz w:val="32"/>
          <w:szCs w:val="32"/>
          <w:lang w:val="en-US" w:eastAsia="zh-CN" w:bidi="ar-SA"/>
        </w:rPr>
        <w:t>20.26</w:t>
      </w:r>
      <w:r>
        <w:rPr>
          <w:rFonts w:hint="eastAsia" w:ascii="仿宋_GB2312" w:eastAsia="仿宋_GB2312"/>
          <w:color w:val="auto"/>
          <w:sz w:val="32"/>
          <w:szCs w:val="32"/>
        </w:rPr>
        <w:t>万元，项目经费支出</w:t>
      </w:r>
      <w:r>
        <w:rPr>
          <w:rFonts w:hint="eastAsia" w:ascii="仿宋_GB2312" w:eastAsia="仿宋_GB2312"/>
          <w:color w:val="auto"/>
          <w:sz w:val="32"/>
          <w:szCs w:val="32"/>
          <w:lang w:val="en-US" w:eastAsia="zh-CN"/>
        </w:rPr>
        <w:t>31.81</w:t>
      </w:r>
      <w:r>
        <w:rPr>
          <w:rFonts w:hint="eastAsia" w:ascii="仿宋_GB2312" w:eastAsia="仿宋_GB2312"/>
          <w:color w:val="auto"/>
          <w:sz w:val="32"/>
          <w:szCs w:val="32"/>
        </w:rPr>
        <w:t>万元。</w:t>
      </w:r>
    </w:p>
    <w:p w14:paraId="44501BD7">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部门整体支出绩效目标、指标</w:t>
      </w:r>
    </w:p>
    <w:p w14:paraId="5D519BE5">
      <w:pPr>
        <w:spacing w:before="156" w:beforeLines="50" w:after="156" w:afterLines="50" w:line="580" w:lineRule="exact"/>
        <w:ind w:firstLine="62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1、总体绩效目标</w:t>
      </w:r>
    </w:p>
    <w:p w14:paraId="48D43DD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根据区委主要领导批示指示精神，藁城区投促局主要承担招商引资创新路径、创新机制等招商体制改革任务。根据藁城区工作实际，我局将进一步依托资源优势，</w:t>
      </w:r>
      <w:r>
        <w:rPr>
          <w:rFonts w:hint="eastAsia" w:ascii="仿宋_GB2312" w:hAnsi="仿宋_GB2312" w:eastAsia="仿宋_GB2312" w:cs="仿宋_GB2312"/>
          <w:b w:val="0"/>
          <w:bCs w:val="0"/>
          <w:sz w:val="32"/>
          <w:szCs w:val="32"/>
          <w:lang w:val="en-US" w:eastAsia="zh-CN"/>
        </w:rPr>
        <w:t>以延伸产业链条、加深产业集聚为目标，以本地核心企业为依托，赴行业发达区域开展以商招商、精准招商、驻点招商，举办高端装备制造、文旅康养、现代农业等各类招商推介，挖掘信息资源，积极对接省内食品行业专业机构、业内专家、高校教授等，同时积极向上问计，获取全市规上食品企业名单、重点项目名单等按图索骥，有针对性的开展招商引资工作，提高项目命中率，以高质量招商引资为高质量发展蓄势赋能，进一步</w:t>
      </w:r>
      <w:r>
        <w:rPr>
          <w:rFonts w:hint="eastAsia" w:ascii="仿宋_GB2312" w:hAnsi="仿宋_GB2312" w:eastAsia="仿宋_GB2312" w:cs="仿宋_GB2312"/>
          <w:sz w:val="32"/>
          <w:szCs w:val="32"/>
          <w:lang w:val="en-US" w:eastAsia="zh-CN"/>
        </w:rPr>
        <w:t>促进我区经济发展。</w:t>
      </w:r>
    </w:p>
    <w:p w14:paraId="71E79200">
      <w:pPr>
        <w:spacing w:before="156" w:beforeLines="50" w:after="156" w:afterLines="50" w:line="580" w:lineRule="exact"/>
        <w:ind w:firstLine="62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2、分项绩效目标</w:t>
      </w:r>
    </w:p>
    <w:p w14:paraId="580C4E1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sz w:val="32"/>
          <w:szCs w:val="32"/>
          <w:lang w:val="en-US" w:eastAsia="zh-CN"/>
        </w:rPr>
        <w:t>保障招商工作高质量开展</w:t>
      </w:r>
    </w:p>
    <w:p w14:paraId="659821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rPr>
        <w:t>绩效目标：</w:t>
      </w:r>
      <w:r>
        <w:rPr>
          <w:rFonts w:hint="eastAsia" w:ascii="仿宋_GB2312" w:hAnsi="仿宋_GB2312" w:eastAsia="仿宋_GB2312" w:cs="仿宋_GB2312"/>
          <w:b w:val="0"/>
          <w:bCs w:val="0"/>
          <w:sz w:val="32"/>
          <w:szCs w:val="32"/>
          <w:lang w:val="en-US" w:eastAsia="zh-CN"/>
        </w:rPr>
        <w:t>精准招商，提升招商工作水平。</w:t>
      </w:r>
    </w:p>
    <w:p w14:paraId="3A7B5C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绩效指标：</w:t>
      </w:r>
      <w:r>
        <w:rPr>
          <w:rFonts w:hint="eastAsia" w:ascii="仿宋_GB2312" w:hAnsi="仿宋_GB2312" w:eastAsia="仿宋_GB2312" w:cs="仿宋_GB2312"/>
          <w:b w:val="0"/>
          <w:bCs w:val="0"/>
          <w:sz w:val="32"/>
          <w:szCs w:val="32"/>
          <w:lang w:val="en-US" w:eastAsia="zh-CN"/>
        </w:rPr>
        <w:t>以本地核心企业为依托，赴行业发达区域开展以商招商、精准招商，</w:t>
      </w:r>
      <w:r>
        <w:rPr>
          <w:rFonts w:hint="eastAsia" w:ascii="仿宋_GB2312" w:hAnsi="仿宋_GB2312" w:eastAsia="仿宋_GB2312" w:cs="仿宋_GB2312"/>
          <w:b w:val="0"/>
          <w:bCs w:val="0"/>
          <w:sz w:val="32"/>
          <w:szCs w:val="32"/>
        </w:rPr>
        <w:t>完成年初招商计划比例</w:t>
      </w:r>
    </w:p>
    <w:p w14:paraId="5C8E3B37">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绩效自评工作开展情况</w:t>
      </w:r>
    </w:p>
    <w:p w14:paraId="46014A0E">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自评的组织工作</w:t>
      </w:r>
    </w:p>
    <w:p w14:paraId="52C04259">
      <w:pPr>
        <w:pStyle w:val="2"/>
        <w:numPr>
          <w:ilvl w:val="0"/>
          <w:numId w:val="0"/>
        </w:numPr>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为完成好部门整体支出绩效自评工作，成立了由区</w:t>
      </w:r>
      <w:r>
        <w:rPr>
          <w:rFonts w:hint="eastAsia" w:cs="仿宋_GB2312"/>
          <w:kern w:val="2"/>
          <w:sz w:val="32"/>
          <w:szCs w:val="32"/>
          <w:highlight w:val="none"/>
          <w:lang w:val="en-US" w:eastAsia="zh-CN" w:bidi="ar-SA"/>
        </w:rPr>
        <w:t>投资促进局局长董翠国</w:t>
      </w:r>
      <w:r>
        <w:rPr>
          <w:rFonts w:hint="eastAsia" w:ascii="仿宋_GB2312" w:hAnsi="仿宋_GB2312" w:eastAsia="仿宋_GB2312" w:cs="仿宋_GB2312"/>
          <w:kern w:val="2"/>
          <w:sz w:val="32"/>
          <w:szCs w:val="32"/>
          <w:highlight w:val="none"/>
          <w:lang w:val="en-US" w:eastAsia="zh-CN" w:bidi="ar-SA"/>
        </w:rPr>
        <w:t>同志任组长，区</w:t>
      </w:r>
      <w:r>
        <w:rPr>
          <w:rFonts w:hint="eastAsia" w:cs="仿宋_GB2312"/>
          <w:kern w:val="2"/>
          <w:sz w:val="32"/>
          <w:szCs w:val="32"/>
          <w:highlight w:val="none"/>
          <w:lang w:val="en-US" w:eastAsia="zh-CN" w:bidi="ar-SA"/>
        </w:rPr>
        <w:t>投资促进局副局长张伟</w:t>
      </w:r>
      <w:r>
        <w:rPr>
          <w:rFonts w:hint="eastAsia" w:ascii="仿宋_GB2312" w:hAnsi="仿宋_GB2312" w:eastAsia="仿宋_GB2312" w:cs="仿宋_GB2312"/>
          <w:kern w:val="2"/>
          <w:sz w:val="32"/>
          <w:szCs w:val="32"/>
          <w:highlight w:val="none"/>
          <w:lang w:val="en-US" w:eastAsia="zh-CN" w:bidi="ar-SA"/>
        </w:rPr>
        <w:t>担任副组长，</w:t>
      </w:r>
      <w:r>
        <w:rPr>
          <w:rFonts w:hint="eastAsia" w:cs="仿宋_GB2312"/>
          <w:kern w:val="2"/>
          <w:sz w:val="32"/>
          <w:szCs w:val="32"/>
          <w:highlight w:val="none"/>
          <w:lang w:val="en-US" w:eastAsia="zh-CN" w:bidi="ar-SA"/>
        </w:rPr>
        <w:t>办公室主任李克锋、</w:t>
      </w:r>
      <w:r>
        <w:rPr>
          <w:rFonts w:hint="eastAsia" w:ascii="仿宋_GB2312" w:hAnsi="仿宋_GB2312" w:eastAsia="仿宋_GB2312" w:cs="仿宋_GB2312"/>
          <w:kern w:val="2"/>
          <w:sz w:val="32"/>
          <w:szCs w:val="32"/>
          <w:highlight w:val="none"/>
          <w:lang w:val="en-US" w:eastAsia="zh-CN" w:bidi="ar-SA"/>
        </w:rPr>
        <w:t>财务人员</w:t>
      </w:r>
      <w:r>
        <w:rPr>
          <w:rFonts w:hint="eastAsia" w:cs="仿宋_GB2312"/>
          <w:kern w:val="2"/>
          <w:sz w:val="32"/>
          <w:szCs w:val="32"/>
          <w:highlight w:val="none"/>
          <w:lang w:val="en-US" w:eastAsia="zh-CN" w:bidi="ar-SA"/>
        </w:rPr>
        <w:t>何欣华</w:t>
      </w:r>
      <w:r>
        <w:rPr>
          <w:rFonts w:hint="eastAsia" w:ascii="仿宋_GB2312" w:hAnsi="仿宋_GB2312" w:eastAsia="仿宋_GB2312" w:cs="仿宋_GB2312"/>
          <w:kern w:val="2"/>
          <w:sz w:val="32"/>
          <w:szCs w:val="32"/>
          <w:highlight w:val="none"/>
          <w:lang w:val="en-US" w:eastAsia="zh-CN" w:bidi="ar-SA"/>
        </w:rPr>
        <w:t>为小组成员的绩效自评工作小组，明确需收集的资料及注意事项</w:t>
      </w:r>
      <w:r>
        <w:rPr>
          <w:rFonts w:hint="eastAsia" w:cs="仿宋_GB2312"/>
          <w:kern w:val="2"/>
          <w:sz w:val="32"/>
          <w:szCs w:val="32"/>
          <w:highlight w:val="none"/>
          <w:lang w:val="en-US" w:eastAsia="zh-CN" w:bidi="ar-SA"/>
        </w:rPr>
        <w:t>，</w:t>
      </w:r>
      <w:r>
        <w:rPr>
          <w:rFonts w:hint="eastAsia" w:ascii="仿宋_GB2312" w:hAnsi="仿宋_GB2312" w:eastAsia="仿宋_GB2312" w:cs="仿宋_GB2312"/>
          <w:kern w:val="2"/>
          <w:sz w:val="32"/>
          <w:szCs w:val="32"/>
          <w:highlight w:val="none"/>
          <w:lang w:val="en-US" w:eastAsia="zh-CN" w:bidi="ar-SA"/>
        </w:rPr>
        <w:t>对照总体绩效目标和分项绩效目标、指标设定情况，分析评价项目具体完成情况的相关资料以及有关财务资料。绩效评价工作组遵循“科学性、规范性、客观性和公正性”的原则，开展绩效评价工作，得出综合评价结果，撰写绩效评价报告。</w:t>
      </w:r>
    </w:p>
    <w:p w14:paraId="48373655">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自评的方法和过程</w:t>
      </w:r>
    </w:p>
    <w:p w14:paraId="31994EF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_GB2312" w:hAnsi="仿宋_GB2312" w:eastAsia="仿宋_GB2312" w:cs="仿宋_GB2312"/>
          <w:kern w:val="2"/>
          <w:sz w:val="32"/>
          <w:szCs w:val="32"/>
          <w:highlight w:val="none"/>
          <w:lang w:val="en-US" w:eastAsia="zh-CN" w:bidi="ar-SA"/>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各种报账单，由项目负责人介绍项目预期绩效目标及具体实施取得的实际效果，评价小组成员集中实地检查、核实佐证材料进</w:t>
      </w:r>
      <w:r>
        <w:rPr>
          <w:rFonts w:hint="eastAsia" w:ascii="仿宋" w:hAnsi="仿宋" w:eastAsia="仿宋" w:cs="仿宋"/>
          <w:sz w:val="32"/>
          <w:szCs w:val="32"/>
          <w:lang w:eastAsia="zh-CN"/>
        </w:rPr>
        <w:t>行评价，</w:t>
      </w:r>
      <w:r>
        <w:rPr>
          <w:rFonts w:hint="eastAsia" w:ascii="仿宋" w:hAnsi="仿宋" w:eastAsia="仿宋" w:cs="仿宋"/>
          <w:sz w:val="32"/>
          <w:szCs w:val="32"/>
          <w:lang w:val="en-US" w:eastAsia="zh-CN"/>
        </w:rPr>
        <w:t>绩效自评覆盖率达到了100%。在评价过程中科学制定指标体系，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0分（包含数量、质量、时效、成本)；</w:t>
      </w:r>
      <w:r>
        <w:rPr>
          <w:rFonts w:hint="eastAsia" w:ascii="仿宋" w:hAnsi="仿宋" w:eastAsia="仿宋" w:cs="仿宋"/>
          <w:sz w:val="32"/>
          <w:szCs w:val="32"/>
          <w:lang w:val="en-US" w:eastAsia="zh-CN"/>
        </w:rPr>
        <w:t>预算执行率指标10分；</w:t>
      </w:r>
      <w:r>
        <w:rPr>
          <w:rFonts w:hint="eastAsia" w:ascii="仿宋" w:hAnsi="仿宋" w:eastAsia="仿宋" w:cs="仿宋"/>
          <w:sz w:val="32"/>
          <w:szCs w:val="32"/>
          <w:lang w:eastAsia="zh-CN"/>
        </w:rPr>
        <w:t>效益指标</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0分（包含经济效益)、满意度指标10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65509C7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6E858E9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1364CF7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2025年以</w:t>
      </w:r>
      <w:r>
        <w:rPr>
          <w:rFonts w:hint="eastAsia" w:ascii="仿宋_GB2312" w:hAnsi="仿宋_GB2312" w:eastAsia="仿宋_GB2312" w:cs="仿宋_GB2312"/>
          <w:sz w:val="32"/>
          <w:szCs w:val="32"/>
        </w:rPr>
        <w:t>来，区</w:t>
      </w:r>
      <w:r>
        <w:rPr>
          <w:rFonts w:hint="eastAsia" w:ascii="仿宋_GB2312" w:hAnsi="仿宋_GB2312" w:eastAsia="仿宋_GB2312" w:cs="仿宋_GB2312"/>
          <w:sz w:val="32"/>
          <w:szCs w:val="32"/>
          <w:lang w:val="en-US" w:eastAsia="zh-CN"/>
        </w:rPr>
        <w:t>投促局</w:t>
      </w:r>
      <w:r>
        <w:rPr>
          <w:rFonts w:hint="eastAsia" w:ascii="仿宋_GB2312" w:hAnsi="仿宋_GB2312" w:eastAsia="仿宋_GB2312" w:cs="仿宋_GB2312"/>
          <w:sz w:val="32"/>
          <w:szCs w:val="32"/>
          <w:lang w:eastAsia="zh-CN"/>
        </w:rPr>
        <w:t>在区</w:t>
      </w:r>
      <w:r>
        <w:rPr>
          <w:rFonts w:hint="eastAsia" w:ascii="仿宋_GB2312" w:hAnsi="仿宋_GB2312" w:eastAsia="仿宋_GB2312" w:cs="仿宋_GB2312"/>
          <w:sz w:val="32"/>
          <w:szCs w:val="32"/>
          <w:lang w:val="en-US" w:eastAsia="zh-CN"/>
        </w:rPr>
        <w:t>政府</w:t>
      </w:r>
      <w:r>
        <w:rPr>
          <w:rFonts w:hint="eastAsia" w:ascii="仿宋_GB2312" w:hAnsi="仿宋_GB2312" w:eastAsia="仿宋_GB2312" w:cs="仿宋_GB2312"/>
          <w:sz w:val="32"/>
          <w:szCs w:val="32"/>
          <w:lang w:eastAsia="zh-CN"/>
        </w:rPr>
        <w:t>的指导支持下，</w:t>
      </w:r>
      <w:r>
        <w:rPr>
          <w:rFonts w:hint="eastAsia" w:ascii="仿宋" w:hAnsi="仿宋" w:eastAsia="仿宋" w:cs="仿宋"/>
          <w:color w:val="auto"/>
          <w:sz w:val="32"/>
          <w:szCs w:val="32"/>
          <w:shd w:val="clear" w:color="auto" w:fill="FFFFFF"/>
          <w:lang w:val="en-US" w:eastAsia="zh-CN"/>
        </w:rPr>
        <w:t>充分</w:t>
      </w:r>
      <w:r>
        <w:rPr>
          <w:rFonts w:hint="eastAsia" w:ascii="仿宋" w:hAnsi="仿宋" w:eastAsia="仿宋" w:cs="仿宋"/>
          <w:color w:val="auto"/>
          <w:sz w:val="32"/>
          <w:szCs w:val="32"/>
          <w:shd w:val="clear" w:color="auto" w:fill="FFFFFF"/>
        </w:rPr>
        <w:t>发挥职能作用，</w:t>
      </w:r>
      <w:r>
        <w:rPr>
          <w:rFonts w:hint="eastAsia" w:ascii="仿宋_GB2312" w:hAnsi="仿宋_GB2312" w:eastAsia="仿宋_GB2312" w:cs="仿宋_GB2312"/>
          <w:b w:val="0"/>
          <w:bCs w:val="0"/>
          <w:color w:val="auto"/>
          <w:sz w:val="32"/>
          <w:szCs w:val="32"/>
          <w:highlight w:val="none"/>
          <w:lang w:val="en-US" w:eastAsia="zh-CN"/>
        </w:rPr>
        <w:t>坚持重点产业招商提质，围绕我区主导产业，制定招引产业清单，开展产业链供应链补短板锻长板行动，扎实有力推进招商引资工作取得实效。</w:t>
      </w:r>
      <w:r>
        <w:rPr>
          <w:rFonts w:hint="eastAsia" w:ascii="仿宋_GB2312" w:hAnsi="仿宋_GB2312" w:eastAsia="仿宋_GB2312" w:cs="仿宋_GB2312"/>
          <w:color w:val="auto"/>
          <w:sz w:val="32"/>
          <w:szCs w:val="32"/>
          <w:lang w:val="en-US" w:eastAsia="zh-CN"/>
        </w:rPr>
        <w:t>2025年，</w:t>
      </w:r>
      <w:r>
        <w:rPr>
          <w:rFonts w:hint="eastAsia" w:ascii="仿宋_GB2312" w:hAnsi="仿宋_GB2312" w:eastAsia="仿宋_GB2312" w:cs="仿宋_GB2312"/>
          <w:sz w:val="32"/>
          <w:szCs w:val="32"/>
        </w:rPr>
        <w:t>全年新签约项目</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个，合同引资额</w:t>
      </w:r>
      <w:r>
        <w:rPr>
          <w:rFonts w:hint="eastAsia" w:ascii="仿宋_GB2312" w:hAnsi="仿宋_GB2312" w:eastAsia="仿宋_GB2312" w:cs="仿宋_GB2312"/>
          <w:sz w:val="32"/>
          <w:szCs w:val="32"/>
          <w:lang w:val="en-US" w:eastAsia="zh-CN"/>
        </w:rPr>
        <w:t>152.72</w:t>
      </w:r>
      <w:r>
        <w:rPr>
          <w:rFonts w:hint="eastAsia" w:ascii="仿宋_GB2312" w:hAnsi="仿宋_GB2312" w:eastAsia="仿宋_GB2312" w:cs="仿宋_GB2312"/>
          <w:sz w:val="32"/>
          <w:szCs w:val="32"/>
        </w:rPr>
        <w:t>亿元，其中</w:t>
      </w:r>
      <w:r>
        <w:rPr>
          <w:rFonts w:hint="eastAsia" w:ascii="仿宋_GB2312" w:hAnsi="仿宋_GB2312" w:eastAsia="仿宋_GB2312" w:cs="仿宋_GB2312"/>
          <w:sz w:val="32"/>
          <w:szCs w:val="32"/>
          <w:lang w:val="en-US" w:eastAsia="zh-CN"/>
        </w:rPr>
        <w:t>亿元以上项目28个，</w:t>
      </w:r>
      <w:r>
        <w:rPr>
          <w:rFonts w:hint="eastAsia" w:ascii="仿宋_GB2312" w:hAnsi="仿宋_GB2312" w:eastAsia="仿宋_GB2312" w:cs="仿宋_GB2312"/>
          <w:sz w:val="32"/>
          <w:szCs w:val="32"/>
        </w:rPr>
        <w:t>5000万元以上项目</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z w:val="32"/>
          <w:szCs w:val="32"/>
          <w:lang w:val="en-US" w:eastAsia="zh-CN"/>
        </w:rPr>
        <w:t>5000万元以下项目42个</w:t>
      </w:r>
      <w:r>
        <w:rPr>
          <w:rFonts w:hint="eastAsia" w:ascii="仿宋_GB2312" w:hAnsi="仿宋_GB2312" w:eastAsia="仿宋_GB2312" w:cs="仿宋_GB2312"/>
          <w:sz w:val="32"/>
          <w:szCs w:val="32"/>
        </w:rPr>
        <w:t>。新落地项目</w:t>
      </w:r>
      <w:r>
        <w:rPr>
          <w:rFonts w:hint="eastAsia" w:ascii="仿宋_GB2312" w:hAnsi="仿宋_GB2312" w:eastAsia="仿宋_GB2312" w:cs="仿宋_GB2312"/>
          <w:sz w:val="32"/>
          <w:szCs w:val="32"/>
          <w:lang w:val="en-US" w:eastAsia="zh-CN"/>
        </w:rPr>
        <w:t>69</w:t>
      </w:r>
      <w:r>
        <w:rPr>
          <w:rFonts w:hint="eastAsia" w:ascii="仿宋_GB2312" w:hAnsi="仿宋_GB2312" w:eastAsia="仿宋_GB2312" w:cs="仿宋_GB2312"/>
          <w:sz w:val="32"/>
          <w:szCs w:val="32"/>
        </w:rPr>
        <w:t>个，总投资</w:t>
      </w:r>
      <w:r>
        <w:rPr>
          <w:rFonts w:hint="eastAsia" w:ascii="仿宋_GB2312" w:hAnsi="仿宋_GB2312" w:eastAsia="仿宋_GB2312" w:cs="仿宋_GB2312"/>
          <w:sz w:val="32"/>
          <w:szCs w:val="32"/>
          <w:lang w:val="en-US" w:eastAsia="zh-CN"/>
        </w:rPr>
        <w:t>45.22</w:t>
      </w:r>
      <w:r>
        <w:rPr>
          <w:rFonts w:hint="eastAsia" w:ascii="仿宋_GB2312" w:hAnsi="仿宋_GB2312" w:eastAsia="仿宋_GB2312" w:cs="仿宋_GB2312"/>
          <w:sz w:val="32"/>
          <w:szCs w:val="32"/>
        </w:rPr>
        <w:t>亿元；新投产项目</w:t>
      </w:r>
      <w:r>
        <w:rPr>
          <w:rFonts w:hint="eastAsia" w:ascii="仿宋_GB2312" w:hAnsi="仿宋_GB2312" w:eastAsia="仿宋_GB2312" w:cs="仿宋_GB2312"/>
          <w:sz w:val="32"/>
          <w:szCs w:val="32"/>
          <w:lang w:val="en-US" w:eastAsia="zh-CN"/>
        </w:rPr>
        <w:t>57</w:t>
      </w:r>
      <w:r>
        <w:rPr>
          <w:rFonts w:hint="eastAsia" w:ascii="仿宋_GB2312" w:hAnsi="仿宋_GB2312" w:eastAsia="仿宋_GB2312" w:cs="仿宋_GB2312"/>
          <w:sz w:val="32"/>
          <w:szCs w:val="32"/>
        </w:rPr>
        <w:t>个，完成投资</w:t>
      </w:r>
      <w:r>
        <w:rPr>
          <w:rFonts w:hint="eastAsia" w:ascii="仿宋_GB2312" w:hAnsi="仿宋_GB2312" w:eastAsia="仿宋_GB2312" w:cs="仿宋_GB2312"/>
          <w:sz w:val="32"/>
          <w:szCs w:val="32"/>
          <w:lang w:val="en-US" w:eastAsia="zh-CN"/>
        </w:rPr>
        <w:t>36.76</w:t>
      </w:r>
      <w:r>
        <w:rPr>
          <w:rFonts w:hint="eastAsia" w:ascii="仿宋_GB2312" w:hAnsi="仿宋_GB2312" w:eastAsia="仿宋_GB2312" w:cs="仿宋_GB2312"/>
          <w:sz w:val="32"/>
          <w:szCs w:val="32"/>
        </w:rPr>
        <w:t>亿元。</w:t>
      </w:r>
      <w:r>
        <w:rPr>
          <w:rFonts w:hint="eastAsia" w:ascii="仿宋_GB2312" w:hAnsi="仿宋_GB2312" w:eastAsia="仿宋_GB2312" w:cs="仿宋_GB2312"/>
          <w:color w:val="auto"/>
          <w:sz w:val="32"/>
          <w:szCs w:val="32"/>
          <w:highlight w:val="none"/>
          <w:lang w:val="en-US" w:eastAsia="zh-CN"/>
        </w:rPr>
        <w:t>截至11月底，我区录入市平台签约项目38个，投资额42.46亿元，全市排名第5；落地项目21个，投资额24.03亿元，全市排名第7；投产项目8个，投资额4.58亿元，全市排名第13。</w:t>
      </w:r>
      <w:r>
        <w:rPr>
          <w:rFonts w:hint="eastAsia" w:ascii="仿宋_GB2312" w:hAnsi="仿宋_GB2312" w:eastAsia="仿宋_GB2312" w:cs="仿宋_GB2312"/>
          <w:color w:val="auto"/>
          <w:kern w:val="2"/>
          <w:sz w:val="32"/>
          <w:szCs w:val="32"/>
          <w:highlight w:val="none"/>
          <w:lang w:val="en-US" w:eastAsia="zh-CN" w:bidi="ar-SA"/>
        </w:rPr>
        <w:t>1-10月份，</w:t>
      </w:r>
      <w:r>
        <w:rPr>
          <w:rFonts w:hint="eastAsia" w:ascii="仿宋_GB2312" w:hAnsi="仿宋_GB2312" w:eastAsia="仿宋_GB2312" w:cs="仿宋_GB2312"/>
          <w:color w:val="auto"/>
          <w:sz w:val="32"/>
          <w:szCs w:val="32"/>
          <w:highlight w:val="none"/>
          <w:lang w:val="en-US" w:eastAsia="zh-CN"/>
        </w:rPr>
        <w:t>省经济绩效考核审核通过招商引资落地项目8个，投资额29.92亿元，总得分0.187分，全市排名第10。目前有5个项目正在进行平台上传，待审核通过后方可计入考核，预计1-12月份，我区落地项目13个，投资44.14亿元，得分0.297分，全市排名第12</w:t>
      </w:r>
      <w:r>
        <w:rPr>
          <w:rFonts w:hint="eastAsia" w:ascii="仿宋_GB2312" w:hAnsi="仿宋_GB2312" w:eastAsia="仿宋_GB2312" w:cs="仿宋_GB2312"/>
          <w:sz w:val="32"/>
          <w:szCs w:val="32"/>
          <w:lang w:val="en-US" w:eastAsia="zh-CN"/>
        </w:rPr>
        <w:t>。2025年度</w:t>
      </w:r>
      <w:r>
        <w:rPr>
          <w:rFonts w:hint="eastAsia" w:ascii="仿宋" w:hAnsi="仿宋" w:eastAsia="仿宋" w:cs="仿宋"/>
          <w:sz w:val="32"/>
          <w:szCs w:val="32"/>
        </w:rPr>
        <w:t>项目预算执行完成率为100%</w:t>
      </w:r>
      <w:r>
        <w:rPr>
          <w:rFonts w:hint="eastAsia" w:ascii="仿宋" w:hAnsi="仿宋" w:eastAsia="仿宋" w:cs="仿宋"/>
          <w:sz w:val="32"/>
          <w:szCs w:val="32"/>
          <w:lang w:val="en-US" w:eastAsia="zh-CN"/>
        </w:rPr>
        <w:t>。</w:t>
      </w:r>
    </w:p>
    <w:p w14:paraId="2EFBC30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27339DF1">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textAlignment w:val="auto"/>
        <w:outlineLvl w:val="9"/>
        <w:rPr>
          <w:rFonts w:ascii="仿宋" w:hAnsi="仿宋" w:eastAsia="仿宋" w:cs="楷体_GB2312"/>
          <w:b w:val="0"/>
          <w:bCs w:val="0"/>
          <w:sz w:val="32"/>
          <w:szCs w:val="32"/>
        </w:rPr>
      </w:pPr>
      <w:r>
        <w:rPr>
          <w:rFonts w:hint="eastAsia" w:ascii="仿宋" w:hAnsi="仿宋" w:eastAsia="仿宋" w:cs="楷体_GB2312"/>
          <w:b w:val="0"/>
          <w:bCs w:val="0"/>
          <w:sz w:val="32"/>
          <w:szCs w:val="32"/>
          <w:lang w:val="en-US" w:eastAsia="zh-CN"/>
        </w:rPr>
        <w:t>1、</w:t>
      </w:r>
      <w:r>
        <w:rPr>
          <w:rFonts w:hint="eastAsia" w:ascii="仿宋" w:hAnsi="仿宋" w:eastAsia="仿宋" w:cs="楷体_GB2312"/>
          <w:b w:val="0"/>
          <w:bCs w:val="0"/>
          <w:sz w:val="32"/>
          <w:szCs w:val="32"/>
        </w:rPr>
        <w:t>预算执行情况</w:t>
      </w:r>
    </w:p>
    <w:p w14:paraId="238D2AED">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eastAsia="zh-CN"/>
        </w:rPr>
        <w:t>该项目年初预算数</w:t>
      </w:r>
      <w:r>
        <w:rPr>
          <w:rFonts w:hint="eastAsia" w:ascii="仿宋_GB2312" w:hAnsi="仿宋_GB2312" w:eastAsia="仿宋_GB2312" w:cs="仿宋_GB2312"/>
          <w:kern w:val="2"/>
          <w:sz w:val="32"/>
          <w:szCs w:val="32"/>
          <w:highlight w:val="none"/>
          <w:lang w:val="en-US" w:eastAsia="zh-CN" w:bidi="ar-SA"/>
        </w:rPr>
        <w:t>100</w:t>
      </w:r>
      <w:r>
        <w:rPr>
          <w:rFonts w:hint="eastAsia" w:ascii="仿宋" w:hAnsi="仿宋" w:eastAsia="仿宋" w:cs="楷体_GB2312"/>
          <w:b w:val="0"/>
          <w:bCs w:val="0"/>
          <w:sz w:val="32"/>
          <w:szCs w:val="32"/>
          <w:lang w:val="en-US" w:eastAsia="zh-CN"/>
        </w:rPr>
        <w:t>万，年终实际资金执行数</w:t>
      </w:r>
      <w:r>
        <w:rPr>
          <w:rFonts w:hint="eastAsia" w:ascii="仿宋_GB2312" w:hAnsi="仿宋_GB2312" w:eastAsia="仿宋_GB2312" w:cs="仿宋_GB2312"/>
          <w:kern w:val="2"/>
          <w:sz w:val="32"/>
          <w:szCs w:val="32"/>
          <w:highlight w:val="none"/>
          <w:lang w:val="en-US" w:eastAsia="zh-CN" w:bidi="ar-SA"/>
        </w:rPr>
        <w:t>31.81</w:t>
      </w:r>
      <w:r>
        <w:rPr>
          <w:rFonts w:hint="eastAsia" w:ascii="仿宋" w:hAnsi="仿宋" w:eastAsia="仿宋" w:cs="楷体_GB2312"/>
          <w:b w:val="0"/>
          <w:bCs w:val="0"/>
          <w:sz w:val="32"/>
          <w:szCs w:val="32"/>
          <w:lang w:val="en-US" w:eastAsia="zh-CN"/>
        </w:rPr>
        <w:t>，预算资金使用率100%，分值10分。</w:t>
      </w:r>
    </w:p>
    <w:p w14:paraId="4DD5A6E2">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ascii="仿宋" w:hAnsi="仿宋" w:eastAsia="仿宋"/>
          <w:b w:val="0"/>
          <w:bCs w:val="0"/>
          <w:sz w:val="32"/>
          <w:szCs w:val="32"/>
        </w:rPr>
      </w:pPr>
      <w:r>
        <w:rPr>
          <w:rFonts w:hint="eastAsia" w:ascii="仿宋" w:hAnsi="仿宋" w:eastAsia="仿宋" w:cs="楷体_GB2312"/>
          <w:b w:val="0"/>
          <w:bCs w:val="0"/>
          <w:sz w:val="32"/>
          <w:szCs w:val="32"/>
          <w:lang w:val="en-US" w:eastAsia="zh-CN"/>
        </w:rPr>
        <w:t>2、</w:t>
      </w:r>
      <w:r>
        <w:rPr>
          <w:rFonts w:hint="eastAsia" w:ascii="仿宋" w:hAnsi="仿宋" w:eastAsia="仿宋" w:cs="楷体_GB2312"/>
          <w:b w:val="0"/>
          <w:bCs w:val="0"/>
          <w:sz w:val="32"/>
          <w:szCs w:val="32"/>
        </w:rPr>
        <w:t>项目产出</w:t>
      </w:r>
    </w:p>
    <w:p w14:paraId="68E126B5">
      <w:pPr>
        <w:keepNext w:val="0"/>
        <w:keepLines w:val="0"/>
        <w:pageBreakBefore w:val="0"/>
        <w:widowControl w:val="0"/>
        <w:kinsoku/>
        <w:wordWrap/>
        <w:overflowPunct/>
        <w:topLinePunct w:val="0"/>
        <w:autoSpaceDE/>
        <w:autoSpaceDN/>
        <w:bidi w:val="0"/>
        <w:spacing w:line="560" w:lineRule="exact"/>
        <w:ind w:right="0" w:firstLine="640" w:firstLineChars="200"/>
        <w:textAlignment w:val="auto"/>
        <w:outlineLvl w:val="9"/>
        <w:rPr>
          <w:rFonts w:hint="eastAsia" w:ascii="仿宋" w:hAnsi="仿宋" w:eastAsia="仿宋" w:cs="Times New Roman"/>
          <w:sz w:val="32"/>
          <w:szCs w:val="32"/>
        </w:rPr>
      </w:pPr>
      <w:r>
        <w:rPr>
          <w:rFonts w:hint="eastAsia" w:ascii="仿宋_GB2312" w:hAnsi="仿宋_GB2312" w:eastAsia="仿宋_GB2312" w:cs="仿宋_GB2312"/>
          <w:sz w:val="32"/>
          <w:szCs w:val="32"/>
        </w:rPr>
        <w:t>印发</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《藁城区2025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2026年全员招商工作实施方案》</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sz w:val="32"/>
          <w:szCs w:val="32"/>
        </w:rPr>
        <w:t>建立</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招商引资项目全生命周期服务管理工作机制，推行乡镇包联责任制。制定《智库招商工作的建议（试行）》，选聘组建专业化招商专员队伍，聘请招商大使11人，</w:t>
      </w:r>
      <w:r>
        <w:rPr>
          <w:rFonts w:hint="eastAsia" w:ascii="仿宋_GB2312" w:hAnsi="仿宋_GB2312" w:eastAsia="仿宋_GB2312" w:cs="仿宋_GB2312"/>
          <w:sz w:val="32"/>
          <w:szCs w:val="32"/>
          <w:lang w:val="en-US" w:eastAsia="zh-CN"/>
        </w:rPr>
        <w:t>累积外出招商83次，</w:t>
      </w:r>
      <w:r>
        <w:rPr>
          <w:rFonts w:hint="eastAsia" w:ascii="仿宋_GB2312" w:hAnsi="仿宋_GB2312" w:eastAsia="仿宋_GB2312" w:cs="仿宋_GB2312"/>
          <w:sz w:val="32"/>
          <w:szCs w:val="32"/>
        </w:rPr>
        <w:t>累计建立招商渠道182条。编撰《招商引资工作简报》，制作全区招商宣传折页</w:t>
      </w:r>
      <w:r>
        <w:rPr>
          <w:rFonts w:hint="eastAsia" w:ascii="仿宋_GB2312" w:hAnsi="仿宋_GB2312" w:eastAsia="仿宋_GB2312" w:cs="仿宋_GB2312"/>
          <w:sz w:val="32"/>
          <w:szCs w:val="32"/>
          <w:lang w:eastAsia="zh-CN"/>
        </w:rPr>
        <w:t>，</w:t>
      </w:r>
      <w:r>
        <w:rPr>
          <w:rFonts w:hint="eastAsia" w:ascii="仿宋" w:hAnsi="仿宋" w:eastAsia="仿宋" w:cs="Times New Roman"/>
          <w:sz w:val="32"/>
          <w:szCs w:val="32"/>
          <w:lang w:val="en-US" w:eastAsia="zh-CN"/>
        </w:rPr>
        <w:t>完成率100%，各项活动都在规定的时间内完成，完成及时率100%。各项活动均高质量完成，达标率100%。</w:t>
      </w:r>
    </w:p>
    <w:p w14:paraId="27B1DE2E">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 w:cs="仿宋_GB2312"/>
          <w:sz w:val="32"/>
          <w:szCs w:val="32"/>
          <w:lang w:val="en-US" w:eastAsia="zh-CN"/>
        </w:rPr>
      </w:pPr>
    </w:p>
    <w:p w14:paraId="2331D653">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3、</w:t>
      </w:r>
      <w:r>
        <w:rPr>
          <w:rFonts w:hint="eastAsia" w:ascii="仿宋" w:hAnsi="仿宋" w:eastAsia="仿宋" w:cs="Times New Roman"/>
          <w:sz w:val="32"/>
          <w:szCs w:val="32"/>
        </w:rPr>
        <w:t>项目效益</w:t>
      </w:r>
    </w:p>
    <w:p w14:paraId="6BB013EC">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区投促局以</w:t>
      </w:r>
      <w:r>
        <w:rPr>
          <w:rFonts w:hint="eastAsia" w:ascii="仿宋_GB2312" w:hAnsi="仿宋_GB2312" w:eastAsia="仿宋_GB2312" w:cs="仿宋_GB2312"/>
          <w:b w:val="0"/>
          <w:bCs w:val="0"/>
          <w:sz w:val="32"/>
          <w:szCs w:val="32"/>
          <w:lang w:val="en-US" w:eastAsia="zh-CN"/>
        </w:rPr>
        <w:t>本地核心企业为依托，赴行业发达区域开展以商招商、精准招商、驻点招商，举办高端装备制造、文旅康养、现代农业等各类招商推介，以高质量招商引资为高质量发展蓄势赋能。</w:t>
      </w:r>
      <w:r>
        <w:rPr>
          <w:rFonts w:hint="eastAsia" w:ascii="仿宋" w:hAnsi="仿宋" w:eastAsia="仿宋" w:cs="Times New Roman"/>
          <w:sz w:val="32"/>
          <w:szCs w:val="32"/>
          <w:lang w:val="en-US" w:eastAsia="zh-CN"/>
        </w:rPr>
        <w:t>完成率100%。</w:t>
      </w:r>
    </w:p>
    <w:p w14:paraId="188F195A">
      <w:pPr>
        <w:keepNext w:val="0"/>
        <w:keepLines w:val="0"/>
        <w:pageBreakBefore w:val="0"/>
        <w:widowControl w:val="0"/>
        <w:numPr>
          <w:ilvl w:val="0"/>
          <w:numId w:val="0"/>
        </w:numPr>
        <w:kinsoku/>
        <w:wordWrap/>
        <w:overflowPunct/>
        <w:topLinePunct w:val="0"/>
        <w:autoSpaceDE/>
        <w:autoSpaceDN/>
        <w:bidi w:val="0"/>
        <w:spacing w:line="560" w:lineRule="exact"/>
        <w:ind w:right="0" w:rightChars="0"/>
        <w:textAlignment w:val="auto"/>
        <w:outlineLvl w:val="9"/>
        <w:rPr>
          <w:rFonts w:hint="eastAsia" w:ascii="仿宋" w:hAnsi="仿宋" w:eastAsia="仿宋" w:cs="Times New Roman"/>
          <w:sz w:val="32"/>
          <w:szCs w:val="32"/>
        </w:rPr>
      </w:pPr>
      <w:r>
        <w:rPr>
          <w:rFonts w:hint="eastAsia" w:ascii="仿宋" w:hAnsi="仿宋" w:eastAsia="仿宋" w:cs="Times New Roman"/>
          <w:sz w:val="32"/>
          <w:szCs w:val="32"/>
          <w:lang w:val="en-US" w:eastAsia="zh-CN"/>
        </w:rPr>
        <w:t>4、</w:t>
      </w:r>
      <w:r>
        <w:rPr>
          <w:rFonts w:hint="eastAsia" w:ascii="仿宋" w:hAnsi="仿宋" w:eastAsia="仿宋" w:cs="Times New Roman"/>
          <w:sz w:val="32"/>
          <w:szCs w:val="32"/>
        </w:rPr>
        <w:t>满意度</w:t>
      </w:r>
    </w:p>
    <w:p w14:paraId="2D0481BC">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outlineLvl w:val="9"/>
        <w:rPr>
          <w:rFonts w:hint="eastAsia" w:ascii="仿宋" w:hAnsi="仿宋" w:eastAsia="仿宋" w:cs="Times New Roman"/>
          <w:b w:val="0"/>
          <w:bCs w:val="0"/>
          <w:sz w:val="32"/>
          <w:szCs w:val="32"/>
          <w:lang w:val="en-US" w:eastAsia="zh-CN"/>
        </w:rPr>
      </w:pPr>
      <w:r>
        <w:rPr>
          <w:rFonts w:hint="eastAsia" w:ascii="仿宋" w:hAnsi="仿宋" w:eastAsia="仿宋" w:cs="Times New Roman"/>
          <w:sz w:val="32"/>
          <w:szCs w:val="32"/>
          <w:lang w:val="en-US" w:eastAsia="zh-CN"/>
        </w:rPr>
        <w:t>群众满意度100%，评价结果为优。</w:t>
      </w:r>
    </w:p>
    <w:p w14:paraId="318BBF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Times New Roman"/>
          <w:b w:val="0"/>
          <w:bCs w:val="0"/>
          <w:sz w:val="32"/>
          <w:szCs w:val="32"/>
          <w:lang w:val="en-US" w:eastAsia="zh-CN"/>
        </w:rPr>
      </w:pPr>
      <w:r>
        <w:rPr>
          <w:rFonts w:hint="eastAsia" w:ascii="仿宋" w:hAnsi="仿宋" w:eastAsia="仿宋" w:cs="Times New Roman"/>
          <w:sz w:val="32"/>
          <w:szCs w:val="32"/>
        </w:rPr>
        <w:t>项目</w:t>
      </w:r>
      <w:r>
        <w:rPr>
          <w:rFonts w:hint="eastAsia" w:ascii="仿宋" w:hAnsi="仿宋" w:eastAsia="仿宋" w:cs="Times New Roman"/>
          <w:sz w:val="32"/>
          <w:szCs w:val="32"/>
          <w:lang w:val="en-US" w:eastAsia="zh-CN"/>
        </w:rPr>
        <w:t>绩效评价得分为100分</w:t>
      </w:r>
      <w:r>
        <w:rPr>
          <w:rFonts w:hint="eastAsia" w:ascii="仿宋" w:hAnsi="仿宋" w:eastAsia="仿宋"/>
          <w:sz w:val="32"/>
          <w:szCs w:val="32"/>
        </w:rPr>
        <w:t>，综合评价结论和项目综合绩效评价等级</w:t>
      </w:r>
      <w:r>
        <w:rPr>
          <w:rFonts w:hint="eastAsia" w:ascii="仿宋" w:hAnsi="仿宋" w:eastAsia="仿宋"/>
          <w:sz w:val="32"/>
          <w:szCs w:val="32"/>
          <w:lang w:val="en-US" w:eastAsia="zh-CN"/>
        </w:rPr>
        <w:t>为优秀。</w:t>
      </w:r>
    </w:p>
    <w:p w14:paraId="736660D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6"/>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020"/>
        <w:gridCol w:w="1040"/>
        <w:gridCol w:w="1335"/>
        <w:gridCol w:w="1560"/>
        <w:gridCol w:w="1485"/>
        <w:gridCol w:w="900"/>
      </w:tblGrid>
      <w:tr w14:paraId="2728D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020" w:type="dxa"/>
          </w:tcPr>
          <w:p w14:paraId="30597F27">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040" w:type="dxa"/>
          </w:tcPr>
          <w:p w14:paraId="0D47DCF2">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1A206197">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618E2530">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3F42637D">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28ED3416">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421C7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2" w:hRule="atLeast"/>
        </w:trPr>
        <w:tc>
          <w:tcPr>
            <w:tcW w:w="3020" w:type="dxa"/>
            <w:vAlign w:val="center"/>
          </w:tcPr>
          <w:p w14:paraId="484A5554">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1、招商工作经费</w:t>
            </w:r>
          </w:p>
        </w:tc>
        <w:tc>
          <w:tcPr>
            <w:tcW w:w="1040" w:type="dxa"/>
            <w:vAlign w:val="center"/>
          </w:tcPr>
          <w:p w14:paraId="6B2F89DF">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50</w:t>
            </w:r>
          </w:p>
        </w:tc>
        <w:tc>
          <w:tcPr>
            <w:tcW w:w="1335" w:type="dxa"/>
            <w:vAlign w:val="center"/>
          </w:tcPr>
          <w:p w14:paraId="253CA9D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7FF00BFF">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28</w:t>
            </w:r>
          </w:p>
        </w:tc>
        <w:tc>
          <w:tcPr>
            <w:tcW w:w="1485" w:type="dxa"/>
            <w:vAlign w:val="center"/>
          </w:tcPr>
          <w:p w14:paraId="38C37D5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53B07C9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w:t>
            </w:r>
          </w:p>
        </w:tc>
      </w:tr>
      <w:tr w14:paraId="1C1E58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020" w:type="dxa"/>
            <w:vAlign w:val="center"/>
          </w:tcPr>
          <w:p w14:paraId="41DC273C">
            <w:pPr>
              <w:tabs>
                <w:tab w:val="left" w:pos="1937"/>
              </w:tabs>
              <w:snapToGrid w:val="0"/>
              <w:spacing w:line="360" w:lineRule="auto"/>
              <w:jc w:val="left"/>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2、招商推介活动</w:t>
            </w:r>
          </w:p>
        </w:tc>
        <w:tc>
          <w:tcPr>
            <w:tcW w:w="1040" w:type="dxa"/>
            <w:vAlign w:val="center"/>
          </w:tcPr>
          <w:p w14:paraId="7CABEB7B">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50</w:t>
            </w:r>
          </w:p>
        </w:tc>
        <w:tc>
          <w:tcPr>
            <w:tcW w:w="1335" w:type="dxa"/>
            <w:vAlign w:val="center"/>
          </w:tcPr>
          <w:p w14:paraId="62B90CA6">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688FED0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30</w:t>
            </w:r>
          </w:p>
        </w:tc>
        <w:tc>
          <w:tcPr>
            <w:tcW w:w="1485" w:type="dxa"/>
            <w:vAlign w:val="center"/>
          </w:tcPr>
          <w:p w14:paraId="2D42F3C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70F9966D">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90</w:t>
            </w:r>
          </w:p>
        </w:tc>
      </w:tr>
    </w:tbl>
    <w:p w14:paraId="4E849518">
      <w:pPr>
        <w:widowControl w:val="0"/>
        <w:wordWrap/>
        <w:adjustRightInd w:val="0"/>
        <w:snapToGrid w:val="0"/>
        <w:spacing w:line="560" w:lineRule="exact"/>
        <w:ind w:right="0"/>
        <w:textAlignment w:val="auto"/>
        <w:outlineLvl w:val="9"/>
        <w:rPr>
          <w:rFonts w:hint="eastAsia" w:ascii="仿宋" w:hAnsi="仿宋" w:eastAsia="仿宋"/>
          <w:sz w:val="32"/>
          <w:szCs w:val="32"/>
        </w:rPr>
      </w:pPr>
    </w:p>
    <w:p w14:paraId="3829CFAF">
      <w:pPr>
        <w:widowControl w:val="0"/>
        <w:wordWrap/>
        <w:adjustRightInd w:val="0"/>
        <w:snapToGrid w:val="0"/>
        <w:spacing w:line="560" w:lineRule="exact"/>
        <w:ind w:right="0" w:firstLine="320" w:firstLineChars="100"/>
        <w:textAlignment w:val="auto"/>
        <w:outlineLvl w:val="9"/>
        <w:rPr>
          <w:rFonts w:hint="eastAsia" w:ascii="黑体" w:hAnsi="黑体" w:eastAsia="黑体" w:cs="黑体"/>
          <w:sz w:val="32"/>
          <w:szCs w:val="32"/>
          <w:lang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得分</w:t>
      </w:r>
      <w:r>
        <w:rPr>
          <w:rFonts w:hint="eastAsia" w:ascii="仿宋" w:hAnsi="仿宋" w:eastAsia="仿宋"/>
          <w:sz w:val="32"/>
          <w:szCs w:val="32"/>
          <w:lang w:val="en-US" w:eastAsia="zh-CN"/>
        </w:rPr>
        <w:t>98分，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4D8BE985">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362A2152">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62E5A38E">
      <w:pPr>
        <w:pStyle w:val="2"/>
        <w:numPr>
          <w:ilvl w:val="0"/>
          <w:numId w:val="0"/>
        </w:numPr>
        <w:ind w:firstLine="640" w:firstLineChars="200"/>
        <w:rPr>
          <w:rFonts w:hint="eastAsia"/>
        </w:rPr>
      </w:pPr>
      <w:bookmarkStart w:id="0" w:name="OLE_LINK1"/>
      <w:r>
        <w:rPr>
          <w:rFonts w:hint="eastAsia"/>
          <w:lang w:val="en-US" w:eastAsia="zh-CN"/>
        </w:rPr>
        <w:t>我部门2025年度绩效目标全部按时完成，在绩效评价工作过程中，我部门预算绩效管理评价工作小组发现，有个别项目年初绩效指标设定还是较为简单、不够全面、不易评价，不够详尽。</w:t>
      </w:r>
    </w:p>
    <w:bookmarkEnd w:id="0"/>
    <w:p w14:paraId="03428797">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112C2EB4">
      <w:pPr>
        <w:pStyle w:val="2"/>
        <w:ind w:firstLine="640" w:firstLineChars="200"/>
        <w:rPr>
          <w:rFonts w:hint="eastAsia" w:ascii="仿宋_GB2312" w:hAnsi="仿宋_GB2312" w:eastAsia="仿宋_GB2312" w:cs="仿宋_GB2312"/>
          <w:sz w:val="32"/>
          <w:szCs w:val="32"/>
          <w:lang w:eastAsia="zh-CN"/>
        </w:rPr>
      </w:pPr>
      <w:r>
        <w:rPr>
          <w:rFonts w:hint="eastAsia"/>
          <w:sz w:val="32"/>
          <w:lang w:val="en-US" w:eastAsia="zh-CN"/>
        </w:rPr>
        <w:t>在今后的年度预算工作中将进行进一步加强对绩效管理工作的组织领导，提高干部职工</w:t>
      </w:r>
      <w:bookmarkStart w:id="1" w:name="_GoBack"/>
      <w:bookmarkEnd w:id="1"/>
      <w:r>
        <w:rPr>
          <w:rFonts w:hint="eastAsia"/>
          <w:sz w:val="32"/>
          <w:lang w:val="en-US" w:eastAsia="zh-CN"/>
        </w:rPr>
        <w:t>对绩效自评的认识，完善工作方法，及时发现项目运行过程中出现的问题并加以改进，争取建立更加科学合理全面的绩效评价体系。</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DA03A">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5CD0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B5CD0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6E697">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FCCCFE"/>
    <w:multiLevelType w:val="singleLevel"/>
    <w:tmpl w:val="88FCCCFE"/>
    <w:lvl w:ilvl="0" w:tentative="0">
      <w:start w:val="1"/>
      <w:numFmt w:val="decimal"/>
      <w:suff w:val="nothing"/>
      <w:lvlText w:val="%1、"/>
      <w:lvlJc w:val="left"/>
    </w:lvl>
  </w:abstractNum>
  <w:abstractNum w:abstractNumId="1">
    <w:nsid w:val="92712C47"/>
    <w:multiLevelType w:val="singleLevel"/>
    <w:tmpl w:val="92712C47"/>
    <w:lvl w:ilvl="0" w:tentative="0">
      <w:start w:val="2"/>
      <w:numFmt w:val="chineseCounting"/>
      <w:suff w:val="nothing"/>
      <w:lvlText w:val="（%1）"/>
      <w:lvlJc w:val="left"/>
      <w:rPr>
        <w:rFonts w:hint="eastAsia"/>
      </w:rPr>
    </w:lvl>
  </w:abstractNum>
  <w:abstractNum w:abstractNumId="2">
    <w:nsid w:val="98E0822F"/>
    <w:multiLevelType w:val="singleLevel"/>
    <w:tmpl w:val="98E0822F"/>
    <w:lvl w:ilvl="0" w:tentative="0">
      <w:start w:val="2"/>
      <w:numFmt w:val="chineseCounting"/>
      <w:suff w:val="nothing"/>
      <w:lvlText w:val="%1、"/>
      <w:lvlJc w:val="left"/>
      <w:rPr>
        <w:rFonts w:hint="eastAsia"/>
      </w:rPr>
    </w:lvl>
  </w:abstractNum>
  <w:abstractNum w:abstractNumId="3">
    <w:nsid w:val="A35F25B5"/>
    <w:multiLevelType w:val="singleLevel"/>
    <w:tmpl w:val="A35F25B5"/>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abstractNum w:abstractNumId="5">
    <w:nsid w:val="56BDA001"/>
    <w:multiLevelType w:val="singleLevel"/>
    <w:tmpl w:val="56BDA001"/>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4D962EF"/>
    <w:rsid w:val="055B525F"/>
    <w:rsid w:val="0929578A"/>
    <w:rsid w:val="0A281C85"/>
    <w:rsid w:val="0EA63B17"/>
    <w:rsid w:val="0EAE342C"/>
    <w:rsid w:val="114A62EC"/>
    <w:rsid w:val="116F3C27"/>
    <w:rsid w:val="13B61930"/>
    <w:rsid w:val="17D6494F"/>
    <w:rsid w:val="19EE4A5D"/>
    <w:rsid w:val="1A3B21A2"/>
    <w:rsid w:val="1BAF1154"/>
    <w:rsid w:val="1C655171"/>
    <w:rsid w:val="1E1A29C8"/>
    <w:rsid w:val="1EFB0C4B"/>
    <w:rsid w:val="1FCD2D0E"/>
    <w:rsid w:val="20276775"/>
    <w:rsid w:val="20697989"/>
    <w:rsid w:val="20EB5584"/>
    <w:rsid w:val="21195411"/>
    <w:rsid w:val="22645F93"/>
    <w:rsid w:val="25EE2625"/>
    <w:rsid w:val="26B75F6B"/>
    <w:rsid w:val="272440B4"/>
    <w:rsid w:val="28C74477"/>
    <w:rsid w:val="29704AEB"/>
    <w:rsid w:val="2B820C9E"/>
    <w:rsid w:val="2D6B7C48"/>
    <w:rsid w:val="2DB05FCE"/>
    <w:rsid w:val="2DE26170"/>
    <w:rsid w:val="2F21721A"/>
    <w:rsid w:val="2F2C2A40"/>
    <w:rsid w:val="2FFB1EFC"/>
    <w:rsid w:val="329822E0"/>
    <w:rsid w:val="33497E29"/>
    <w:rsid w:val="344704E1"/>
    <w:rsid w:val="35466FCB"/>
    <w:rsid w:val="357B093C"/>
    <w:rsid w:val="366B1245"/>
    <w:rsid w:val="370A29D5"/>
    <w:rsid w:val="372B7CC3"/>
    <w:rsid w:val="39744C0B"/>
    <w:rsid w:val="39B85B8B"/>
    <w:rsid w:val="39C7715C"/>
    <w:rsid w:val="3A7963F7"/>
    <w:rsid w:val="3AAB6168"/>
    <w:rsid w:val="3AEF6FE7"/>
    <w:rsid w:val="3BB13156"/>
    <w:rsid w:val="3E110050"/>
    <w:rsid w:val="441F3676"/>
    <w:rsid w:val="467C4DAF"/>
    <w:rsid w:val="47F10CD8"/>
    <w:rsid w:val="493B718D"/>
    <w:rsid w:val="49823769"/>
    <w:rsid w:val="4B14252F"/>
    <w:rsid w:val="4BD2477A"/>
    <w:rsid w:val="4DB83F1E"/>
    <w:rsid w:val="4F9841CB"/>
    <w:rsid w:val="51700AB9"/>
    <w:rsid w:val="52C311DC"/>
    <w:rsid w:val="53A42ADD"/>
    <w:rsid w:val="541C6B97"/>
    <w:rsid w:val="54F31C6D"/>
    <w:rsid w:val="55241CD6"/>
    <w:rsid w:val="55750A0C"/>
    <w:rsid w:val="55CF7A73"/>
    <w:rsid w:val="56115F0F"/>
    <w:rsid w:val="563B01B4"/>
    <w:rsid w:val="56604927"/>
    <w:rsid w:val="590F0BE0"/>
    <w:rsid w:val="5AA54C79"/>
    <w:rsid w:val="5B4E20E6"/>
    <w:rsid w:val="5C4A315B"/>
    <w:rsid w:val="5ED32A06"/>
    <w:rsid w:val="5EFD1D4D"/>
    <w:rsid w:val="5FB2478F"/>
    <w:rsid w:val="610C1CDF"/>
    <w:rsid w:val="65DF3295"/>
    <w:rsid w:val="661D3074"/>
    <w:rsid w:val="670218E2"/>
    <w:rsid w:val="67DE73CE"/>
    <w:rsid w:val="690A63A1"/>
    <w:rsid w:val="6B1C1E0E"/>
    <w:rsid w:val="6B8E10FC"/>
    <w:rsid w:val="6BDE7164"/>
    <w:rsid w:val="6D1E2CB7"/>
    <w:rsid w:val="70DA4764"/>
    <w:rsid w:val="726C1841"/>
    <w:rsid w:val="73773FBF"/>
    <w:rsid w:val="7395766C"/>
    <w:rsid w:val="73AD155F"/>
    <w:rsid w:val="76964265"/>
    <w:rsid w:val="77A26354"/>
    <w:rsid w:val="77FA3B8D"/>
    <w:rsid w:val="788A3AA0"/>
    <w:rsid w:val="7D990760"/>
    <w:rsid w:val="7DCD062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页眉 Char"/>
    <w:basedOn w:val="8"/>
    <w:link w:val="4"/>
    <w:qFormat/>
    <w:uiPriority w:val="99"/>
    <w:rPr>
      <w:sz w:val="18"/>
      <w:szCs w:val="18"/>
    </w:rPr>
  </w:style>
  <w:style w:type="character" w:customStyle="1" w:styleId="10">
    <w:name w:val="页脚 Char"/>
    <w:basedOn w:val="8"/>
    <w:link w:val="3"/>
    <w:qFormat/>
    <w:uiPriority w:val="99"/>
    <w:rPr>
      <w:sz w:val="18"/>
      <w:szCs w:val="18"/>
    </w:rPr>
  </w:style>
  <w:style w:type="paragraph" w:customStyle="1" w:styleId="11">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3536</Words>
  <Characters>3755</Characters>
  <Lines>3</Lines>
  <Paragraphs>1</Paragraphs>
  <TotalTime>30</TotalTime>
  <ScaleCrop>false</ScaleCrop>
  <LinksUpToDate>false</LinksUpToDate>
  <CharactersWithSpaces>3755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2024-05-30T07:41:00Z</cp:lastPrinted>
  <dcterms:modified xsi:type="dcterms:W3CDTF">2026-06-03T08:06:41Z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AACF834E1C43439C8610A8DB3004CF6A_13</vt:lpwstr>
  </property>
  <property fmtid="{D5CDD505-2E9C-101B-9397-08002B2CF9AE}" pid="4" name="KSOTemplateDocerSaveRecord">
    <vt:lpwstr>eyJoZGlkIjoiYTJmZTRiNzExYzJhNTg1ZjI3MWQwMDQyODg0N2Q0YjkiLCJ1c2VySWQiOiIxNTUwMjQwMDk2In0=</vt:lpwstr>
  </property>
</Properties>
</file>