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DCE8570">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黑体" w:hAnsi="黑体" w:eastAsia="黑体" w:cs="黑体"/>
          <w:sz w:val="32"/>
          <w:szCs w:val="32"/>
          <w:lang w:val="en-US"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2</w:t>
      </w:r>
    </w:p>
    <w:p w14:paraId="339F0D25">
      <w:pPr>
        <w:keepNext w:val="0"/>
        <w:keepLines w:val="0"/>
        <w:pageBreakBefore w:val="0"/>
        <w:widowControl w:val="0"/>
        <w:kinsoku/>
        <w:wordWrap/>
        <w:overflowPunct/>
        <w:topLinePunct w:val="0"/>
        <w:autoSpaceDE/>
        <w:autoSpaceDN/>
        <w:bidi w:val="0"/>
        <w:adjustRightInd/>
        <w:snapToGrid w:val="0"/>
        <w:spacing w:line="560" w:lineRule="exact"/>
        <w:ind w:left="0" w:right="0"/>
        <w:jc w:val="center"/>
        <w:textAlignment w:val="auto"/>
        <w:outlineLvl w:val="9"/>
        <w:rPr>
          <w:rFonts w:hint="eastAsia" w:ascii="方正小标宋简体" w:hAnsi="方正小标宋简体" w:eastAsia="方正小标宋简体" w:cs="方正小标宋简体"/>
          <w:b w:val="0"/>
          <w:bCs w:val="0"/>
          <w:sz w:val="44"/>
          <w:szCs w:val="44"/>
          <w:lang w:val="en-US"/>
        </w:rPr>
      </w:pPr>
      <w:r>
        <w:rPr>
          <w:rFonts w:hint="eastAsia" w:ascii="方正小标宋简体" w:hAnsi="方正小标宋简体" w:eastAsia="方正小标宋简体" w:cs="方正小标宋简体"/>
          <w:b w:val="0"/>
          <w:bCs w:val="0"/>
          <w:kern w:val="0"/>
          <w:sz w:val="44"/>
          <w:szCs w:val="44"/>
          <w:lang w:val="en-US" w:eastAsia="zh-CN"/>
        </w:rPr>
        <w:t>藁城区工商联</w:t>
      </w:r>
    </w:p>
    <w:p w14:paraId="3CFEF565">
      <w:pPr>
        <w:keepNext w:val="0"/>
        <w:keepLines w:val="0"/>
        <w:pageBreakBefore w:val="0"/>
        <w:widowControl w:val="0"/>
        <w:kinsoku/>
        <w:wordWrap/>
        <w:overflowPunct/>
        <w:topLinePunct w:val="0"/>
        <w:autoSpaceDE/>
        <w:autoSpaceDN/>
        <w:bidi w:val="0"/>
        <w:adjustRightInd/>
        <w:snapToGrid w:val="0"/>
        <w:spacing w:line="560" w:lineRule="exact"/>
        <w:ind w:left="0" w:right="0"/>
        <w:jc w:val="center"/>
        <w:textAlignment w:val="auto"/>
        <w:outlineLvl w:val="9"/>
        <w:rPr>
          <w:rFonts w:hint="eastAsia" w:ascii="方正小标宋_GBK" w:hAnsi="方正小标宋_GBK" w:eastAsia="方正小标宋_GBK" w:cs="方正小标宋_GBK"/>
          <w:b/>
          <w:bCs/>
          <w:sz w:val="44"/>
          <w:szCs w:val="44"/>
        </w:rPr>
      </w:pPr>
      <w:r>
        <w:rPr>
          <w:rFonts w:hint="eastAsia" w:ascii="方正小标宋简体" w:hAnsi="方正小标宋简体" w:eastAsia="方正小标宋简体" w:cs="方正小标宋简体"/>
          <w:b w:val="0"/>
          <w:bCs w:val="0"/>
          <w:sz w:val="44"/>
          <w:szCs w:val="44"/>
        </w:rPr>
        <w:t>202</w:t>
      </w:r>
      <w:r>
        <w:rPr>
          <w:rFonts w:hint="eastAsia" w:ascii="方正小标宋简体" w:hAnsi="方正小标宋简体" w:eastAsia="方正小标宋简体" w:cs="方正小标宋简体"/>
          <w:b w:val="0"/>
          <w:bCs w:val="0"/>
          <w:sz w:val="44"/>
          <w:szCs w:val="44"/>
          <w:lang w:val="en-US" w:eastAsia="zh-CN"/>
        </w:rPr>
        <w:t>5</w:t>
      </w:r>
      <w:r>
        <w:rPr>
          <w:rFonts w:hint="eastAsia" w:ascii="方正小标宋简体" w:hAnsi="方正小标宋简体" w:eastAsia="方正小标宋简体" w:cs="方正小标宋简体"/>
          <w:b w:val="0"/>
          <w:bCs w:val="0"/>
          <w:sz w:val="44"/>
          <w:szCs w:val="44"/>
        </w:rPr>
        <w:t>年度整体支出绩效自评报告</w:t>
      </w:r>
    </w:p>
    <w:p w14:paraId="4829F024">
      <w:pPr>
        <w:keepNext w:val="0"/>
        <w:keepLines w:val="0"/>
        <w:pageBreakBefore w:val="0"/>
        <w:widowControl w:val="0"/>
        <w:kinsoku/>
        <w:wordWrap/>
        <w:overflowPunct/>
        <w:topLinePunct w:val="0"/>
        <w:autoSpaceDE/>
        <w:autoSpaceDN/>
        <w:bidi w:val="0"/>
        <w:adjustRightInd/>
        <w:snapToGrid w:val="0"/>
        <w:spacing w:line="560" w:lineRule="exact"/>
        <w:ind w:left="0" w:right="0"/>
        <w:jc w:val="center"/>
        <w:textAlignment w:val="auto"/>
        <w:outlineLvl w:val="9"/>
        <w:rPr>
          <w:rFonts w:hint="eastAsia" w:ascii="仿宋_GB2312" w:hAnsi="仿宋_GB2312" w:eastAsia="仿宋_GB2312" w:cs="仿宋_GB2312"/>
          <w:sz w:val="32"/>
          <w:szCs w:val="32"/>
        </w:rPr>
      </w:pPr>
    </w:p>
    <w:p w14:paraId="1710009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lang w:val="en-US" w:eastAsia="zh-CN"/>
        </w:rPr>
        <w:t>为</w:t>
      </w:r>
      <w:r>
        <w:rPr>
          <w:rFonts w:hint="eastAsia" w:ascii="仿宋_GB2312" w:hAnsi="仿宋_GB2312" w:eastAsia="仿宋_GB2312" w:cs="仿宋_GB2312"/>
          <w:sz w:val="32"/>
          <w:szCs w:val="32"/>
          <w:lang w:eastAsia="zh-CN"/>
        </w:rPr>
        <w:t>贯彻落实</w:t>
      </w:r>
      <w:r>
        <w:rPr>
          <w:rFonts w:hint="eastAsia" w:ascii="仿宋_GB2312" w:hAnsi="仿宋_GB2312" w:eastAsia="仿宋_GB2312" w:cs="仿宋_GB2312"/>
          <w:sz w:val="32"/>
          <w:szCs w:val="32"/>
          <w:highlight w:val="none"/>
          <w:lang w:eastAsia="zh-CN"/>
        </w:rPr>
        <w:t>区委区政府</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关于全面落实预算绩效管理的实施意见</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藁发</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2019</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val="en-US" w:eastAsia="zh-CN"/>
        </w:rPr>
        <w:t>9</w:t>
      </w:r>
      <w:r>
        <w:rPr>
          <w:rFonts w:hint="eastAsia" w:ascii="仿宋_GB2312" w:hAnsi="仿宋_GB2312" w:eastAsia="仿宋_GB2312" w:cs="仿宋_GB2312"/>
          <w:sz w:val="32"/>
          <w:szCs w:val="32"/>
          <w:highlight w:val="none"/>
        </w:rPr>
        <w:t>号）</w:t>
      </w:r>
      <w:r>
        <w:rPr>
          <w:rFonts w:hint="eastAsia" w:ascii="仿宋_GB2312" w:hAnsi="仿宋_GB2312" w:eastAsia="仿宋_GB2312" w:cs="仿宋_GB2312"/>
          <w:sz w:val="32"/>
          <w:szCs w:val="32"/>
          <w:highlight w:val="none"/>
          <w:lang w:eastAsia="zh-CN"/>
        </w:rPr>
        <w:t>文件精神</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rPr>
        <w:t>遵循“科学性、规范性、客观性和公正性”的原</w:t>
      </w:r>
      <w:r>
        <w:rPr>
          <w:rFonts w:hint="eastAsia" w:ascii="仿宋_GB2312" w:hAnsi="仿宋_GB2312" w:eastAsia="仿宋_GB2312" w:cs="仿宋_GB2312"/>
          <w:sz w:val="32"/>
          <w:szCs w:val="32"/>
          <w:highlight w:val="none"/>
          <w:lang w:eastAsia="zh-CN"/>
        </w:rPr>
        <w:t>则，现对本部门202</w:t>
      </w:r>
      <w:r>
        <w:rPr>
          <w:rFonts w:hint="eastAsia" w:ascii="仿宋_GB2312" w:hAnsi="仿宋_GB2312" w:eastAsia="仿宋_GB2312" w:cs="仿宋_GB2312"/>
          <w:sz w:val="32"/>
          <w:szCs w:val="32"/>
          <w:highlight w:val="none"/>
          <w:lang w:val="en-US" w:eastAsia="zh-CN"/>
        </w:rPr>
        <w:t>5</w:t>
      </w:r>
      <w:r>
        <w:rPr>
          <w:rFonts w:hint="eastAsia" w:ascii="仿宋_GB2312" w:hAnsi="仿宋_GB2312" w:eastAsia="仿宋_GB2312" w:cs="仿宋_GB2312"/>
          <w:sz w:val="32"/>
          <w:szCs w:val="32"/>
          <w:highlight w:val="none"/>
          <w:lang w:eastAsia="zh-CN"/>
        </w:rPr>
        <w:t>年度整体支出情况实施财政支出绩效评价，形成本评价报告。</w:t>
      </w:r>
    </w:p>
    <w:p w14:paraId="09AD04EB">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rPr>
        <w:t>一、</w:t>
      </w:r>
      <w:r>
        <w:rPr>
          <w:rFonts w:hint="eastAsia" w:ascii="黑体" w:hAnsi="黑体" w:eastAsia="黑体" w:cs="黑体"/>
          <w:sz w:val="32"/>
          <w:szCs w:val="32"/>
          <w:lang w:eastAsia="zh-CN"/>
        </w:rPr>
        <w:t>部门基本情况</w:t>
      </w:r>
    </w:p>
    <w:p w14:paraId="1CD7E58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（一）部门概况</w:t>
      </w:r>
    </w:p>
    <w:p w14:paraId="5D275598">
      <w:pPr>
        <w:pStyle w:val="13"/>
        <w:keepNext w:val="0"/>
        <w:keepLines w:val="0"/>
        <w:pageBreakBefore w:val="0"/>
        <w:widowControl w:val="0"/>
        <w:kinsoku/>
        <w:wordWrap/>
        <w:overflowPunct/>
        <w:topLinePunct w:val="0"/>
        <w:autoSpaceDE/>
        <w:autoSpaceDN/>
        <w:adjustRightInd w:val="0"/>
        <w:snapToGrid w:val="0"/>
        <w:spacing w:line="560" w:lineRule="exact"/>
        <w:ind w:left="0" w:firstLine="640" w:firstLineChars="200"/>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部门职能：</w:t>
      </w:r>
    </w:p>
    <w:p w14:paraId="6B4847D8">
      <w:pPr>
        <w:pStyle w:val="13"/>
        <w:keepNext w:val="0"/>
        <w:keepLines w:val="0"/>
        <w:pageBreakBefore w:val="0"/>
        <w:widowControl w:val="0"/>
        <w:kinsoku/>
        <w:wordWrap/>
        <w:overflowPunct/>
        <w:topLinePunct w:val="0"/>
        <w:autoSpaceDE/>
        <w:autoSpaceDN/>
        <w:adjustRightInd w:val="0"/>
        <w:snapToGrid w:val="0"/>
        <w:spacing w:line="560" w:lineRule="exact"/>
        <w:ind w:left="0" w:firstLine="640" w:firstLineChars="200"/>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lang w:val="en-US" w:eastAsia="zh-CN"/>
        </w:rPr>
        <w:t>1.</w:t>
      </w:r>
      <w:r>
        <w:rPr>
          <w:rFonts w:hint="eastAsia" w:ascii="仿宋_GB2312" w:hAnsi="仿宋_GB2312" w:eastAsia="仿宋_GB2312" w:cs="仿宋_GB2312"/>
          <w:b w:val="0"/>
          <w:bCs w:val="0"/>
          <w:sz w:val="32"/>
          <w:szCs w:val="32"/>
        </w:rPr>
        <w:t>团结、服务、引导、教育非公有制经济人士爱国、敬业、诚信、守法、贡献，培养拥护党的领导、走中国特色社会主义道路的非公有制经济人士队伍。</w:t>
      </w:r>
    </w:p>
    <w:p w14:paraId="330D8586">
      <w:pPr>
        <w:pStyle w:val="13"/>
        <w:keepNext w:val="0"/>
        <w:keepLines w:val="0"/>
        <w:pageBreakBefore w:val="0"/>
        <w:widowControl w:val="0"/>
        <w:kinsoku/>
        <w:wordWrap/>
        <w:overflowPunct/>
        <w:topLinePunct w:val="0"/>
        <w:autoSpaceDE/>
        <w:autoSpaceDN/>
        <w:adjustRightInd w:val="0"/>
        <w:snapToGrid w:val="0"/>
        <w:spacing w:line="560" w:lineRule="exact"/>
        <w:ind w:left="0" w:firstLine="640" w:firstLineChars="200"/>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lang w:val="en-US" w:eastAsia="zh-CN"/>
        </w:rPr>
        <w:t>2.</w:t>
      </w:r>
      <w:r>
        <w:rPr>
          <w:rFonts w:hint="eastAsia" w:ascii="仿宋_GB2312" w:hAnsi="仿宋_GB2312" w:eastAsia="仿宋_GB2312" w:cs="仿宋_GB2312"/>
          <w:b w:val="0"/>
          <w:bCs w:val="0"/>
          <w:sz w:val="32"/>
          <w:szCs w:val="32"/>
        </w:rPr>
        <w:t>做好非公有制经济代表人士政治安排的推荐工作。参与政治协商，发挥民主监督作用，积极参政议政。</w:t>
      </w:r>
    </w:p>
    <w:p w14:paraId="6D66E2B8">
      <w:pPr>
        <w:pStyle w:val="13"/>
        <w:keepNext w:val="0"/>
        <w:keepLines w:val="0"/>
        <w:pageBreakBefore w:val="0"/>
        <w:widowControl w:val="0"/>
        <w:kinsoku/>
        <w:wordWrap/>
        <w:overflowPunct/>
        <w:topLinePunct w:val="0"/>
        <w:autoSpaceDE/>
        <w:autoSpaceDN/>
        <w:adjustRightInd w:val="0"/>
        <w:snapToGrid w:val="0"/>
        <w:spacing w:line="560" w:lineRule="exact"/>
        <w:ind w:left="0" w:firstLine="640" w:firstLineChars="200"/>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lang w:val="en-US" w:eastAsia="zh-CN"/>
        </w:rPr>
        <w:t>3.</w:t>
      </w:r>
      <w:r>
        <w:rPr>
          <w:rFonts w:hint="eastAsia" w:ascii="仿宋_GB2312" w:hAnsi="仿宋_GB2312" w:eastAsia="仿宋_GB2312" w:cs="仿宋_GB2312"/>
          <w:b w:val="0"/>
          <w:bCs w:val="0"/>
          <w:sz w:val="32"/>
          <w:szCs w:val="32"/>
        </w:rPr>
        <w:t>参与政府相关的经济活动，广泛联系各地工商界人士，开展民间外交，推动经贸交流和协作，促进经济社会发展。</w:t>
      </w:r>
    </w:p>
    <w:p w14:paraId="6A9F8832">
      <w:pPr>
        <w:pStyle w:val="13"/>
        <w:keepNext w:val="0"/>
        <w:keepLines w:val="0"/>
        <w:pageBreakBefore w:val="0"/>
        <w:widowControl w:val="0"/>
        <w:kinsoku/>
        <w:wordWrap/>
        <w:overflowPunct/>
        <w:topLinePunct w:val="0"/>
        <w:autoSpaceDE/>
        <w:autoSpaceDN/>
        <w:adjustRightInd w:val="0"/>
        <w:snapToGrid w:val="0"/>
        <w:spacing w:line="560" w:lineRule="exact"/>
        <w:ind w:left="0" w:firstLine="640" w:firstLineChars="200"/>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lang w:val="en-US" w:eastAsia="zh-CN"/>
        </w:rPr>
        <w:t>4.</w:t>
      </w:r>
      <w:r>
        <w:rPr>
          <w:rFonts w:hint="eastAsia" w:ascii="仿宋_GB2312" w:hAnsi="仿宋_GB2312" w:eastAsia="仿宋_GB2312" w:cs="仿宋_GB2312"/>
          <w:b w:val="0"/>
          <w:bCs w:val="0"/>
          <w:sz w:val="32"/>
          <w:szCs w:val="32"/>
        </w:rPr>
        <w:t>参与协调劳动关系，促进和谐社会建设。</w:t>
      </w:r>
    </w:p>
    <w:p w14:paraId="17711F2D">
      <w:pPr>
        <w:pStyle w:val="13"/>
        <w:keepNext w:val="0"/>
        <w:keepLines w:val="0"/>
        <w:pageBreakBefore w:val="0"/>
        <w:widowControl w:val="0"/>
        <w:kinsoku/>
        <w:wordWrap/>
        <w:overflowPunct/>
        <w:topLinePunct w:val="0"/>
        <w:autoSpaceDE/>
        <w:autoSpaceDN/>
        <w:adjustRightInd w:val="0"/>
        <w:snapToGrid w:val="0"/>
        <w:spacing w:line="560" w:lineRule="exact"/>
        <w:ind w:left="0" w:firstLine="640" w:firstLineChars="200"/>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lang w:val="en-US" w:eastAsia="zh-CN"/>
        </w:rPr>
        <w:t>5.</w:t>
      </w:r>
      <w:r>
        <w:rPr>
          <w:rFonts w:hint="eastAsia" w:ascii="仿宋_GB2312" w:hAnsi="仿宋_GB2312" w:eastAsia="仿宋_GB2312" w:cs="仿宋_GB2312"/>
          <w:b w:val="0"/>
          <w:bCs w:val="0"/>
          <w:sz w:val="32"/>
          <w:szCs w:val="32"/>
        </w:rPr>
        <w:t>指导本会直属商会工作，积极参与社会组织建设工作，促进行业协会商会改革发展。</w:t>
      </w:r>
    </w:p>
    <w:p w14:paraId="5E8CFB5F">
      <w:pPr>
        <w:pStyle w:val="13"/>
        <w:keepNext w:val="0"/>
        <w:keepLines w:val="0"/>
        <w:pageBreakBefore w:val="0"/>
        <w:widowControl w:val="0"/>
        <w:kinsoku/>
        <w:wordWrap/>
        <w:overflowPunct/>
        <w:topLinePunct w:val="0"/>
        <w:autoSpaceDE/>
        <w:autoSpaceDN/>
        <w:adjustRightInd w:val="0"/>
        <w:snapToGrid w:val="0"/>
        <w:spacing w:line="560" w:lineRule="exact"/>
        <w:ind w:left="0" w:firstLine="640" w:firstLineChars="200"/>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lang w:val="en-US" w:eastAsia="zh-CN"/>
        </w:rPr>
        <w:t>6.</w:t>
      </w:r>
      <w:r>
        <w:rPr>
          <w:rFonts w:hint="eastAsia" w:ascii="仿宋_GB2312" w:hAnsi="仿宋_GB2312" w:eastAsia="仿宋_GB2312" w:cs="仿宋_GB2312"/>
          <w:b w:val="0"/>
          <w:bCs w:val="0"/>
          <w:sz w:val="32"/>
          <w:szCs w:val="32"/>
        </w:rPr>
        <w:t>反映非公有制企业和非公有制经济人士利益诉求维护其合法权益。</w:t>
      </w:r>
    </w:p>
    <w:p w14:paraId="5BED8C6B">
      <w:pPr>
        <w:pStyle w:val="13"/>
        <w:keepNext w:val="0"/>
        <w:keepLines w:val="0"/>
        <w:pageBreakBefore w:val="0"/>
        <w:widowControl w:val="0"/>
        <w:kinsoku/>
        <w:wordWrap/>
        <w:overflowPunct/>
        <w:topLinePunct w:val="0"/>
        <w:autoSpaceDE/>
        <w:autoSpaceDN/>
        <w:adjustRightInd w:val="0"/>
        <w:snapToGrid w:val="0"/>
        <w:spacing w:line="560" w:lineRule="exact"/>
        <w:ind w:left="0" w:firstLine="640" w:firstLineChars="200"/>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lang w:val="en-US" w:eastAsia="zh-CN"/>
        </w:rPr>
        <w:t>7.</w:t>
      </w:r>
      <w:r>
        <w:rPr>
          <w:rFonts w:hint="eastAsia" w:ascii="仿宋_GB2312" w:hAnsi="仿宋_GB2312" w:eastAsia="仿宋_GB2312" w:cs="仿宋_GB2312"/>
          <w:b w:val="0"/>
          <w:bCs w:val="0"/>
          <w:sz w:val="32"/>
          <w:szCs w:val="32"/>
        </w:rPr>
        <w:t>为会员提供政策信息、人才交流培训等服务。组织会员企业参加各类经贸活动，外出参观考察，帮助会员企业拓展市场。</w:t>
      </w:r>
    </w:p>
    <w:p w14:paraId="0A684AF8">
      <w:pPr>
        <w:pStyle w:val="13"/>
        <w:keepNext w:val="0"/>
        <w:keepLines w:val="0"/>
        <w:pageBreakBefore w:val="0"/>
        <w:widowControl w:val="0"/>
        <w:kinsoku/>
        <w:wordWrap/>
        <w:overflowPunct/>
        <w:topLinePunct w:val="0"/>
        <w:autoSpaceDE/>
        <w:autoSpaceDN/>
        <w:adjustRightInd w:val="0"/>
        <w:snapToGrid w:val="0"/>
        <w:spacing w:line="560" w:lineRule="exact"/>
        <w:ind w:left="0" w:firstLine="640" w:firstLineChars="200"/>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lang w:val="en-US" w:eastAsia="zh-CN"/>
        </w:rPr>
        <w:t>8.</w:t>
      </w:r>
      <w:r>
        <w:rPr>
          <w:rFonts w:hint="eastAsia" w:ascii="仿宋_GB2312" w:hAnsi="仿宋_GB2312" w:eastAsia="仿宋_GB2312" w:cs="仿宋_GB2312"/>
          <w:b w:val="0"/>
          <w:bCs w:val="0"/>
          <w:sz w:val="32"/>
          <w:szCs w:val="32"/>
        </w:rPr>
        <w:t>配合有关部门开展非公有制会员企业党建工作。</w:t>
      </w:r>
    </w:p>
    <w:p w14:paraId="59889B84">
      <w:pPr>
        <w:pStyle w:val="13"/>
        <w:keepNext w:val="0"/>
        <w:keepLines w:val="0"/>
        <w:pageBreakBefore w:val="0"/>
        <w:widowControl w:val="0"/>
        <w:kinsoku/>
        <w:wordWrap/>
        <w:overflowPunct/>
        <w:topLinePunct w:val="0"/>
        <w:autoSpaceDE/>
        <w:autoSpaceDN/>
        <w:adjustRightInd w:val="0"/>
        <w:snapToGrid w:val="0"/>
        <w:spacing w:line="560" w:lineRule="exact"/>
        <w:ind w:left="0" w:firstLine="640" w:firstLineChars="200"/>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lang w:val="en-US" w:eastAsia="zh-CN"/>
        </w:rPr>
        <w:t>9.</w:t>
      </w:r>
      <w:r>
        <w:rPr>
          <w:rFonts w:hint="eastAsia" w:ascii="仿宋_GB2312" w:hAnsi="仿宋_GB2312" w:eastAsia="仿宋_GB2312" w:cs="仿宋_GB2312"/>
          <w:b w:val="0"/>
          <w:bCs w:val="0"/>
          <w:sz w:val="32"/>
          <w:szCs w:val="32"/>
        </w:rPr>
        <w:t>积极引导非公有制企业及其非公有制经济人士承担社会责任，大力支持慈善公益事业发展，积极投身光彩事业。</w:t>
      </w:r>
    </w:p>
    <w:p w14:paraId="420D6CC4">
      <w:pPr>
        <w:pStyle w:val="13"/>
        <w:keepNext w:val="0"/>
        <w:keepLines w:val="0"/>
        <w:pageBreakBefore w:val="0"/>
        <w:widowControl w:val="0"/>
        <w:kinsoku/>
        <w:wordWrap/>
        <w:overflowPunct/>
        <w:topLinePunct w:val="0"/>
        <w:autoSpaceDE/>
        <w:autoSpaceDN/>
        <w:adjustRightInd w:val="0"/>
        <w:snapToGrid w:val="0"/>
        <w:spacing w:line="560" w:lineRule="exact"/>
        <w:ind w:left="0" w:firstLine="640" w:firstLineChars="200"/>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lang w:val="en-US" w:eastAsia="zh-CN"/>
        </w:rPr>
        <w:t>10.</w:t>
      </w:r>
      <w:r>
        <w:rPr>
          <w:rFonts w:hint="eastAsia" w:ascii="仿宋_GB2312" w:hAnsi="仿宋_GB2312" w:eastAsia="仿宋_GB2312" w:cs="仿宋_GB2312"/>
          <w:b w:val="0"/>
          <w:bCs w:val="0"/>
          <w:sz w:val="32"/>
          <w:szCs w:val="32"/>
        </w:rPr>
        <w:t>承办区委、区政府和上级工商联交办的其它任务。</w:t>
      </w:r>
    </w:p>
    <w:p w14:paraId="624C993C">
      <w:pPr>
        <w:keepNext w:val="0"/>
        <w:keepLines w:val="0"/>
        <w:pageBreakBefore w:val="0"/>
        <w:widowControl w:val="0"/>
        <w:kinsoku/>
        <w:wordWrap/>
        <w:overflowPunct/>
        <w:topLinePunct w:val="0"/>
        <w:autoSpaceDE/>
        <w:autoSpaceDN/>
        <w:adjustRightInd w:val="0"/>
        <w:snapToGrid w:val="0"/>
        <w:spacing w:before="0" w:after="0" w:line="560" w:lineRule="exact"/>
        <w:ind w:left="0" w:firstLine="640" w:firstLineChars="200"/>
        <w:jc w:val="left"/>
        <w:rPr>
          <w:rFonts w:ascii="仿宋_GB2312" w:hAnsi="仿宋_GB2312" w:eastAsia="仿宋_GB2312" w:cs="仿宋_GB2312"/>
          <w:b w:val="0"/>
          <w:bCs w:val="0"/>
          <w:sz w:val="32"/>
          <w:szCs w:val="32"/>
          <w:lang w:val="en-US"/>
        </w:rPr>
      </w:pPr>
      <w:r>
        <w:rPr>
          <w:rFonts w:hint="eastAsia" w:ascii="仿宋_GB2312" w:hAnsi="仿宋_GB2312" w:eastAsia="仿宋_GB2312" w:cs="仿宋_GB2312"/>
          <w:b w:val="0"/>
          <w:bCs w:val="0"/>
          <w:sz w:val="32"/>
          <w:szCs w:val="32"/>
          <w:lang w:eastAsia="zh-CN"/>
        </w:rPr>
        <w:t>组织机构</w:t>
      </w:r>
    </w:p>
    <w:p w14:paraId="2D2391EB">
      <w:pPr>
        <w:keepNext w:val="0"/>
        <w:keepLines w:val="0"/>
        <w:pageBreakBefore w:val="0"/>
        <w:widowControl w:val="0"/>
        <w:kinsoku/>
        <w:wordWrap/>
        <w:overflowPunct/>
        <w:topLinePunct w:val="0"/>
        <w:autoSpaceDE/>
        <w:autoSpaceDN/>
        <w:adjustRightInd w:val="0"/>
        <w:snapToGrid w:val="0"/>
        <w:spacing w:before="0" w:after="0" w:line="560" w:lineRule="exact"/>
        <w:ind w:left="0" w:firstLine="640" w:firstLineChars="200"/>
        <w:jc w:val="center"/>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color w:val="000000"/>
          <w:sz w:val="32"/>
          <w:szCs w:val="32"/>
        </w:rPr>
        <w:t>部门机构设置情况</w:t>
      </w:r>
    </w:p>
    <w:tbl>
      <w:tblPr>
        <w:tblStyle w:val="8"/>
        <w:tblW w:w="9042" w:type="dxa"/>
        <w:tblInd w:w="18"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3"/>
        <w:gridCol w:w="1900"/>
        <w:gridCol w:w="2283"/>
        <w:gridCol w:w="2356"/>
      </w:tblGrid>
      <w:tr w14:paraId="2C71C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trPr>
        <w:tc>
          <w:tcPr>
            <w:tcW w:w="2503" w:type="dxa"/>
            <w:vAlign w:val="center"/>
          </w:tcPr>
          <w:p w14:paraId="7E1D68A9">
            <w:pPr>
              <w:pStyle w:val="14"/>
              <w:keepNext w:val="0"/>
              <w:keepLines w:val="0"/>
              <w:pageBreakBefore w:val="0"/>
              <w:widowControl w:val="0"/>
              <w:kinsoku/>
              <w:wordWrap/>
              <w:overflowPunct/>
              <w:topLinePunct w:val="0"/>
              <w:autoSpaceDE/>
              <w:autoSpaceDN/>
              <w:bidi w:val="0"/>
              <w:adjustRightInd w:val="0"/>
              <w:snapToGrid w:val="0"/>
              <w:spacing w:line="560" w:lineRule="exact"/>
              <w:ind w:left="0" w:firstLine="0"/>
              <w:textAlignment w:val="auto"/>
              <w:rPr>
                <w:rFonts w:hint="eastAsia" w:ascii="仿宋_GB2312" w:hAnsi="仿宋_GB2312" w:eastAsia="仿宋_GB2312" w:cs="仿宋_GB2312"/>
                <w:b w:val="0"/>
                <w:bCs w:val="0"/>
                <w:sz w:val="28"/>
                <w:szCs w:val="28"/>
              </w:rPr>
            </w:pPr>
            <w:r>
              <w:rPr>
                <w:rFonts w:hint="eastAsia" w:ascii="仿宋_GB2312" w:hAnsi="仿宋_GB2312" w:eastAsia="仿宋_GB2312" w:cs="仿宋_GB2312"/>
                <w:b w:val="0"/>
                <w:bCs w:val="0"/>
                <w:sz w:val="28"/>
                <w:szCs w:val="28"/>
              </w:rPr>
              <w:t>单位名称</w:t>
            </w:r>
          </w:p>
        </w:tc>
        <w:tc>
          <w:tcPr>
            <w:tcW w:w="1900" w:type="dxa"/>
            <w:vAlign w:val="center"/>
          </w:tcPr>
          <w:p w14:paraId="14940DC5">
            <w:pPr>
              <w:pStyle w:val="14"/>
              <w:keepNext w:val="0"/>
              <w:keepLines w:val="0"/>
              <w:pageBreakBefore w:val="0"/>
              <w:widowControl w:val="0"/>
              <w:kinsoku/>
              <w:wordWrap/>
              <w:overflowPunct/>
              <w:topLinePunct w:val="0"/>
              <w:autoSpaceDE/>
              <w:autoSpaceDN/>
              <w:bidi w:val="0"/>
              <w:adjustRightInd w:val="0"/>
              <w:snapToGrid w:val="0"/>
              <w:spacing w:line="560" w:lineRule="exact"/>
              <w:ind w:left="0" w:firstLine="0"/>
              <w:textAlignment w:val="auto"/>
              <w:rPr>
                <w:rFonts w:hint="eastAsia" w:ascii="仿宋_GB2312" w:hAnsi="仿宋_GB2312" w:eastAsia="仿宋_GB2312" w:cs="仿宋_GB2312"/>
                <w:b w:val="0"/>
                <w:bCs w:val="0"/>
                <w:sz w:val="28"/>
                <w:szCs w:val="28"/>
              </w:rPr>
            </w:pPr>
            <w:r>
              <w:rPr>
                <w:rFonts w:hint="eastAsia" w:ascii="仿宋_GB2312" w:hAnsi="仿宋_GB2312" w:eastAsia="仿宋_GB2312" w:cs="仿宋_GB2312"/>
                <w:b w:val="0"/>
                <w:bCs w:val="0"/>
                <w:sz w:val="28"/>
                <w:szCs w:val="28"/>
              </w:rPr>
              <w:t>单位性质</w:t>
            </w:r>
          </w:p>
        </w:tc>
        <w:tc>
          <w:tcPr>
            <w:tcW w:w="2283" w:type="dxa"/>
            <w:vAlign w:val="center"/>
          </w:tcPr>
          <w:p w14:paraId="3A1543EA">
            <w:pPr>
              <w:pStyle w:val="14"/>
              <w:keepNext w:val="0"/>
              <w:keepLines w:val="0"/>
              <w:pageBreakBefore w:val="0"/>
              <w:widowControl w:val="0"/>
              <w:kinsoku/>
              <w:wordWrap/>
              <w:overflowPunct/>
              <w:topLinePunct w:val="0"/>
              <w:autoSpaceDE/>
              <w:autoSpaceDN/>
              <w:bidi w:val="0"/>
              <w:adjustRightInd w:val="0"/>
              <w:snapToGrid w:val="0"/>
              <w:spacing w:line="560" w:lineRule="exact"/>
              <w:ind w:left="0" w:firstLine="0"/>
              <w:textAlignment w:val="auto"/>
              <w:rPr>
                <w:rFonts w:hint="eastAsia" w:ascii="仿宋_GB2312" w:hAnsi="仿宋_GB2312" w:eastAsia="仿宋_GB2312" w:cs="仿宋_GB2312"/>
                <w:b w:val="0"/>
                <w:bCs w:val="0"/>
                <w:sz w:val="28"/>
                <w:szCs w:val="28"/>
              </w:rPr>
            </w:pPr>
            <w:r>
              <w:rPr>
                <w:rFonts w:hint="eastAsia" w:ascii="仿宋_GB2312" w:hAnsi="仿宋_GB2312" w:eastAsia="仿宋_GB2312" w:cs="仿宋_GB2312"/>
                <w:b w:val="0"/>
                <w:bCs w:val="0"/>
                <w:sz w:val="28"/>
                <w:szCs w:val="28"/>
              </w:rPr>
              <w:t>单位规格</w:t>
            </w:r>
          </w:p>
        </w:tc>
        <w:tc>
          <w:tcPr>
            <w:tcW w:w="2356" w:type="dxa"/>
            <w:vAlign w:val="center"/>
          </w:tcPr>
          <w:p w14:paraId="6E5A698F">
            <w:pPr>
              <w:pStyle w:val="14"/>
              <w:keepNext w:val="0"/>
              <w:keepLines w:val="0"/>
              <w:pageBreakBefore w:val="0"/>
              <w:widowControl w:val="0"/>
              <w:kinsoku/>
              <w:wordWrap/>
              <w:overflowPunct/>
              <w:topLinePunct w:val="0"/>
              <w:autoSpaceDE/>
              <w:autoSpaceDN/>
              <w:bidi w:val="0"/>
              <w:adjustRightInd w:val="0"/>
              <w:snapToGrid w:val="0"/>
              <w:spacing w:line="560" w:lineRule="exact"/>
              <w:ind w:left="0" w:firstLine="0"/>
              <w:textAlignment w:val="auto"/>
              <w:rPr>
                <w:rFonts w:hint="eastAsia" w:ascii="仿宋_GB2312" w:hAnsi="仿宋_GB2312" w:eastAsia="仿宋_GB2312" w:cs="仿宋_GB2312"/>
                <w:b w:val="0"/>
                <w:bCs w:val="0"/>
                <w:sz w:val="28"/>
                <w:szCs w:val="28"/>
              </w:rPr>
            </w:pPr>
            <w:r>
              <w:rPr>
                <w:rFonts w:hint="eastAsia" w:ascii="仿宋_GB2312" w:hAnsi="仿宋_GB2312" w:eastAsia="仿宋_GB2312" w:cs="仿宋_GB2312"/>
                <w:b w:val="0"/>
                <w:bCs w:val="0"/>
                <w:sz w:val="28"/>
                <w:szCs w:val="28"/>
              </w:rPr>
              <w:t>经费保障形式</w:t>
            </w:r>
          </w:p>
        </w:tc>
      </w:tr>
      <w:tr w14:paraId="3C3B0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605" w:hRule="atLeast"/>
        </w:trPr>
        <w:tc>
          <w:tcPr>
            <w:tcW w:w="2503" w:type="dxa"/>
            <w:vAlign w:val="center"/>
          </w:tcPr>
          <w:p w14:paraId="55A78D05">
            <w:pPr>
              <w:pStyle w:val="15"/>
              <w:keepNext w:val="0"/>
              <w:keepLines w:val="0"/>
              <w:pageBreakBefore w:val="0"/>
              <w:widowControl w:val="0"/>
              <w:kinsoku/>
              <w:wordWrap/>
              <w:overflowPunct/>
              <w:topLinePunct w:val="0"/>
              <w:autoSpaceDE/>
              <w:autoSpaceDN/>
              <w:bidi w:val="0"/>
              <w:adjustRightInd w:val="0"/>
              <w:snapToGrid w:val="0"/>
              <w:spacing w:line="560" w:lineRule="exact"/>
              <w:ind w:left="0" w:firstLine="0"/>
              <w:textAlignment w:val="auto"/>
              <w:rPr>
                <w:rFonts w:hint="eastAsia" w:ascii="仿宋_GB2312" w:hAnsi="仿宋_GB2312" w:eastAsia="仿宋_GB2312" w:cs="仿宋_GB2312"/>
                <w:b w:val="0"/>
                <w:bCs w:val="0"/>
                <w:sz w:val="28"/>
                <w:szCs w:val="28"/>
              </w:rPr>
            </w:pPr>
            <w:r>
              <w:rPr>
                <w:rFonts w:hint="eastAsia" w:ascii="仿宋_GB2312" w:hAnsi="仿宋_GB2312" w:eastAsia="仿宋_GB2312" w:cs="仿宋_GB2312"/>
                <w:b w:val="0"/>
                <w:bCs w:val="0"/>
                <w:sz w:val="28"/>
                <w:szCs w:val="28"/>
              </w:rPr>
              <w:t>石家庄市藁城区工商业联合会本级</w:t>
            </w:r>
          </w:p>
        </w:tc>
        <w:tc>
          <w:tcPr>
            <w:tcW w:w="1900" w:type="dxa"/>
            <w:tcBorders>
              <w:left w:val="single" w:color="000000" w:sz="6" w:space="0"/>
            </w:tcBorders>
            <w:vAlign w:val="center"/>
          </w:tcPr>
          <w:p w14:paraId="123CD038">
            <w:pPr>
              <w:pStyle w:val="16"/>
              <w:keepNext w:val="0"/>
              <w:keepLines w:val="0"/>
              <w:pageBreakBefore w:val="0"/>
              <w:widowControl w:val="0"/>
              <w:kinsoku/>
              <w:wordWrap/>
              <w:overflowPunct/>
              <w:topLinePunct w:val="0"/>
              <w:autoSpaceDE/>
              <w:autoSpaceDN/>
              <w:bidi w:val="0"/>
              <w:adjustRightInd w:val="0"/>
              <w:snapToGrid w:val="0"/>
              <w:spacing w:line="560" w:lineRule="exact"/>
              <w:ind w:left="0" w:firstLine="0"/>
              <w:textAlignment w:val="auto"/>
              <w:rPr>
                <w:rFonts w:hint="eastAsia" w:ascii="仿宋_GB2312" w:hAnsi="仿宋_GB2312" w:eastAsia="仿宋_GB2312" w:cs="仿宋_GB2312"/>
                <w:b w:val="0"/>
                <w:bCs w:val="0"/>
                <w:sz w:val="28"/>
                <w:szCs w:val="28"/>
              </w:rPr>
            </w:pPr>
            <w:r>
              <w:rPr>
                <w:rFonts w:hint="eastAsia" w:ascii="仿宋_GB2312" w:hAnsi="仿宋_GB2312" w:eastAsia="仿宋_GB2312" w:cs="仿宋_GB2312"/>
                <w:b w:val="0"/>
                <w:bCs w:val="0"/>
                <w:sz w:val="28"/>
                <w:szCs w:val="28"/>
              </w:rPr>
              <w:t>行政</w:t>
            </w:r>
          </w:p>
        </w:tc>
        <w:tc>
          <w:tcPr>
            <w:tcW w:w="2283" w:type="dxa"/>
            <w:tcBorders>
              <w:left w:val="single" w:color="000000" w:sz="6" w:space="0"/>
            </w:tcBorders>
            <w:vAlign w:val="center"/>
          </w:tcPr>
          <w:p w14:paraId="0959CDEC">
            <w:pPr>
              <w:pStyle w:val="16"/>
              <w:keepNext w:val="0"/>
              <w:keepLines w:val="0"/>
              <w:pageBreakBefore w:val="0"/>
              <w:widowControl w:val="0"/>
              <w:kinsoku/>
              <w:wordWrap/>
              <w:overflowPunct/>
              <w:topLinePunct w:val="0"/>
              <w:autoSpaceDE/>
              <w:autoSpaceDN/>
              <w:bidi w:val="0"/>
              <w:adjustRightInd w:val="0"/>
              <w:snapToGrid w:val="0"/>
              <w:spacing w:line="560" w:lineRule="exact"/>
              <w:ind w:left="0" w:firstLine="0"/>
              <w:textAlignment w:val="auto"/>
              <w:rPr>
                <w:rFonts w:hint="eastAsia" w:ascii="仿宋_GB2312" w:hAnsi="仿宋_GB2312" w:eastAsia="仿宋_GB2312" w:cs="仿宋_GB2312"/>
                <w:b w:val="0"/>
                <w:bCs w:val="0"/>
                <w:sz w:val="28"/>
                <w:szCs w:val="28"/>
              </w:rPr>
            </w:pPr>
            <w:r>
              <w:rPr>
                <w:rFonts w:hint="eastAsia" w:ascii="仿宋_GB2312" w:hAnsi="仿宋_GB2312" w:eastAsia="仿宋_GB2312" w:cs="仿宋_GB2312"/>
                <w:b w:val="0"/>
                <w:bCs w:val="0"/>
                <w:sz w:val="28"/>
                <w:szCs w:val="28"/>
              </w:rPr>
              <w:t>正科级</w:t>
            </w:r>
          </w:p>
        </w:tc>
        <w:tc>
          <w:tcPr>
            <w:tcW w:w="2356" w:type="dxa"/>
            <w:tcBorders>
              <w:left w:val="single" w:color="000000" w:sz="6" w:space="0"/>
            </w:tcBorders>
            <w:vAlign w:val="center"/>
          </w:tcPr>
          <w:p w14:paraId="6CEC4B1B">
            <w:pPr>
              <w:pStyle w:val="16"/>
              <w:keepNext w:val="0"/>
              <w:keepLines w:val="0"/>
              <w:pageBreakBefore w:val="0"/>
              <w:widowControl w:val="0"/>
              <w:kinsoku/>
              <w:wordWrap/>
              <w:overflowPunct/>
              <w:topLinePunct w:val="0"/>
              <w:autoSpaceDE/>
              <w:autoSpaceDN/>
              <w:bidi w:val="0"/>
              <w:adjustRightInd w:val="0"/>
              <w:snapToGrid w:val="0"/>
              <w:spacing w:line="560" w:lineRule="exact"/>
              <w:ind w:left="0" w:firstLine="0"/>
              <w:textAlignment w:val="auto"/>
              <w:rPr>
                <w:rFonts w:hint="eastAsia" w:ascii="仿宋_GB2312" w:hAnsi="仿宋_GB2312" w:eastAsia="仿宋_GB2312" w:cs="仿宋_GB2312"/>
                <w:b w:val="0"/>
                <w:bCs w:val="0"/>
                <w:sz w:val="28"/>
                <w:szCs w:val="28"/>
              </w:rPr>
            </w:pPr>
            <w:r>
              <w:rPr>
                <w:rFonts w:hint="eastAsia" w:ascii="仿宋_GB2312" w:hAnsi="仿宋_GB2312" w:eastAsia="仿宋_GB2312" w:cs="仿宋_GB2312"/>
                <w:b w:val="0"/>
                <w:bCs w:val="0"/>
                <w:sz w:val="28"/>
                <w:szCs w:val="28"/>
              </w:rPr>
              <w:t>财政拨款</w:t>
            </w:r>
          </w:p>
        </w:tc>
      </w:tr>
    </w:tbl>
    <w:p w14:paraId="6617973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楷体_GB2312" w:hAnsi="楷体_GB2312" w:eastAsia="楷体_GB2312" w:cs="楷体_GB2312"/>
          <w:bCs/>
          <w:sz w:val="32"/>
          <w:szCs w:val="32"/>
        </w:rPr>
      </w:pPr>
      <w:r>
        <w:rPr>
          <w:rFonts w:hint="eastAsia" w:ascii="楷体_GB2312" w:hAnsi="楷体_GB2312" w:eastAsia="楷体_GB2312" w:cs="楷体_GB2312"/>
          <w:bCs/>
          <w:sz w:val="32"/>
          <w:szCs w:val="32"/>
        </w:rPr>
        <w:t>（二）部门收支预决算情况</w:t>
      </w:r>
    </w:p>
    <w:p w14:paraId="72F33AB3">
      <w:pPr>
        <w:pStyle w:val="13"/>
        <w:keepNext w:val="0"/>
        <w:keepLines w:val="0"/>
        <w:pageBreakBefore w:val="0"/>
        <w:widowControl w:val="0"/>
        <w:kinsoku/>
        <w:wordWrap/>
        <w:overflowPunct/>
        <w:topLinePunct w:val="0"/>
        <w:autoSpaceDE/>
        <w:autoSpaceDN/>
        <w:adjustRightInd w:val="0"/>
        <w:snapToGrid w:val="0"/>
        <w:spacing w:line="560" w:lineRule="exact"/>
        <w:ind w:left="0" w:firstLine="640" w:firstLineChars="200"/>
        <w:rPr>
          <w:rFonts w:hint="eastAsia" w:ascii="仿宋_GB2312" w:hAnsi="仿宋_GB2312" w:eastAsia="仿宋_GB2312" w:cs="仿宋_GB2312"/>
          <w:sz w:val="32"/>
          <w:szCs w:val="32"/>
          <w:highlight w:val="none"/>
        </w:rPr>
      </w:pPr>
      <w:r>
        <w:rPr>
          <w:rFonts w:hint="eastAsia" w:ascii="仿宋_GB2312" w:hAnsi="Times New Roman" w:eastAsia="仿宋_GB2312" w:cs="DengXian-Regular"/>
          <w:sz w:val="32"/>
          <w:szCs w:val="32"/>
          <w:highlight w:val="none"/>
        </w:rPr>
        <w:t>本部门202</w:t>
      </w:r>
      <w:r>
        <w:rPr>
          <w:rFonts w:hint="eastAsia" w:ascii="仿宋_GB2312" w:eastAsia="仿宋_GB2312" w:cs="DengXian-Regular"/>
          <w:sz w:val="32"/>
          <w:szCs w:val="32"/>
          <w:highlight w:val="none"/>
          <w:lang w:val="en-US" w:eastAsia="zh-CN"/>
        </w:rPr>
        <w:t>5</w:t>
      </w:r>
      <w:r>
        <w:rPr>
          <w:rFonts w:hint="eastAsia" w:ascii="仿宋_GB2312" w:hAnsi="Times New Roman" w:eastAsia="仿宋_GB2312" w:cs="DengXian-Regular"/>
          <w:sz w:val="32"/>
          <w:szCs w:val="32"/>
          <w:highlight w:val="none"/>
        </w:rPr>
        <w:t>年度财政拨款本年收入</w:t>
      </w:r>
      <w:r>
        <w:rPr>
          <w:rFonts w:hint="eastAsia" w:ascii="仿宋_GB2312" w:eastAsia="仿宋_GB2312" w:cs="DengXian-Regular"/>
          <w:sz w:val="32"/>
          <w:szCs w:val="32"/>
          <w:highlight w:val="none"/>
          <w:lang w:val="en-US" w:eastAsia="zh-CN"/>
        </w:rPr>
        <w:t>104.83</w:t>
      </w:r>
      <w:r>
        <w:rPr>
          <w:rFonts w:hint="eastAsia" w:ascii="仿宋_GB2312" w:hAnsi="Times New Roman" w:eastAsia="仿宋_GB2312" w:cs="DengXian-Regular"/>
          <w:sz w:val="32"/>
          <w:szCs w:val="32"/>
          <w:highlight w:val="none"/>
        </w:rPr>
        <w:t>万元，比年初预算</w:t>
      </w:r>
      <w:r>
        <w:rPr>
          <w:rFonts w:hint="eastAsia" w:ascii="仿宋_GB2312" w:eastAsia="仿宋_GB2312" w:cs="DengXian-Regular"/>
          <w:sz w:val="32"/>
          <w:szCs w:val="32"/>
          <w:highlight w:val="none"/>
          <w:lang w:val="en-US" w:eastAsia="zh-CN"/>
        </w:rPr>
        <w:t>减少22.24</w:t>
      </w:r>
      <w:r>
        <w:rPr>
          <w:rFonts w:hint="eastAsia" w:ascii="仿宋_GB2312" w:hAnsi="Times New Roman" w:eastAsia="仿宋_GB2312" w:cs="DengXian-Regular"/>
          <w:sz w:val="32"/>
          <w:szCs w:val="32"/>
          <w:highlight w:val="none"/>
        </w:rPr>
        <w:t>万元，主要原因是</w:t>
      </w:r>
      <w:r>
        <w:rPr>
          <w:rFonts w:hint="eastAsia" w:ascii="仿宋_GB2312" w:eastAsia="仿宋_GB2312" w:cs="DengXian-Regular"/>
          <w:sz w:val="32"/>
          <w:szCs w:val="32"/>
          <w:highlight w:val="none"/>
          <w:lang w:val="en-US" w:eastAsia="zh-CN"/>
        </w:rPr>
        <w:t>贯彻落实过紧日子要求，厉行节约，压缩开支</w:t>
      </w:r>
      <w:r>
        <w:rPr>
          <w:rFonts w:hint="eastAsia" w:ascii="仿宋_GB2312" w:hAnsi="Times New Roman" w:eastAsia="仿宋_GB2312" w:cs="DengXian-Regular"/>
          <w:sz w:val="32"/>
          <w:szCs w:val="32"/>
          <w:highlight w:val="none"/>
        </w:rPr>
        <w:t>；本年支出</w:t>
      </w:r>
      <w:r>
        <w:rPr>
          <w:rFonts w:hint="eastAsia" w:ascii="仿宋_GB2312" w:eastAsia="仿宋_GB2312" w:cs="DengXian-Regular"/>
          <w:sz w:val="32"/>
          <w:szCs w:val="32"/>
          <w:highlight w:val="none"/>
          <w:lang w:val="en-US" w:eastAsia="zh-CN"/>
        </w:rPr>
        <w:t>104.83</w:t>
      </w:r>
      <w:r>
        <w:rPr>
          <w:rFonts w:hint="eastAsia" w:ascii="仿宋_GB2312" w:hAnsi="Times New Roman" w:eastAsia="仿宋_GB2312" w:cs="DengXian-Regular"/>
          <w:sz w:val="32"/>
          <w:szCs w:val="32"/>
          <w:highlight w:val="none"/>
        </w:rPr>
        <w:t>万元，比年初预算</w:t>
      </w:r>
      <w:r>
        <w:rPr>
          <w:rFonts w:hint="eastAsia" w:ascii="仿宋_GB2312" w:eastAsia="仿宋_GB2312" w:cs="DengXian-Regular"/>
          <w:sz w:val="32"/>
          <w:szCs w:val="32"/>
          <w:highlight w:val="none"/>
          <w:lang w:val="en-US" w:eastAsia="zh-CN"/>
        </w:rPr>
        <w:t>减少22.24</w:t>
      </w:r>
      <w:r>
        <w:rPr>
          <w:rFonts w:hint="eastAsia" w:ascii="仿宋_GB2312" w:hAnsi="Times New Roman" w:eastAsia="仿宋_GB2312" w:cs="DengXian-Regular"/>
          <w:sz w:val="32"/>
          <w:szCs w:val="32"/>
          <w:highlight w:val="none"/>
        </w:rPr>
        <w:t>万元，主要原因是</w:t>
      </w:r>
      <w:bookmarkStart w:id="0" w:name="_GoBack"/>
      <w:bookmarkEnd w:id="0"/>
      <w:r>
        <w:rPr>
          <w:rFonts w:hint="eastAsia" w:ascii="仿宋_GB2312" w:eastAsia="仿宋_GB2312" w:cs="DengXian-Regular"/>
          <w:sz w:val="32"/>
          <w:szCs w:val="32"/>
          <w:highlight w:val="none"/>
          <w:lang w:val="en-US" w:eastAsia="zh-CN"/>
        </w:rPr>
        <w:t>贯彻落实过紧日子要求，厉行节约，压缩开支</w:t>
      </w:r>
      <w:r>
        <w:rPr>
          <w:rFonts w:hint="eastAsia" w:ascii="仿宋_GB2312" w:hAnsi="Times New Roman" w:eastAsia="仿宋_GB2312" w:cs="DengXian-Regular"/>
          <w:sz w:val="32"/>
          <w:szCs w:val="32"/>
          <w:highlight w:val="none"/>
        </w:rPr>
        <w:t>。</w:t>
      </w:r>
    </w:p>
    <w:p w14:paraId="6222107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楷体_GB2312" w:hAnsi="楷体_GB2312" w:eastAsia="楷体_GB2312" w:cs="楷体_GB2312"/>
          <w:bCs/>
          <w:sz w:val="32"/>
          <w:szCs w:val="32"/>
        </w:rPr>
      </w:pPr>
      <w:r>
        <w:rPr>
          <w:rFonts w:hint="eastAsia" w:ascii="楷体_GB2312" w:hAnsi="楷体_GB2312" w:eastAsia="楷体_GB2312" w:cs="楷体_GB2312"/>
          <w:bCs/>
          <w:sz w:val="32"/>
          <w:szCs w:val="32"/>
        </w:rPr>
        <w:t>（三）部门整体支出绩效目标、指标</w:t>
      </w:r>
    </w:p>
    <w:p w14:paraId="74468996">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藁城区工商联坚持以习近平新时代中国特色社会主义思想为指导，认真学习贯彻党的</w:t>
      </w:r>
      <w:r>
        <w:rPr>
          <w:rFonts w:hint="eastAsia" w:ascii="仿宋_GB2312" w:hAnsi="仿宋_GB2312" w:eastAsia="仿宋_GB2312" w:cs="仿宋_GB2312"/>
          <w:b w:val="0"/>
          <w:bCs w:val="0"/>
          <w:sz w:val="32"/>
          <w:szCs w:val="32"/>
          <w:lang w:val="en-US" w:eastAsia="zh-CN"/>
        </w:rPr>
        <w:t>二十大和二十届历次全会</w:t>
      </w:r>
      <w:r>
        <w:rPr>
          <w:rFonts w:hint="eastAsia" w:ascii="仿宋_GB2312" w:hAnsi="仿宋_GB2312" w:eastAsia="仿宋_GB2312" w:cs="仿宋_GB2312"/>
          <w:b w:val="0"/>
          <w:bCs w:val="0"/>
          <w:sz w:val="32"/>
          <w:szCs w:val="32"/>
        </w:rPr>
        <w:t>精神，深入学习贯彻习近平总书记关于新时代民营经济统战工作和工商联工作重要指示精神，坚持以区委、区政府的中心工作为指导，紧紧围绕区工商联的中心工作，立足服务民营企业，服务地方经济发展大局，积极发挥桥梁纽带和助手作用，优化服务机制，不断拓展工商联工作领域，以积极拼搏的精神状态、昂扬向上的工作作风、奋发有为的工作举措，在促进我区民营经济健康发展、民营经济人士健康成长等方面开展一系列服务活动，使工商联的凝聚力、号召力，社会影响力显著提高，实现为我区的经济建设和社会发展服务的目标。</w:t>
      </w:r>
    </w:p>
    <w:p w14:paraId="3E503360">
      <w:pPr>
        <w:keepNext w:val="0"/>
        <w:keepLines w:val="0"/>
        <w:pageBreakBefore w:val="0"/>
        <w:widowControl w:val="0"/>
        <w:numPr>
          <w:ilvl w:val="0"/>
          <w:numId w:val="1"/>
        </w:numPr>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lang w:eastAsia="zh-CN"/>
        </w:rPr>
        <w:t>自评工作开展</w:t>
      </w:r>
      <w:r>
        <w:rPr>
          <w:rFonts w:hint="eastAsia" w:ascii="黑体" w:hAnsi="黑体" w:eastAsia="黑体" w:cs="黑体"/>
          <w:sz w:val="32"/>
          <w:szCs w:val="32"/>
        </w:rPr>
        <w:t>情况</w:t>
      </w:r>
    </w:p>
    <w:p w14:paraId="455040E4">
      <w:pPr>
        <w:keepNext w:val="0"/>
        <w:keepLines w:val="0"/>
        <w:pageBreakBefore w:val="0"/>
        <w:widowControl w:val="0"/>
        <w:kinsoku/>
        <w:wordWrap/>
        <w:overflowPunct/>
        <w:topLinePunct w:val="0"/>
        <w:autoSpaceDE/>
        <w:autoSpaceDN/>
        <w:bidi w:val="0"/>
        <w:adjustRightInd w:val="0"/>
        <w:snapToGrid w:val="0"/>
        <w:spacing w:line="560" w:lineRule="exact"/>
        <w:ind w:left="0" w:right="0" w:firstLine="640" w:firstLineChars="200"/>
        <w:textAlignment w:val="auto"/>
        <w:outlineLvl w:val="9"/>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（一）自评的组织工作</w:t>
      </w:r>
    </w:p>
    <w:p w14:paraId="0E736B70">
      <w:pPr>
        <w:keepNext w:val="0"/>
        <w:keepLines w:val="0"/>
        <w:pageBreakBefore w:val="0"/>
        <w:widowControl w:val="0"/>
        <w:kinsoku/>
        <w:wordWrap/>
        <w:overflowPunct/>
        <w:topLinePunct w:val="0"/>
        <w:autoSpaceDE/>
        <w:autoSpaceDN/>
        <w:adjustRightInd w:val="0"/>
        <w:snapToGrid w:val="0"/>
        <w:spacing w:line="560" w:lineRule="exact"/>
        <w:ind w:left="0" w:firstLine="640" w:firstLineChars="200"/>
        <w:rPr>
          <w:rFonts w:hint="eastAsia" w:ascii="仿宋_GB2312" w:hAnsi="仿宋_GB2312" w:eastAsia="仿宋_GB2312" w:cs="仿宋_GB2312"/>
          <w:b w:val="0"/>
          <w:bCs w:val="0"/>
          <w:sz w:val="32"/>
          <w:szCs w:val="32"/>
          <w:lang w:eastAsia="zh-CN"/>
        </w:rPr>
      </w:pPr>
      <w:r>
        <w:rPr>
          <w:rFonts w:hint="eastAsia" w:ascii="仿宋_GB2312" w:hAnsi="仿宋_GB2312" w:eastAsia="仿宋_GB2312" w:cs="仿宋_GB2312"/>
          <w:b w:val="0"/>
          <w:bCs w:val="0"/>
          <w:sz w:val="32"/>
          <w:szCs w:val="32"/>
          <w:lang w:eastAsia="zh-CN"/>
        </w:rPr>
        <w:t>单位成立</w:t>
      </w:r>
      <w:r>
        <w:rPr>
          <w:rFonts w:hint="eastAsia" w:ascii="仿宋_GB2312" w:hAnsi="仿宋_GB2312" w:eastAsia="仿宋_GB2312" w:cs="仿宋_GB2312"/>
          <w:b w:val="0"/>
          <w:bCs w:val="0"/>
          <w:sz w:val="32"/>
          <w:szCs w:val="32"/>
          <w:lang w:val="en-US" w:eastAsia="zh-CN"/>
        </w:rPr>
        <w:t>绩效</w:t>
      </w:r>
      <w:r>
        <w:rPr>
          <w:rFonts w:hint="eastAsia" w:ascii="仿宋_GB2312" w:hAnsi="仿宋_GB2312" w:eastAsia="仿宋_GB2312" w:cs="仿宋_GB2312"/>
          <w:b w:val="0"/>
          <w:bCs w:val="0"/>
          <w:sz w:val="32"/>
          <w:szCs w:val="32"/>
          <w:lang w:eastAsia="zh-CN"/>
        </w:rPr>
        <w:t>自评工作小组，明确分工</w:t>
      </w:r>
      <w:r>
        <w:rPr>
          <w:rFonts w:hint="eastAsia" w:ascii="仿宋_GB2312" w:hAnsi="仿宋_GB2312" w:eastAsia="仿宋_GB2312" w:cs="仿宋_GB2312"/>
          <w:b w:val="0"/>
          <w:bCs w:val="0"/>
          <w:sz w:val="32"/>
          <w:szCs w:val="32"/>
          <w:lang w:val="en-US" w:eastAsia="zh-CN"/>
        </w:rPr>
        <w:t>、压实责任，统筹推进自评工作</w:t>
      </w:r>
      <w:r>
        <w:rPr>
          <w:rFonts w:hint="eastAsia" w:ascii="仿宋_GB2312" w:hAnsi="仿宋_GB2312" w:eastAsia="仿宋_GB2312" w:cs="仿宋_GB2312"/>
          <w:b w:val="0"/>
          <w:bCs w:val="0"/>
          <w:sz w:val="32"/>
          <w:szCs w:val="32"/>
          <w:lang w:eastAsia="zh-CN"/>
        </w:rPr>
        <w:t>。通过收集项目资料、财务凭证等佐证材料，有序组织自评工作，确保过程规范、责任到人。</w:t>
      </w:r>
    </w:p>
    <w:p w14:paraId="0798F4CD">
      <w:pPr>
        <w:keepNext w:val="0"/>
        <w:keepLines w:val="0"/>
        <w:pageBreakBefore w:val="0"/>
        <w:widowControl w:val="0"/>
        <w:kinsoku/>
        <w:wordWrap/>
        <w:overflowPunct/>
        <w:topLinePunct w:val="0"/>
        <w:autoSpaceDE/>
        <w:autoSpaceDN/>
        <w:bidi w:val="0"/>
        <w:spacing w:line="560" w:lineRule="exact"/>
        <w:ind w:left="0" w:right="0" w:firstLine="633"/>
        <w:textAlignment w:val="auto"/>
        <w:outlineLvl w:val="9"/>
        <w:rPr>
          <w:rFonts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（二）自评的方法和过程</w:t>
      </w:r>
    </w:p>
    <w:p w14:paraId="47504DC4">
      <w:pPr>
        <w:keepNext w:val="0"/>
        <w:keepLines w:val="0"/>
        <w:pageBreakBefore w:val="0"/>
        <w:widowControl w:val="0"/>
        <w:kinsoku/>
        <w:wordWrap/>
        <w:overflowPunct/>
        <w:topLinePunct w:val="0"/>
        <w:autoSpaceDE/>
        <w:autoSpaceDN/>
        <w:adjustRightInd w:val="0"/>
        <w:snapToGrid w:val="0"/>
        <w:spacing w:line="560" w:lineRule="exact"/>
        <w:ind w:left="0" w:firstLine="640" w:firstLineChars="200"/>
        <w:rPr>
          <w:rFonts w:hint="eastAsia" w:ascii="仿宋_GB2312" w:hAnsi="仿宋_GB2312" w:eastAsia="仿宋_GB2312" w:cs="仿宋_GB2312"/>
          <w:b w:val="0"/>
          <w:bCs w:val="0"/>
          <w:sz w:val="32"/>
          <w:szCs w:val="32"/>
          <w:lang w:eastAsia="zh-CN"/>
        </w:rPr>
      </w:pPr>
      <w:r>
        <w:rPr>
          <w:rFonts w:hint="eastAsia" w:ascii="仿宋_GB2312" w:hAnsi="仿宋_GB2312" w:eastAsia="仿宋_GB2312" w:cs="仿宋_GB2312"/>
          <w:b w:val="0"/>
          <w:bCs w:val="0"/>
          <w:sz w:val="32"/>
          <w:szCs w:val="32"/>
          <w:lang w:val="en-US" w:eastAsia="zh-CN"/>
        </w:rPr>
        <w:t>本次自评采用资料核查、现场核验等方式，</w:t>
      </w:r>
      <w:r>
        <w:rPr>
          <w:rFonts w:hint="eastAsia" w:ascii="仿宋_GB2312" w:hAnsi="仿宋_GB2312" w:eastAsia="仿宋_GB2312" w:cs="仿宋_GB2312"/>
          <w:b w:val="0"/>
          <w:bCs w:val="0"/>
          <w:sz w:val="32"/>
          <w:szCs w:val="32"/>
          <w:lang w:eastAsia="zh-CN"/>
        </w:rPr>
        <w:t>对照年初设定的绩效目标，逐项核对项目实际完成情况，在此基础上形成自评结论，</w:t>
      </w:r>
      <w:r>
        <w:rPr>
          <w:rFonts w:hint="eastAsia" w:ascii="仿宋_GB2312" w:hAnsi="仿宋_GB2312" w:eastAsia="仿宋_GB2312" w:cs="仿宋_GB2312"/>
          <w:b w:val="0"/>
          <w:bCs w:val="0"/>
          <w:sz w:val="32"/>
          <w:szCs w:val="32"/>
          <w:lang w:val="en-US" w:eastAsia="zh-CN"/>
        </w:rPr>
        <w:t>确保评价结果真实客观。</w:t>
      </w:r>
    </w:p>
    <w:p w14:paraId="3A47DC2A">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三、部门整体支出绩效目标实现情况及指标分析</w:t>
      </w:r>
    </w:p>
    <w:p w14:paraId="301F2557">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lang w:eastAsia="zh-CN"/>
        </w:rPr>
        <w:t>（一）</w:t>
      </w:r>
      <w:r>
        <w:rPr>
          <w:rFonts w:hint="eastAsia" w:ascii="楷体_GB2312" w:hAnsi="楷体_GB2312" w:eastAsia="楷体_GB2312" w:cs="楷体_GB2312"/>
          <w:bCs/>
          <w:sz w:val="32"/>
          <w:szCs w:val="32"/>
        </w:rPr>
        <w:t>总体绩效目标实现情况</w:t>
      </w:r>
    </w:p>
    <w:p w14:paraId="57E548C2">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b w:val="0"/>
          <w:bCs w:val="0"/>
          <w:sz w:val="32"/>
          <w:szCs w:val="32"/>
        </w:rPr>
        <w:t>藁城区工商联坚持以习近平新时代中国特色社会主义思想为指导，认真学习贯彻党的</w:t>
      </w:r>
      <w:r>
        <w:rPr>
          <w:rFonts w:hint="eastAsia" w:ascii="仿宋_GB2312" w:hAnsi="仿宋_GB2312" w:eastAsia="仿宋_GB2312" w:cs="仿宋_GB2312"/>
          <w:b w:val="0"/>
          <w:bCs w:val="0"/>
          <w:sz w:val="32"/>
          <w:szCs w:val="32"/>
          <w:lang w:val="en-US" w:eastAsia="zh-CN"/>
        </w:rPr>
        <w:t>二十大和二十届历次全会</w:t>
      </w:r>
      <w:r>
        <w:rPr>
          <w:rFonts w:hint="eastAsia" w:ascii="仿宋_GB2312" w:hAnsi="仿宋_GB2312" w:eastAsia="仿宋_GB2312" w:cs="仿宋_GB2312"/>
          <w:b w:val="0"/>
          <w:bCs w:val="0"/>
          <w:sz w:val="32"/>
          <w:szCs w:val="32"/>
        </w:rPr>
        <w:t>精神，深入学习贯彻习近平总书记关于新时代民营经济统战工作和工商联工作重要指示精神，坚持以区委、区政府的中心工作为指导，紧紧围绕区工商联的中心工作，立足服务民营企业，服务地方经济发展大局，积极发挥桥梁纽带和助手作用，优化服务机制，不断拓展工商联工作领域，以积极拼搏的精神状态、昂扬向上的工作作风、奋发有为的工作举措，在促进我区民营经济健康发展、民营经济人士健康成长等方面开展一系列服务活动，使工商联的凝聚力、号召力，社会影响力显著提高，实现为我区的经济建设和社会发展服务的目标。</w:t>
      </w:r>
    </w:p>
    <w:p w14:paraId="52039894">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ascii="楷体" w:hAnsi="楷体" w:eastAsia="楷体"/>
          <w:bCs/>
          <w:sz w:val="32"/>
          <w:szCs w:val="32"/>
        </w:rPr>
      </w:pPr>
      <w:r>
        <w:rPr>
          <w:rFonts w:hint="eastAsia" w:ascii="楷体_GB2312" w:hAnsi="楷体_GB2312" w:eastAsia="楷体_GB2312" w:cs="楷体_GB2312"/>
          <w:bCs/>
          <w:sz w:val="32"/>
          <w:szCs w:val="32"/>
        </w:rPr>
        <w:t>（二）分项绩效目标实现情况及指标分析</w:t>
      </w:r>
    </w:p>
    <w:p w14:paraId="5F1FDC79">
      <w:pPr>
        <w:pStyle w:val="18"/>
        <w:keepNext w:val="0"/>
        <w:keepLines w:val="0"/>
        <w:pageBreakBefore w:val="0"/>
        <w:widowControl w:val="0"/>
        <w:kinsoku/>
        <w:wordWrap/>
        <w:overflowPunct/>
        <w:topLinePunct w:val="0"/>
        <w:autoSpaceDE/>
        <w:autoSpaceDN/>
        <w:adjustRightInd w:val="0"/>
        <w:snapToGrid w:val="0"/>
        <w:spacing w:line="560" w:lineRule="exact"/>
        <w:ind w:left="0" w:firstLine="640" w:firstLineChars="200"/>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lang w:val="en-US" w:eastAsia="zh-CN"/>
        </w:rPr>
        <w:t>1.</w:t>
      </w:r>
      <w:r>
        <w:rPr>
          <w:rFonts w:hint="eastAsia" w:ascii="仿宋_GB2312" w:hAnsi="仿宋_GB2312" w:eastAsia="仿宋_GB2312" w:cs="仿宋_GB2312"/>
          <w:b w:val="0"/>
          <w:bCs w:val="0"/>
          <w:sz w:val="32"/>
          <w:szCs w:val="32"/>
        </w:rPr>
        <w:t>为民营企业提供各种培训和服务。</w:t>
      </w:r>
    </w:p>
    <w:p w14:paraId="71C10862">
      <w:pPr>
        <w:pStyle w:val="18"/>
        <w:keepNext w:val="0"/>
        <w:keepLines w:val="0"/>
        <w:pageBreakBefore w:val="0"/>
        <w:widowControl w:val="0"/>
        <w:kinsoku/>
        <w:wordWrap/>
        <w:overflowPunct/>
        <w:topLinePunct w:val="0"/>
        <w:autoSpaceDE/>
        <w:autoSpaceDN/>
        <w:adjustRightInd w:val="0"/>
        <w:snapToGrid w:val="0"/>
        <w:spacing w:line="560" w:lineRule="exact"/>
        <w:ind w:left="0" w:firstLine="640" w:firstLineChars="200"/>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结合民营经济发展需要，举办研修班和各种类型的培训活动，采取多种途径为企业发展提供法律、金融、经贸、科技等服务，引导企业履行社会责任。</w:t>
      </w:r>
      <w:r>
        <w:rPr>
          <w:rFonts w:hint="eastAsia" w:ascii="仿宋_GB2312" w:hAnsi="仿宋_GB2312" w:eastAsia="仿宋_GB2312" w:cs="仿宋_GB2312"/>
          <w:b w:val="0"/>
          <w:bCs w:val="0"/>
          <w:sz w:val="32"/>
          <w:szCs w:val="32"/>
          <w:lang w:val="en-US" w:eastAsia="zh-CN"/>
        </w:rPr>
        <w:t>2025年</w:t>
      </w:r>
      <w:r>
        <w:rPr>
          <w:rFonts w:hint="eastAsia" w:ascii="仿宋_GB2312" w:hAnsi="仿宋_GB2312" w:eastAsia="仿宋_GB2312" w:cs="仿宋_GB2312"/>
          <w:b w:val="0"/>
          <w:bCs w:val="0"/>
          <w:sz w:val="32"/>
          <w:szCs w:val="32"/>
        </w:rPr>
        <w:t>组织各类培训、服务</w:t>
      </w:r>
      <w:r>
        <w:rPr>
          <w:rFonts w:hint="eastAsia" w:ascii="仿宋_GB2312" w:hAnsi="仿宋_GB2312" w:eastAsia="仿宋_GB2312" w:cs="仿宋_GB2312"/>
          <w:b w:val="0"/>
          <w:bCs w:val="0"/>
          <w:sz w:val="32"/>
          <w:szCs w:val="32"/>
          <w:lang w:val="en-US" w:eastAsia="zh-CN"/>
        </w:rPr>
        <w:t>5</w:t>
      </w:r>
      <w:r>
        <w:rPr>
          <w:rFonts w:hint="eastAsia" w:ascii="仿宋_GB2312" w:hAnsi="仿宋_GB2312" w:eastAsia="仿宋_GB2312" w:cs="仿宋_GB2312"/>
          <w:b w:val="0"/>
          <w:bCs w:val="0"/>
          <w:sz w:val="32"/>
          <w:szCs w:val="32"/>
        </w:rPr>
        <w:t>次。</w:t>
      </w:r>
    </w:p>
    <w:p w14:paraId="60C4BD7B">
      <w:pPr>
        <w:pStyle w:val="18"/>
        <w:keepNext w:val="0"/>
        <w:keepLines w:val="0"/>
        <w:pageBreakBefore w:val="0"/>
        <w:widowControl w:val="0"/>
        <w:kinsoku/>
        <w:wordWrap/>
        <w:overflowPunct/>
        <w:topLinePunct w:val="0"/>
        <w:autoSpaceDE/>
        <w:autoSpaceDN/>
        <w:adjustRightInd w:val="0"/>
        <w:snapToGrid w:val="0"/>
        <w:spacing w:line="560" w:lineRule="exact"/>
        <w:ind w:left="0" w:firstLine="640" w:firstLineChars="200"/>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lang w:val="en-US" w:eastAsia="zh-CN"/>
        </w:rPr>
        <w:t>2.</w:t>
      </w:r>
      <w:r>
        <w:rPr>
          <w:rFonts w:hint="eastAsia" w:ascii="仿宋_GB2312" w:hAnsi="仿宋_GB2312" w:eastAsia="仿宋_GB2312" w:cs="仿宋_GB2312"/>
          <w:b w:val="0"/>
          <w:bCs w:val="0"/>
          <w:sz w:val="32"/>
          <w:szCs w:val="32"/>
        </w:rPr>
        <w:t>深入企业调研了解民营企业发展状况。</w:t>
      </w:r>
    </w:p>
    <w:p w14:paraId="119E3D9C">
      <w:pPr>
        <w:pStyle w:val="18"/>
        <w:keepNext w:val="0"/>
        <w:keepLines w:val="0"/>
        <w:pageBreakBefore w:val="0"/>
        <w:widowControl w:val="0"/>
        <w:kinsoku/>
        <w:wordWrap/>
        <w:overflowPunct/>
        <w:topLinePunct w:val="0"/>
        <w:autoSpaceDE/>
        <w:autoSpaceDN/>
        <w:adjustRightInd w:val="0"/>
        <w:snapToGrid w:val="0"/>
        <w:spacing w:line="560" w:lineRule="exact"/>
        <w:ind w:left="0" w:firstLine="640" w:firstLineChars="200"/>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开展民企大走访活动，通过对民企集中走访座谈调研，切实为企业解决生产、经营中遇到的各类问题。</w:t>
      </w:r>
      <w:r>
        <w:rPr>
          <w:rFonts w:hint="eastAsia" w:ascii="仿宋_GB2312" w:hAnsi="仿宋_GB2312" w:eastAsia="仿宋_GB2312" w:cs="仿宋_GB2312"/>
          <w:b w:val="0"/>
          <w:bCs w:val="0"/>
          <w:sz w:val="32"/>
          <w:szCs w:val="32"/>
          <w:lang w:val="en-US" w:eastAsia="zh-CN"/>
        </w:rPr>
        <w:t>2025年</w:t>
      </w:r>
      <w:r>
        <w:rPr>
          <w:rFonts w:hint="eastAsia" w:ascii="仿宋_GB2312" w:hAnsi="仿宋_GB2312" w:eastAsia="仿宋_GB2312" w:cs="仿宋_GB2312"/>
          <w:b w:val="0"/>
          <w:bCs w:val="0"/>
          <w:sz w:val="32"/>
          <w:szCs w:val="32"/>
        </w:rPr>
        <w:t>深入企业</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lang w:val="en-US" w:eastAsia="zh-CN"/>
        </w:rPr>
        <w:t>商会</w:t>
      </w:r>
      <w:r>
        <w:rPr>
          <w:rFonts w:hint="eastAsia" w:ascii="仿宋_GB2312" w:hAnsi="仿宋_GB2312" w:eastAsia="仿宋_GB2312" w:cs="仿宋_GB2312"/>
          <w:b w:val="0"/>
          <w:bCs w:val="0"/>
          <w:sz w:val="32"/>
          <w:szCs w:val="32"/>
        </w:rPr>
        <w:t>调研不少于</w:t>
      </w:r>
      <w:r>
        <w:rPr>
          <w:rFonts w:hint="eastAsia" w:ascii="仿宋_GB2312" w:hAnsi="仿宋_GB2312" w:eastAsia="仿宋_GB2312" w:cs="仿宋_GB2312"/>
          <w:b w:val="0"/>
          <w:bCs w:val="0"/>
          <w:sz w:val="32"/>
          <w:szCs w:val="32"/>
          <w:lang w:val="en-US" w:eastAsia="zh-CN"/>
        </w:rPr>
        <w:t>12</w:t>
      </w:r>
      <w:r>
        <w:rPr>
          <w:rFonts w:hint="eastAsia" w:ascii="仿宋_GB2312" w:hAnsi="仿宋_GB2312" w:eastAsia="仿宋_GB2312" w:cs="仿宋_GB2312"/>
          <w:b w:val="0"/>
          <w:bCs w:val="0"/>
          <w:sz w:val="32"/>
          <w:szCs w:val="32"/>
        </w:rPr>
        <w:t>次。</w:t>
      </w:r>
    </w:p>
    <w:p w14:paraId="2E25296F">
      <w:pPr>
        <w:pStyle w:val="18"/>
        <w:keepNext w:val="0"/>
        <w:keepLines w:val="0"/>
        <w:pageBreakBefore w:val="0"/>
        <w:widowControl w:val="0"/>
        <w:kinsoku/>
        <w:wordWrap/>
        <w:overflowPunct/>
        <w:topLinePunct w:val="0"/>
        <w:autoSpaceDE/>
        <w:autoSpaceDN/>
        <w:adjustRightInd w:val="0"/>
        <w:snapToGrid w:val="0"/>
        <w:spacing w:line="560" w:lineRule="exact"/>
        <w:ind w:left="0" w:firstLine="640" w:firstLineChars="200"/>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lang w:val="en-US" w:eastAsia="zh-CN"/>
        </w:rPr>
        <w:t>3.</w:t>
      </w:r>
      <w:r>
        <w:rPr>
          <w:rFonts w:hint="eastAsia" w:ascii="仿宋_GB2312" w:hAnsi="仿宋_GB2312" w:eastAsia="仿宋_GB2312" w:cs="仿宋_GB2312"/>
          <w:b w:val="0"/>
          <w:bCs w:val="0"/>
          <w:sz w:val="32"/>
          <w:szCs w:val="32"/>
        </w:rPr>
        <w:t>做好非公有制经济人士理想信念教育工作。</w:t>
      </w:r>
    </w:p>
    <w:p w14:paraId="23A03465">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深化民营经济人士理想信念实践教育，加大对民营经济人士特别是新生代民营经济人士的理想信念实践教育，提高思想政治觉悟。</w:t>
      </w:r>
      <w:r>
        <w:rPr>
          <w:rFonts w:hint="eastAsia" w:ascii="仿宋_GB2312" w:hAnsi="仿宋_GB2312" w:eastAsia="仿宋_GB2312" w:cs="仿宋_GB2312"/>
          <w:b w:val="0"/>
          <w:bCs w:val="0"/>
          <w:sz w:val="32"/>
          <w:szCs w:val="32"/>
          <w:lang w:val="en-US" w:eastAsia="zh-CN"/>
        </w:rPr>
        <w:t>2025年</w:t>
      </w:r>
      <w:r>
        <w:rPr>
          <w:rFonts w:hint="eastAsia" w:ascii="仿宋_GB2312" w:hAnsi="仿宋_GB2312" w:eastAsia="仿宋_GB2312" w:cs="仿宋_GB2312"/>
          <w:b w:val="0"/>
          <w:bCs w:val="0"/>
          <w:sz w:val="32"/>
          <w:szCs w:val="32"/>
        </w:rPr>
        <w:t>开展理想信念教育活动</w:t>
      </w:r>
      <w:r>
        <w:rPr>
          <w:rFonts w:ascii="仿宋_GB2312" w:hAnsi="仿宋_GB2312" w:eastAsia="仿宋_GB2312" w:cs="仿宋_GB2312"/>
          <w:b w:val="0"/>
          <w:bCs w:val="0"/>
          <w:sz w:val="32"/>
          <w:szCs w:val="32"/>
          <w:lang w:val="en-US" w:eastAsia="zh-CN"/>
        </w:rPr>
        <w:t>3</w:t>
      </w:r>
      <w:r>
        <w:rPr>
          <w:rFonts w:hint="eastAsia" w:ascii="仿宋_GB2312" w:hAnsi="仿宋_GB2312" w:eastAsia="仿宋_GB2312" w:cs="仿宋_GB2312"/>
          <w:b w:val="0"/>
          <w:bCs w:val="0"/>
          <w:sz w:val="32"/>
          <w:szCs w:val="32"/>
        </w:rPr>
        <w:t>次。</w:t>
      </w:r>
    </w:p>
    <w:p w14:paraId="0581EAFA">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四、评价结论和评价等级</w:t>
      </w:r>
    </w:p>
    <w:p w14:paraId="3A53E8FD">
      <w:pPr>
        <w:keepNext w:val="0"/>
        <w:keepLines w:val="0"/>
        <w:pageBreakBefore w:val="0"/>
        <w:widowControl w:val="0"/>
        <w:kinsoku/>
        <w:wordWrap/>
        <w:overflowPunct/>
        <w:topLinePunct w:val="0"/>
        <w:autoSpaceDE/>
        <w:autoSpaceDN/>
        <w:adjustRightInd w:val="0"/>
        <w:snapToGrid w:val="0"/>
        <w:spacing w:line="560" w:lineRule="exact"/>
        <w:ind w:left="0" w:firstLine="640" w:firstLineChars="200"/>
        <w:rPr>
          <w:rFonts w:hint="eastAsia" w:ascii="仿宋_GB2312" w:hAnsi="仿宋_GB2312" w:eastAsia="仿宋_GB2312" w:cs="仿宋_GB2312"/>
          <w:sz w:val="32"/>
          <w:szCs w:val="32"/>
          <w:highlight w:val="none"/>
          <w:shd w:val="clear" w:color="auto" w:fill="auto"/>
          <w:lang w:eastAsia="zh-CN"/>
        </w:rPr>
      </w:pPr>
      <w:r>
        <w:rPr>
          <w:rFonts w:hint="eastAsia" w:ascii="仿宋_GB2312" w:hAnsi="仿宋_GB2312" w:eastAsia="仿宋_GB2312" w:cs="仿宋_GB2312"/>
          <w:sz w:val="32"/>
          <w:szCs w:val="32"/>
          <w:highlight w:val="none"/>
          <w:lang w:eastAsia="zh-CN"/>
        </w:rPr>
        <w:t>根据部门职责定位和各项工作履职情况进行综合评价，给出总得分，满分100分，得出综合绩效评价等级。</w:t>
      </w:r>
      <w:r>
        <w:rPr>
          <w:rFonts w:hint="eastAsia" w:ascii="仿宋_GB2312" w:hAnsi="仿宋_GB2312" w:eastAsia="仿宋_GB2312" w:cs="仿宋_GB2312"/>
          <w:sz w:val="32"/>
          <w:szCs w:val="32"/>
          <w:shd w:val="clear" w:color="auto" w:fill="auto"/>
        </w:rPr>
        <w:t>总得分</w:t>
      </w:r>
      <w:r>
        <w:rPr>
          <w:rFonts w:hint="eastAsia" w:ascii="仿宋_GB2312" w:hAnsi="仿宋_GB2312" w:eastAsia="仿宋_GB2312" w:cs="仿宋_GB2312"/>
          <w:sz w:val="32"/>
          <w:szCs w:val="32"/>
          <w:highlight w:val="none"/>
          <w:shd w:val="clear" w:color="auto" w:fill="auto"/>
          <w:lang w:val="en-US" w:eastAsia="zh-CN"/>
        </w:rPr>
        <w:t>100</w:t>
      </w:r>
      <w:r>
        <w:rPr>
          <w:rFonts w:hint="eastAsia" w:ascii="仿宋_GB2312" w:hAnsi="仿宋_GB2312" w:eastAsia="仿宋_GB2312" w:cs="仿宋_GB2312"/>
          <w:sz w:val="32"/>
          <w:szCs w:val="32"/>
          <w:shd w:val="clear" w:color="auto" w:fill="auto"/>
        </w:rPr>
        <w:t>≥85分</w:t>
      </w:r>
      <w:r>
        <w:rPr>
          <w:rFonts w:hint="eastAsia" w:ascii="仿宋_GB2312" w:hAnsi="仿宋_GB2312" w:eastAsia="仿宋_GB2312" w:cs="仿宋_GB2312"/>
          <w:sz w:val="32"/>
          <w:szCs w:val="32"/>
          <w:shd w:val="clear" w:color="auto" w:fill="auto"/>
          <w:lang w:eastAsia="zh-CN"/>
        </w:rPr>
        <w:t>，</w:t>
      </w:r>
      <w:r>
        <w:rPr>
          <w:rFonts w:hint="eastAsia" w:ascii="仿宋_GB2312" w:hAnsi="仿宋_GB2312" w:eastAsia="仿宋_GB2312" w:cs="仿宋_GB2312"/>
          <w:sz w:val="32"/>
          <w:szCs w:val="32"/>
          <w:highlight w:val="none"/>
          <w:lang w:eastAsia="zh-CN"/>
        </w:rPr>
        <w:t>综合绩效评价等级</w:t>
      </w:r>
      <w:r>
        <w:rPr>
          <w:rFonts w:hint="eastAsia" w:ascii="仿宋_GB2312" w:hAnsi="仿宋_GB2312" w:eastAsia="仿宋_GB2312" w:cs="仿宋_GB2312"/>
          <w:sz w:val="32"/>
          <w:szCs w:val="32"/>
          <w:shd w:val="clear" w:color="auto" w:fill="auto"/>
        </w:rPr>
        <w:t>为优秀。</w:t>
      </w:r>
    </w:p>
    <w:p w14:paraId="1D5B05D5">
      <w:pPr>
        <w:keepNext w:val="0"/>
        <w:keepLines w:val="0"/>
        <w:pageBreakBefore w:val="0"/>
        <w:widowControl w:val="0"/>
        <w:numPr>
          <w:ilvl w:val="0"/>
          <w:numId w:val="2"/>
        </w:numPr>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sz w:val="32"/>
          <w:szCs w:val="32"/>
        </w:rPr>
      </w:pPr>
      <w:r>
        <w:rPr>
          <w:rFonts w:hint="eastAsia" w:ascii="黑体" w:hAnsi="黑体" w:eastAsia="黑体"/>
          <w:sz w:val="32"/>
          <w:szCs w:val="32"/>
        </w:rPr>
        <w:t>存在的问题及改进措施</w:t>
      </w:r>
    </w:p>
    <w:p w14:paraId="62EEEE2C">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w:t>
      </w:r>
      <w:r>
        <w:rPr>
          <w:rFonts w:hint="eastAsia" w:ascii="楷体_GB2312" w:hAnsi="楷体_GB2312" w:eastAsia="楷体_GB2312" w:cs="楷体_GB2312"/>
          <w:bCs/>
          <w:sz w:val="32"/>
          <w:szCs w:val="32"/>
          <w:lang w:val="en-US" w:eastAsia="zh-CN"/>
        </w:rPr>
        <w:t>一</w:t>
      </w:r>
      <w:r>
        <w:rPr>
          <w:rFonts w:hint="eastAsia" w:ascii="楷体_GB2312" w:hAnsi="楷体_GB2312" w:eastAsia="楷体_GB2312" w:cs="楷体_GB2312"/>
          <w:bCs/>
          <w:sz w:val="32"/>
          <w:szCs w:val="32"/>
        </w:rPr>
        <w:t>）存在的主要问题</w:t>
      </w:r>
    </w:p>
    <w:p w14:paraId="27E7898C">
      <w:pPr>
        <w:keepNext w:val="0"/>
        <w:keepLines w:val="0"/>
        <w:pageBreakBefore w:val="0"/>
        <w:widowControl w:val="0"/>
        <w:kinsoku/>
        <w:wordWrap/>
        <w:overflowPunct/>
        <w:topLinePunct w:val="0"/>
        <w:autoSpaceDE/>
        <w:autoSpaceDN/>
        <w:adjustRightInd w:val="0"/>
        <w:snapToGrid w:val="0"/>
        <w:spacing w:line="560" w:lineRule="exact"/>
        <w:ind w:left="0"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b w:val="0"/>
          <w:bCs w:val="0"/>
          <w:sz w:val="32"/>
          <w:szCs w:val="32"/>
        </w:rPr>
        <w:t>项目预算比较薄弱，预算的科学性不强，消弱了预算的约束控制力。</w:t>
      </w:r>
    </w:p>
    <w:p w14:paraId="706C29DF">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ascii="楷体_GB2312" w:hAnsi="楷体_GB2312" w:eastAsia="楷体_GB2312" w:cs="楷体_GB2312"/>
          <w:bCs/>
          <w:sz w:val="32"/>
          <w:szCs w:val="32"/>
        </w:rPr>
      </w:pPr>
      <w:r>
        <w:rPr>
          <w:rFonts w:hint="eastAsia" w:ascii="楷体_GB2312" w:hAnsi="楷体_GB2312" w:eastAsia="楷体_GB2312" w:cs="楷体_GB2312"/>
          <w:bCs/>
          <w:sz w:val="32"/>
          <w:szCs w:val="32"/>
        </w:rPr>
        <w:t>（二）针对问题提出具体的改进措施或建议</w:t>
      </w:r>
    </w:p>
    <w:p w14:paraId="04172009">
      <w:pPr>
        <w:keepNext w:val="0"/>
        <w:keepLines w:val="0"/>
        <w:pageBreakBefore w:val="0"/>
        <w:widowControl w:val="0"/>
        <w:numPr>
          <w:ilvl w:val="0"/>
          <w:numId w:val="3"/>
        </w:numPr>
        <w:kinsoku/>
        <w:wordWrap/>
        <w:overflowPunct/>
        <w:topLinePunct w:val="0"/>
        <w:autoSpaceDE/>
        <w:autoSpaceDN/>
        <w:adjustRightInd w:val="0"/>
        <w:snapToGrid w:val="0"/>
        <w:spacing w:line="560" w:lineRule="exact"/>
        <w:ind w:left="0" w:firstLine="640" w:firstLineChars="200"/>
        <w:rPr>
          <w:rFonts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严格预算管理标准，提高预算绩效指标。</w:t>
      </w:r>
    </w:p>
    <w:p w14:paraId="6D635F53">
      <w:pPr>
        <w:keepNext w:val="0"/>
        <w:keepLines w:val="0"/>
        <w:pageBreakBefore w:val="0"/>
        <w:widowControl w:val="0"/>
        <w:numPr>
          <w:ilvl w:val="0"/>
          <w:numId w:val="3"/>
        </w:numPr>
        <w:kinsoku/>
        <w:wordWrap/>
        <w:overflowPunct/>
        <w:topLinePunct w:val="0"/>
        <w:autoSpaceDE/>
        <w:autoSpaceDN/>
        <w:adjustRightInd w:val="0"/>
        <w:snapToGrid w:val="0"/>
        <w:spacing w:line="560" w:lineRule="exact"/>
        <w:ind w:left="0"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b w:val="0"/>
          <w:bCs w:val="0"/>
          <w:sz w:val="32"/>
          <w:szCs w:val="32"/>
        </w:rPr>
        <w:t>认真做好前期预算执行准备工作，加强项目跟踪及项目支出执行管理，提高预算资金使用效率。</w:t>
      </w:r>
    </w:p>
    <w:sectPr>
      <w:headerReference r:id="rId3" w:type="default"/>
      <w:footerReference r:id="rId4" w:type="default"/>
      <w:pgSz w:w="11906" w:h="16838"/>
      <w:pgMar w:top="2098" w:right="1474" w:bottom="1984" w:left="1587"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ACF3C50" w:usb2="00000016" w:usb3="00000000" w:csb0="0004001F" w:csb1="00000000"/>
  </w:font>
  <w:font w:name="方正书宋_GBK">
    <w:altName w:val="微软雅黑"/>
    <w:panose1 w:val="02000000000000000000"/>
    <w:charset w:val="86"/>
    <w:family w:val="auto"/>
    <w:pitch w:val="default"/>
    <w:sig w:usb0="00000000" w:usb1="00000000" w:usb2="00082016" w:usb3="00000000" w:csb0="00040001" w:csb1="00000000"/>
  </w:font>
  <w:font w:name="方正小标宋简体">
    <w:panose1 w:val="02010601030101010101"/>
    <w:charset w:val="86"/>
    <w:family w:val="auto"/>
    <w:pitch w:val="default"/>
    <w:sig w:usb0="00000001" w:usb1="080E0000" w:usb2="00000000" w:usb3="00000000" w:csb0="00040000" w:csb1="00000000"/>
  </w:font>
  <w:font w:name="方正小标宋_GBK">
    <w:altName w:val="微软雅黑"/>
    <w:panose1 w:val="02000000000000000000"/>
    <w:charset w:val="86"/>
    <w:family w:val="auto"/>
    <w:pitch w:val="default"/>
    <w:sig w:usb0="00000000" w:usb1="00000000" w:usb2="00082016"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modern"/>
    <w:pitch w:val="default"/>
    <w:sig w:usb0="800002BF" w:usb1="38CF7CFA" w:usb2="00000016" w:usb3="00000000" w:csb0="00040001" w:csb1="00000000"/>
  </w:font>
  <w:font w:name="DengXian-Regular">
    <w:altName w:val="宋体"/>
    <w:panose1 w:val="00000000000000000000"/>
    <w:charset w:val="86"/>
    <w:family w:val="auto"/>
    <w:pitch w:val="default"/>
    <w:sig w:usb0="00000000" w:usb1="00000000" w:usb2="00000010" w:usb3="00000000" w:csb0="00040001" w:csb1="00000000"/>
  </w:font>
  <w:font w:name="KSOFE44F9426">
    <w:panose1 w:val="02010609060101010101"/>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80B564">
    <w:r>
      <w:rPr>
        <w:rFonts w:ascii="Times New Roman" w:hAnsi="Times New Roman" w:eastAsia="宋体" w:cs="Times New Roman"/>
        <w:kern w:val="2"/>
        <w:sz w:val="21"/>
        <w:szCs w:val="24"/>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222250" cy="153035"/>
              <wp:effectExtent l="0" t="0" r="0" b="0"/>
              <wp:wrapNone/>
              <wp:docPr id="1" name="Quad Arrow 3073"/>
              <wp:cNvGraphicFramePr/>
              <a:graphic xmlns:a="http://schemas.openxmlformats.org/drawingml/2006/main">
                <a:graphicData uri="http://schemas.microsoft.com/office/word/2010/wordprocessingShape">
                  <wps:wsp>
                    <wps:cNvSpPr/>
                    <wps:spPr>
                      <a:xfrm>
                        <a:off x="0" y="0"/>
                        <a:ext cx="222250" cy="153339"/>
                      </a:xfrm>
                      <a:prstGeom prst="rect">
                        <a:avLst/>
                      </a:prstGeom>
                      <a:noFill/>
                      <a:ln cap="flat" cmpd="sng">
                        <a:noFill/>
                        <a:prstDash val="solid"/>
                        <a:round/>
                      </a:ln>
                    </wps:spPr>
                    <wps:txbx>
                      <w:txbxContent>
                        <w:p w14:paraId="3462D089">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vert="horz" wrap="none" lIns="0" tIns="0" rIns="0" bIns="0" anchor="t" anchorCtr="0" upright="1">
                      <a:spAutoFit/>
                    </wps:bodyPr>
                  </wps:wsp>
                </a:graphicData>
              </a:graphic>
            </wp:anchor>
          </w:drawing>
        </mc:Choice>
        <mc:Fallback>
          <w:pict>
            <v:rect id="Quad Arrow 3073" o:spid="_x0000_s1026" o:spt="1" style="position:absolute;left:0pt;margin-top:0pt;height:12.05pt;width:17.5pt;mso-position-horizontal:center;mso-position-horizontal-relative:margin;mso-wrap-style:none;z-index:251659264;mso-width-relative:page;mso-height-relative:page;" filled="f" stroked="f" coordsize="21600,21600" o:gfxdata="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AAAAAZHJzL1BLAQIUABQAAAAIAIdO4kD2&#10;F62z0QAAAAMBAAAPAAAAAAAAAAEAIAAAACIAAABkcnMvZG93bnJldi54bWxQSwECFAAUAAAACACH&#10;TuJA0KAS5/IBAADvAwAADgAAAAAAAAABACAAAAAgAQAAZHJzL2Uyb0RvYy54bWxQSwUGAAAAAAYA&#10;BgBZAQAAhAUAAAAA&#10;">
              <v:fill on="f" focussize="0,0"/>
              <v:stroke on="f" joinstyle="round"/>
              <v:imagedata o:title=""/>
              <o:lock v:ext="edit" aspectratio="f"/>
              <v:textbox inset="0mm,0mm,0mm,0mm" style="mso-fit-shape-to-text:t;">
                <w:txbxContent>
                  <w:p w14:paraId="3462D089">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rect>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066F16">
    <w:pPr>
      <w:pStyle w:val="6"/>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07098AC"/>
    <w:multiLevelType w:val="multilevel"/>
    <w:tmpl w:val="907098AC"/>
    <w:lvl w:ilvl="0" w:tentative="0">
      <w:start w:val="1"/>
      <w:numFmt w:val="decimal"/>
      <w:suff w:val="nothing"/>
      <w:lvlText w:val="%1、"/>
      <w:lvlJc w:val="left"/>
      <w:pPr>
        <w:ind w:left="0" w:firstLine="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
    <w:nsid w:val="98E0822F"/>
    <w:multiLevelType w:val="singleLevel"/>
    <w:tmpl w:val="98E0822F"/>
    <w:lvl w:ilvl="0" w:tentative="0">
      <w:start w:val="2"/>
      <w:numFmt w:val="chineseCounting"/>
      <w:suff w:val="nothing"/>
      <w:lvlText w:val="%1、"/>
      <w:lvlJc w:val="left"/>
      <w:rPr>
        <w:rFonts w:hint="eastAsia"/>
      </w:rPr>
    </w:lvl>
  </w:abstractNum>
  <w:abstractNum w:abstractNumId="2">
    <w:nsid w:val="330718AF"/>
    <w:multiLevelType w:val="singleLevel"/>
    <w:tmpl w:val="330718AF"/>
    <w:lvl w:ilvl="0" w:tentative="0">
      <w:start w:val="5"/>
      <w:numFmt w:val="chineseCounting"/>
      <w:suff w:val="nothing"/>
      <w:lvlText w:val="%1、"/>
      <w:lvlJc w:val="left"/>
      <w:rPr>
        <w:rFonts w:hint="eastAsia"/>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ulTrailSpace/>
    <w:doNotExpandShiftReturn/>
    <w:adjustLineHeightInTable/>
    <w:doNotWrapTextWithPunct/>
    <w:doNotUseEastAsianBreakRules/>
    <w:useFELayout/>
    <w:compatSetting w:name="compatibilityMode" w:uri="http://schemas.microsoft.com/office/word" w:val="14"/>
  </w:compat>
  <w:docVars>
    <w:docVar w:name="commondata" w:val="eyJoZGlkIjoiNGE2ZDVhYjFkNzNmZjA0ZTExM2M2ODcxZGVjNWRjNGEifQ=="/>
  </w:docVars>
  <w:rsids>
    <w:rsidRoot w:val="00000000"/>
    <w:rsid w:val="08CD7816"/>
    <w:rsid w:val="1AD85D67"/>
    <w:rsid w:val="200C5853"/>
    <w:rsid w:val="36F660B2"/>
    <w:rsid w:val="52A179C2"/>
    <w:rsid w:val="62FA5634"/>
    <w:rsid w:val="7DB163E5"/>
    <w:rsid w:val="7E0A290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10"/>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11"/>
    <w:qFormat/>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link w:val="12"/>
    <w:qFormat/>
    <w:uiPriority w:val="0"/>
    <w:pPr>
      <w:keepNext/>
      <w:keepLines/>
      <w:spacing w:before="260" w:after="260" w:line="415" w:lineRule="auto"/>
      <w:outlineLvl w:val="2"/>
    </w:pPr>
    <w:rPr>
      <w:b/>
      <w:bCs/>
      <w:sz w:val="32"/>
      <w:szCs w:val="32"/>
    </w:rPr>
  </w:style>
  <w:style w:type="character" w:default="1" w:styleId="9">
    <w:name w:val="Default Paragraph Font"/>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5">
    <w:name w:val="footer"/>
    <w:basedOn w:val="1"/>
    <w:qFormat/>
    <w:uiPriority w:val="0"/>
    <w:pPr>
      <w:tabs>
        <w:tab w:val="center" w:pos="4153"/>
        <w:tab w:val="right" w:pos="8306"/>
      </w:tabs>
      <w:snapToGrid w:val="0"/>
      <w:jc w:val="left"/>
    </w:pPr>
    <w:rPr>
      <w:sz w:val="18"/>
      <w:szCs w:val="18"/>
    </w:rPr>
  </w:style>
  <w:style w:type="paragraph" w:styleId="6">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7">
    <w:name w:val="Normal (Web)"/>
    <w:basedOn w:val="1"/>
    <w:qFormat/>
    <w:uiPriority w:val="0"/>
    <w:rPr>
      <w:sz w:val="24"/>
    </w:rPr>
  </w:style>
  <w:style w:type="character" w:customStyle="1" w:styleId="10">
    <w:name w:val="heading 1 Char"/>
    <w:basedOn w:val="9"/>
    <w:link w:val="2"/>
    <w:qFormat/>
    <w:uiPriority w:val="0"/>
    <w:rPr>
      <w:rFonts w:ascii="Times New Roman" w:hAnsi="Times New Roman" w:eastAsia="宋体" w:cs="Times New Roman"/>
      <w:b/>
      <w:bCs/>
      <w:kern w:val="44"/>
      <w:sz w:val="44"/>
      <w:szCs w:val="44"/>
      <w:lang w:val="en-US" w:eastAsia="zh-CN" w:bidi="ar-SA"/>
    </w:rPr>
  </w:style>
  <w:style w:type="character" w:customStyle="1" w:styleId="11">
    <w:name w:val="heading 2 Char"/>
    <w:basedOn w:val="9"/>
    <w:link w:val="3"/>
    <w:qFormat/>
    <w:uiPriority w:val="0"/>
    <w:rPr>
      <w:rFonts w:ascii="Times New Roman" w:hAnsi="Times New Roman" w:eastAsia="黑体" w:cs="Times New Roman"/>
      <w:b/>
      <w:bCs/>
      <w:kern w:val="2"/>
      <w:sz w:val="32"/>
      <w:szCs w:val="32"/>
      <w:lang w:val="en-US" w:eastAsia="zh-CN" w:bidi="ar-SA"/>
    </w:rPr>
  </w:style>
  <w:style w:type="character" w:customStyle="1" w:styleId="12">
    <w:name w:val="heading 3 Char"/>
    <w:basedOn w:val="9"/>
    <w:link w:val="4"/>
    <w:qFormat/>
    <w:uiPriority w:val="0"/>
    <w:rPr>
      <w:rFonts w:ascii="Times New Roman" w:hAnsi="Times New Roman" w:eastAsia="宋体" w:cs="Times New Roman"/>
      <w:b/>
      <w:bCs/>
      <w:kern w:val="2"/>
      <w:sz w:val="32"/>
      <w:szCs w:val="32"/>
      <w:lang w:val="en-US" w:eastAsia="zh-CN" w:bidi="ar-SA"/>
    </w:rPr>
  </w:style>
  <w:style w:type="paragraph" w:customStyle="1" w:styleId="13">
    <w:name w:val="插入文本样式-插入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4">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6">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7">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2.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主题​​">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主题​​">
      <a:majorFont>
        <a:latin typeface=""/>
        <a:ea typeface=""/>
        <a:cs typeface=""/>
      </a:majorFont>
      <a:minorFont>
        <a:latin typeface=""/>
        <a:ea typeface=""/>
        <a:cs typeface=""/>
      </a:minorFont>
    </a:fontScheme>
    <a:fmtScheme name="Office 主题​​">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1"/>
        </a:gradFill>
      </a:fillStyleLst>
      <a:lnStyleLst>
        <a:ln w="9525" cap="flat" cmpd="sng">
          <a:solidFill>
            <a:schemeClr val="phClr">
              <a:shade val="95000"/>
              <a:satMod val="105000"/>
            </a:schemeClr>
          </a:solidFill>
          <a:prstDash val="solid"/>
          <a:round/>
        </a:ln>
        <a:ln w="25400" cap="flat" cmpd="sng">
          <a:solidFill>
            <a:schemeClr val="phClr"/>
          </a:solidFill>
          <a:prstDash val="solid"/>
          <a:round/>
        </a:ln>
        <a:ln w="38100" cap="flat" cmpd="sng">
          <a:solidFill>
            <a:schemeClr val="phClr"/>
          </a:solidFill>
          <a:prstDash val="solid"/>
          <a:round/>
        </a:ln>
      </a:lnStyleLst>
      <a:effectStyleLst>
        <a:effectStyle>
          <a:effectLst>
            <a:outerShdw blurRad="40000" dist="20000" dir="5400000" rotWithShape="0">
              <a:srgbClr val="000000">
                <a:alpha val="37647"/>
              </a:srgbClr>
            </a:outerShdw>
          </a:effectLst>
        </a:effectStyle>
        <a:effectStyle>
          <a:effectLst>
            <a:outerShdw blurRad="40000" dist="23000" dir="5400000" rotWithShape="0">
              <a:srgbClr val="000000">
                <a:alpha val="34509"/>
              </a:srgbClr>
            </a:outerShdw>
          </a:effectLst>
        </a:effectStyle>
        <a:effectStyle>
          <a:effectLst>
            <a:outerShdw blurRad="40000" dist="23000" dir="5400000" rotWithShape="0">
              <a:srgbClr val="000000">
                <a:alpha val="34509"/>
              </a:srgbClr>
            </a:outerShdw>
          </a:effectLst>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50000" r="50000" b="50000"/>
          </a:path>
          <a:tileRect/>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2.xml><?xml version="1.0" encoding="utf-8"?>
<customData xmlns="http://www.yozosoft.com.cn/officeDocument/2016/customData">
  <customProps>
    <docPr revisions="3 0 5 0 0 0 1 0 0 0 3678 0 1 1 1 1"/>
    <sectPr/>
  </customProps>
</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1B4CBC1-D74E-418A-95A0-138037BB6DAE}">
  <ds:schemaRefs/>
</ds:datastoreItem>
</file>

<file path=docProps/app.xml><?xml version="1.0" encoding="utf-8"?>
<Properties xmlns="http://schemas.openxmlformats.org/officeDocument/2006/extended-properties" xmlns:vt="http://schemas.openxmlformats.org/officeDocument/2006/docPropsVTypes">
  <Template>Normal.eit</Template>
  <Company>Lenovo</Company>
  <Pages>5</Pages>
  <Words>1990</Words>
  <Characters>2049</Characters>
  <Lines>0</Lines>
  <Paragraphs>56</Paragraphs>
  <TotalTime>0</TotalTime>
  <ScaleCrop>false</ScaleCrop>
  <LinksUpToDate>false</LinksUpToDate>
  <CharactersWithSpaces>2049</CharactersWithSpaces>
  <Application>WPS Office_12.1.0.25865_F1E327BC-269C-435d-A152-05C5408002CA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2019-11-14T00:58:00Z</dcterms:created>
  <dc:creator>user</dc:creator>
  <cp:lastModifiedBy>13323011735</cp:lastModifiedBy>
  <cp:lastPrinted>2021-02-24T05:43:00Z</cp:lastPrinted>
  <dcterms:modified xsi:type="dcterms:W3CDTF">2026-06-03T08:07:42Z</dcterms:modified>
  <dc:title>附件2： </dc:title>
  <cp:revision>13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48DA8D45540B44DB938557DBFD8F4C4D_13</vt:lpwstr>
  </property>
  <property fmtid="{D5CDD505-2E9C-101B-9397-08002B2CF9AE}" pid="4" name="KSOTemplateDocerSaveRecord">
    <vt:lpwstr>eyJoZGlkIjoiYTJmZTRiNzExYzJhNTg1ZjI3MWQwMDQyODg0N2Q0YjkiLCJ1c2VySWQiOiIxNTUwMjQwMDk2In0=</vt:lpwstr>
  </property>
</Properties>
</file>