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石家庄市藁城区统计局</w:t>
      </w:r>
    </w:p>
    <w:p>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_GBK" w:hAnsi="方正小标宋_GBK" w:eastAsia="方正小标宋_GBK" w:cs="方正小标宋_GBK"/>
          <w:b/>
          <w:bCs/>
          <w:sz w:val="44"/>
          <w:szCs w:val="44"/>
        </w:rPr>
      </w:pPr>
      <w:r>
        <w:rPr>
          <w:rFonts w:hint="eastAsia" w:ascii="方正小标宋简体" w:hAnsi="方正小标宋简体" w:eastAsia="方正小标宋简体" w:cs="方正小标宋简体"/>
          <w:b w:val="0"/>
          <w:bCs w:val="0"/>
          <w:sz w:val="44"/>
          <w:szCs w:val="44"/>
          <w:lang w:val="en-US" w:eastAsia="zh-CN"/>
        </w:rPr>
        <w:t>2025年度</w:t>
      </w:r>
      <w:r>
        <w:rPr>
          <w:rFonts w:hint="eastAsia" w:ascii="方正小标宋简体" w:hAnsi="方正小标宋简体" w:eastAsia="方正小标宋简体" w:cs="方正小标宋简体"/>
          <w:b w:val="0"/>
          <w:bCs w:val="0"/>
          <w:sz w:val="44"/>
          <w:szCs w:val="44"/>
        </w:rPr>
        <w:t>整体支出绩效自评报告</w:t>
      </w:r>
    </w:p>
    <w:p>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为贯彻落实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则，现对本部门202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年度整体支出情况实施财政支出绩效评价，形成本评价报告。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藁城区统计局市藁城区人民政府工作部门，为正科级，承单组织和协调全区统计工作。主要职能是组织实施全区人口、经济、农业等重大区情区力普查，各项抽样调查，对国民经济和社会发展进行统计分析、统计预测和统计监督，承办区委、区政府和是统计局交办的其他任务等。</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（1）预算情况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yellow"/>
          <w:lang w:eastAsia="zh-CN"/>
        </w:rPr>
      </w:pPr>
      <w:r>
        <w:rPr>
          <w:rFonts w:hint="eastAsia" w:ascii="仿宋_GB2312" w:hAnsi="仿宋_GB2312" w:eastAsia="仿宋_GB2312" w:cs="仿宋_GB2312"/>
          <w:sz w:val="32"/>
          <w:szCs w:val="32"/>
          <w:highlight w:val="none"/>
          <w:lang w:eastAsia="zh-CN"/>
        </w:rPr>
        <w:t>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年预算收入</w:t>
      </w:r>
      <w:r>
        <w:rPr>
          <w:rFonts w:hint="eastAsia" w:ascii="仿宋_GB2312" w:hAnsi="仿宋_GB2312" w:eastAsia="仿宋_GB2312" w:cs="仿宋_GB2312"/>
          <w:sz w:val="32"/>
          <w:szCs w:val="32"/>
          <w:highlight w:val="none"/>
          <w:lang w:val="en-US" w:eastAsia="zh-CN"/>
        </w:rPr>
        <w:t>833.5</w:t>
      </w:r>
      <w:r>
        <w:rPr>
          <w:rFonts w:hint="eastAsia" w:ascii="仿宋_GB2312" w:hAnsi="仿宋_GB2312" w:eastAsia="仿宋_GB2312" w:cs="仿宋_GB2312"/>
          <w:sz w:val="32"/>
          <w:szCs w:val="32"/>
          <w:highlight w:val="none"/>
          <w:lang w:eastAsia="zh-CN"/>
        </w:rPr>
        <w:t>万元，其中：一般公共预算拨款8</w:t>
      </w:r>
      <w:r>
        <w:rPr>
          <w:rFonts w:hint="eastAsia" w:ascii="仿宋_GB2312" w:hAnsi="仿宋_GB2312" w:eastAsia="仿宋_GB2312" w:cs="仿宋_GB2312"/>
          <w:sz w:val="32"/>
          <w:szCs w:val="32"/>
          <w:highlight w:val="none"/>
          <w:lang w:val="en-US" w:eastAsia="zh-CN"/>
        </w:rPr>
        <w:t>33.5</w:t>
      </w:r>
      <w:r>
        <w:rPr>
          <w:rFonts w:hint="eastAsia" w:ascii="仿宋_GB2312" w:hAnsi="仿宋_GB2312" w:eastAsia="仿宋_GB2312" w:cs="仿宋_GB2312"/>
          <w:sz w:val="32"/>
          <w:szCs w:val="32"/>
          <w:highlight w:val="none"/>
          <w:lang w:eastAsia="zh-CN"/>
        </w:rPr>
        <w:t>万元。202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年预算支出为8</w:t>
      </w:r>
      <w:r>
        <w:rPr>
          <w:rFonts w:hint="eastAsia" w:ascii="仿宋_GB2312" w:hAnsi="仿宋_GB2312" w:eastAsia="仿宋_GB2312" w:cs="仿宋_GB2312"/>
          <w:sz w:val="32"/>
          <w:szCs w:val="32"/>
          <w:highlight w:val="none"/>
          <w:lang w:val="en-US" w:eastAsia="zh-CN"/>
        </w:rPr>
        <w:t>33.5</w:t>
      </w:r>
      <w:r>
        <w:rPr>
          <w:rFonts w:hint="eastAsia" w:ascii="仿宋_GB2312" w:hAnsi="仿宋_GB2312" w:eastAsia="仿宋_GB2312" w:cs="仿宋_GB2312"/>
          <w:sz w:val="32"/>
          <w:szCs w:val="32"/>
          <w:highlight w:val="none"/>
          <w:lang w:eastAsia="zh-CN"/>
        </w:rPr>
        <w:t>万元，其中基本支出</w:t>
      </w:r>
      <w:r>
        <w:rPr>
          <w:rFonts w:hint="eastAsia" w:ascii="仿宋_GB2312" w:hAnsi="仿宋_GB2312" w:eastAsia="仿宋_GB2312" w:cs="仿宋_GB2312"/>
          <w:sz w:val="32"/>
          <w:szCs w:val="32"/>
          <w:highlight w:val="none"/>
          <w:lang w:val="en-US" w:eastAsia="zh-CN"/>
        </w:rPr>
        <w:t>776.16</w:t>
      </w:r>
      <w:r>
        <w:rPr>
          <w:rFonts w:hint="eastAsia" w:ascii="仿宋_GB2312" w:hAnsi="仿宋_GB2312" w:eastAsia="仿宋_GB2312" w:cs="仿宋_GB2312"/>
          <w:sz w:val="32"/>
          <w:szCs w:val="32"/>
          <w:highlight w:val="none"/>
          <w:lang w:eastAsia="zh-CN"/>
        </w:rPr>
        <w:t>万元，包括人员经费</w:t>
      </w:r>
      <w:r>
        <w:rPr>
          <w:rFonts w:hint="eastAsia" w:ascii="仿宋_GB2312" w:hAnsi="仿宋_GB2312" w:eastAsia="仿宋_GB2312" w:cs="仿宋_GB2312"/>
          <w:sz w:val="32"/>
          <w:szCs w:val="32"/>
          <w:highlight w:val="none"/>
          <w:lang w:val="en-US" w:eastAsia="zh-CN"/>
        </w:rPr>
        <w:t>718.79</w:t>
      </w:r>
      <w:r>
        <w:rPr>
          <w:rFonts w:hint="eastAsia" w:ascii="仿宋_GB2312" w:hAnsi="仿宋_GB2312" w:eastAsia="仿宋_GB2312" w:cs="仿宋_GB2312"/>
          <w:sz w:val="32"/>
          <w:szCs w:val="32"/>
          <w:highlight w:val="none"/>
          <w:lang w:eastAsia="zh-CN"/>
        </w:rPr>
        <w:t>万元和日常公用经费</w:t>
      </w:r>
      <w:r>
        <w:rPr>
          <w:rFonts w:hint="eastAsia" w:ascii="仿宋_GB2312" w:hAnsi="仿宋_GB2312" w:eastAsia="仿宋_GB2312" w:cs="仿宋_GB2312"/>
          <w:sz w:val="32"/>
          <w:szCs w:val="32"/>
          <w:highlight w:val="none"/>
          <w:lang w:val="en-US" w:eastAsia="zh-CN"/>
        </w:rPr>
        <w:t>57.97</w:t>
      </w:r>
      <w:r>
        <w:rPr>
          <w:rFonts w:hint="eastAsia" w:ascii="仿宋_GB2312" w:hAnsi="仿宋_GB2312" w:eastAsia="仿宋_GB2312" w:cs="仿宋_GB2312"/>
          <w:sz w:val="32"/>
          <w:szCs w:val="32"/>
          <w:highlight w:val="none"/>
          <w:lang w:eastAsia="zh-CN"/>
        </w:rPr>
        <w:t>万元；项目支出57.34万元。其中调查队业务经费9.29万元；劳务派遣人员经费40.32万元；全区三产限上企业统计工作经费1.87万元；失业率调查工作经费3万元；统计年鉴印刷费1.5万元；统计业务经费1.35万元。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（2）决算情况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全年收入为782</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lang w:eastAsia="zh-CN"/>
        </w:rPr>
        <w:t>8</w:t>
      </w:r>
      <w:r>
        <w:rPr>
          <w:rFonts w:hint="eastAsia" w:ascii="仿宋_GB2312" w:hAnsi="仿宋_GB2312" w:eastAsia="仿宋_GB2312" w:cs="仿宋_GB2312"/>
          <w:sz w:val="32"/>
          <w:szCs w:val="32"/>
          <w:highlight w:val="none"/>
          <w:lang w:val="en-US" w:eastAsia="zh-CN"/>
        </w:rPr>
        <w:t>6</w:t>
      </w:r>
      <w:r>
        <w:rPr>
          <w:rFonts w:hint="eastAsia" w:ascii="仿宋_GB2312" w:hAnsi="仿宋_GB2312" w:eastAsia="仿宋_GB2312" w:cs="仿宋_GB2312"/>
          <w:sz w:val="32"/>
          <w:szCs w:val="32"/>
          <w:highlight w:val="none"/>
          <w:lang w:eastAsia="zh-CN"/>
        </w:rPr>
        <w:t>万元，其中：财政拨款收入782</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lang w:eastAsia="zh-CN"/>
        </w:rPr>
        <w:t>8</w:t>
      </w:r>
      <w:r>
        <w:rPr>
          <w:rFonts w:hint="eastAsia" w:ascii="仿宋_GB2312" w:hAnsi="仿宋_GB2312" w:eastAsia="仿宋_GB2312" w:cs="仿宋_GB2312"/>
          <w:sz w:val="32"/>
          <w:szCs w:val="32"/>
          <w:highlight w:val="none"/>
          <w:lang w:val="en-US" w:eastAsia="zh-CN"/>
        </w:rPr>
        <w:t>6</w:t>
      </w:r>
      <w:r>
        <w:rPr>
          <w:rFonts w:hint="eastAsia" w:ascii="仿宋_GB2312" w:hAnsi="仿宋_GB2312" w:eastAsia="仿宋_GB2312" w:cs="仿宋_GB2312"/>
          <w:sz w:val="32"/>
          <w:szCs w:val="32"/>
          <w:highlight w:val="none"/>
          <w:lang w:eastAsia="zh-CN"/>
        </w:rPr>
        <w:t>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yellow"/>
          <w:lang w:eastAsia="zh-CN"/>
        </w:rPr>
      </w:pPr>
      <w:r>
        <w:rPr>
          <w:rFonts w:hint="eastAsia" w:ascii="仿宋_GB2312" w:hAnsi="仿宋_GB2312" w:eastAsia="仿宋_GB2312" w:cs="仿宋_GB2312"/>
          <w:sz w:val="32"/>
          <w:szCs w:val="32"/>
          <w:highlight w:val="none"/>
          <w:lang w:eastAsia="zh-CN"/>
        </w:rPr>
        <w:t>全年支出为782</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lang w:eastAsia="zh-CN"/>
        </w:rPr>
        <w:t>8</w:t>
      </w:r>
      <w:r>
        <w:rPr>
          <w:rFonts w:hint="eastAsia" w:ascii="仿宋_GB2312" w:hAnsi="仿宋_GB2312" w:eastAsia="仿宋_GB2312" w:cs="仿宋_GB2312"/>
          <w:sz w:val="32"/>
          <w:szCs w:val="32"/>
          <w:highlight w:val="none"/>
          <w:lang w:val="en-US" w:eastAsia="zh-CN"/>
        </w:rPr>
        <w:t>6</w:t>
      </w:r>
      <w:r>
        <w:rPr>
          <w:rFonts w:hint="eastAsia" w:ascii="仿宋_GB2312" w:hAnsi="仿宋_GB2312" w:eastAsia="仿宋_GB2312" w:cs="仿宋_GB2312"/>
          <w:sz w:val="32"/>
          <w:szCs w:val="32"/>
          <w:highlight w:val="none"/>
          <w:lang w:eastAsia="zh-CN"/>
        </w:rPr>
        <w:t>万元，其中：基本支出</w:t>
      </w:r>
      <w:r>
        <w:rPr>
          <w:rFonts w:hint="eastAsia" w:ascii="仿宋_GB2312" w:hAnsi="仿宋_GB2312" w:eastAsia="仿宋_GB2312" w:cs="仿宋_GB2312"/>
          <w:sz w:val="32"/>
          <w:szCs w:val="32"/>
          <w:highlight w:val="none"/>
          <w:lang w:val="en-US" w:eastAsia="zh-CN"/>
        </w:rPr>
        <w:t>654.02</w:t>
      </w:r>
      <w:r>
        <w:rPr>
          <w:rFonts w:hint="eastAsia" w:ascii="仿宋_GB2312" w:hAnsi="仿宋_GB2312" w:eastAsia="仿宋_GB2312" w:cs="仿宋_GB2312"/>
          <w:sz w:val="32"/>
          <w:szCs w:val="32"/>
          <w:highlight w:val="none"/>
          <w:lang w:eastAsia="zh-CN"/>
        </w:rPr>
        <w:t>万元，占总支出的</w:t>
      </w:r>
      <w:r>
        <w:rPr>
          <w:rFonts w:hint="eastAsia" w:ascii="仿宋_GB2312" w:hAnsi="仿宋_GB2312" w:eastAsia="仿宋_GB2312" w:cs="仿宋_GB2312"/>
          <w:sz w:val="32"/>
          <w:szCs w:val="32"/>
          <w:highlight w:val="none"/>
          <w:lang w:val="en-US" w:eastAsia="zh-CN"/>
        </w:rPr>
        <w:t>83.54</w:t>
      </w:r>
      <w:r>
        <w:rPr>
          <w:rFonts w:hint="eastAsia" w:ascii="仿宋_GB2312" w:hAnsi="仿宋_GB2312" w:eastAsia="仿宋_GB2312" w:cs="仿宋_GB2312"/>
          <w:sz w:val="32"/>
          <w:szCs w:val="32"/>
          <w:highlight w:val="none"/>
          <w:lang w:eastAsia="zh-CN"/>
        </w:rPr>
        <w:t>%，包括人员经费</w:t>
      </w:r>
      <w:r>
        <w:rPr>
          <w:rFonts w:hint="eastAsia" w:ascii="仿宋_GB2312" w:hAnsi="仿宋_GB2312" w:eastAsia="仿宋_GB2312" w:cs="仿宋_GB2312"/>
          <w:sz w:val="32"/>
          <w:szCs w:val="32"/>
          <w:highlight w:val="none"/>
          <w:lang w:val="en-US" w:eastAsia="zh-CN"/>
        </w:rPr>
        <w:t>597.99</w:t>
      </w:r>
      <w:r>
        <w:rPr>
          <w:rFonts w:hint="eastAsia" w:ascii="仿宋_GB2312" w:hAnsi="仿宋_GB2312" w:eastAsia="仿宋_GB2312" w:cs="仿宋_GB2312"/>
          <w:sz w:val="32"/>
          <w:szCs w:val="32"/>
          <w:highlight w:val="none"/>
          <w:lang w:eastAsia="zh-CN"/>
        </w:rPr>
        <w:t>万元，占基本支出的91.</w:t>
      </w:r>
      <w:r>
        <w:rPr>
          <w:rFonts w:hint="eastAsia" w:ascii="仿宋_GB2312" w:hAnsi="仿宋_GB2312" w:eastAsia="仿宋_GB2312" w:cs="仿宋_GB2312"/>
          <w:sz w:val="32"/>
          <w:szCs w:val="32"/>
          <w:highlight w:val="none"/>
          <w:lang w:val="en-US" w:eastAsia="zh-CN"/>
        </w:rPr>
        <w:t>43</w:t>
      </w:r>
      <w:r>
        <w:rPr>
          <w:rFonts w:hint="eastAsia" w:ascii="仿宋_GB2312" w:hAnsi="仿宋_GB2312" w:eastAsia="仿宋_GB2312" w:cs="仿宋_GB2312"/>
          <w:sz w:val="32"/>
          <w:szCs w:val="32"/>
          <w:highlight w:val="none"/>
          <w:lang w:eastAsia="zh-CN"/>
        </w:rPr>
        <w:t>%；日常公用经费</w:t>
      </w:r>
      <w:r>
        <w:rPr>
          <w:rFonts w:hint="eastAsia" w:ascii="仿宋_GB2312" w:hAnsi="仿宋_GB2312" w:eastAsia="仿宋_GB2312" w:cs="仿宋_GB2312"/>
          <w:sz w:val="32"/>
          <w:szCs w:val="32"/>
          <w:highlight w:val="none"/>
          <w:lang w:val="en-US" w:eastAsia="zh-CN"/>
        </w:rPr>
        <w:t>56.02</w:t>
      </w:r>
      <w:r>
        <w:rPr>
          <w:rFonts w:hint="eastAsia" w:ascii="仿宋_GB2312" w:hAnsi="仿宋_GB2312" w:eastAsia="仿宋_GB2312" w:cs="仿宋_GB2312"/>
          <w:sz w:val="32"/>
          <w:szCs w:val="32"/>
          <w:highlight w:val="none"/>
          <w:lang w:eastAsia="zh-CN"/>
        </w:rPr>
        <w:t>万元，占基本支出的</w:t>
      </w:r>
      <w:r>
        <w:rPr>
          <w:rFonts w:hint="eastAsia" w:ascii="仿宋_GB2312" w:hAnsi="仿宋_GB2312" w:eastAsia="仿宋_GB2312" w:cs="仿宋_GB2312"/>
          <w:sz w:val="32"/>
          <w:szCs w:val="32"/>
          <w:highlight w:val="none"/>
          <w:lang w:val="en-US" w:eastAsia="zh-CN"/>
        </w:rPr>
        <w:t>8.57</w:t>
      </w:r>
      <w:r>
        <w:rPr>
          <w:rFonts w:hint="eastAsia" w:ascii="仿宋_GB2312" w:hAnsi="仿宋_GB2312" w:eastAsia="仿宋_GB2312" w:cs="仿宋_GB2312"/>
          <w:sz w:val="32"/>
          <w:szCs w:val="32"/>
          <w:highlight w:val="none"/>
          <w:lang w:eastAsia="zh-CN"/>
        </w:rPr>
        <w:t>%；项目支出</w:t>
      </w:r>
      <w:r>
        <w:rPr>
          <w:rFonts w:hint="eastAsia" w:ascii="仿宋_GB2312" w:hAnsi="仿宋_GB2312" w:eastAsia="仿宋_GB2312" w:cs="仿宋_GB2312"/>
          <w:sz w:val="32"/>
          <w:szCs w:val="32"/>
          <w:highlight w:val="none"/>
          <w:lang w:val="en-US" w:eastAsia="zh-CN"/>
        </w:rPr>
        <w:t>128.84</w:t>
      </w:r>
      <w:r>
        <w:rPr>
          <w:rFonts w:hint="eastAsia" w:ascii="仿宋_GB2312" w:hAnsi="仿宋_GB2312" w:eastAsia="仿宋_GB2312" w:cs="仿宋_GB2312"/>
          <w:sz w:val="32"/>
          <w:szCs w:val="32"/>
          <w:highlight w:val="none"/>
          <w:lang w:eastAsia="zh-CN"/>
        </w:rPr>
        <w:t>万元，占总支出额</w:t>
      </w:r>
      <w:r>
        <w:rPr>
          <w:rFonts w:hint="eastAsia" w:ascii="仿宋_GB2312" w:hAnsi="仿宋_GB2312" w:eastAsia="仿宋_GB2312" w:cs="仿宋_GB2312"/>
          <w:sz w:val="32"/>
          <w:szCs w:val="32"/>
          <w:highlight w:val="none"/>
          <w:lang w:val="en-US" w:eastAsia="zh-CN"/>
        </w:rPr>
        <w:t>16.46</w:t>
      </w:r>
      <w:r>
        <w:rPr>
          <w:rFonts w:hint="eastAsia" w:ascii="仿宋_GB2312" w:hAnsi="仿宋_GB2312" w:eastAsia="仿宋_GB2312" w:cs="仿宋_GB2312"/>
          <w:sz w:val="32"/>
          <w:szCs w:val="32"/>
          <w:highlight w:val="none"/>
          <w:lang w:eastAsia="zh-CN"/>
        </w:rPr>
        <w:t>%。包括2025年4-11月藁城区住户收支调查经费44.88万元；2025年1-3月藁城区住户收支调查经费18.36万元；2025年各单位丧葬费及抚恤金17.9764万元；补缴王建国同志基本养老保险费、职业年金部分资金1.99542万元；劳务派遣人员经费35.825416万元；失业率调查统计工作经费2.184万元；调查队业务经费6.12万元；统计年鉴印刷费</w:t>
      </w:r>
      <w:r>
        <w:rPr>
          <w:rFonts w:hint="eastAsia" w:ascii="仿宋_GB2312" w:hAnsi="仿宋_GB2312" w:eastAsia="仿宋_GB2312" w:cs="仿宋_GB2312"/>
          <w:sz w:val="32"/>
          <w:szCs w:val="32"/>
          <w:highlight w:val="none"/>
          <w:lang w:val="en-US" w:eastAsia="zh-CN"/>
        </w:rPr>
        <w:t>1.5</w:t>
      </w:r>
      <w:r>
        <w:rPr>
          <w:rFonts w:hint="eastAsia" w:ascii="仿宋_GB2312" w:hAnsi="仿宋_GB2312" w:eastAsia="仿宋_GB2312" w:cs="仿宋_GB2312"/>
          <w:sz w:val="32"/>
          <w:szCs w:val="32"/>
          <w:highlight w:val="none"/>
          <w:lang w:eastAsia="zh-CN"/>
        </w:rPr>
        <w:t>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（1）整体绩效目标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我部门</w:t>
      </w:r>
      <w:r>
        <w:rPr>
          <w:rFonts w:hint="eastAsia" w:ascii="仿宋_GB2312" w:hAnsi="仿宋_GB2312" w:eastAsia="仿宋_GB2312" w:cs="仿宋_GB2312"/>
          <w:sz w:val="32"/>
          <w:szCs w:val="32"/>
          <w:highlight w:val="none"/>
          <w:lang w:eastAsia="zh-CN"/>
        </w:rPr>
        <w:t>围绕全区经济社会发展，规范统计业务、夯实基层基础、提升数据质量、强化监测服务。高效完成各项统计调查与普查任务，精准提供经济运行分析，保障统计数据真实准确，为区委区政府科学决策提供有力支撑，切实提高统计公信力与服务满意度。</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lang w:eastAsia="zh-CN"/>
        </w:rPr>
        <w:t>）核心绩效指标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yellow"/>
          <w:lang w:eastAsia="zh-CN"/>
        </w:rPr>
      </w:pPr>
      <w:r>
        <w:rPr>
          <w:rFonts w:hint="eastAsia" w:ascii="仿宋_GB2312" w:hAnsi="仿宋_GB2312" w:eastAsia="仿宋_GB2312" w:cs="仿宋_GB2312"/>
          <w:sz w:val="32"/>
          <w:szCs w:val="32"/>
          <w:highlight w:val="none"/>
          <w:lang w:eastAsia="zh-CN"/>
        </w:rPr>
        <w:t>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我部门按时完成各项统计工作任务，夯实统计基础，工作规范高效推进；精准开展经济监测分析，数据质量稳步提升，服务决策效能凸显，工作长效机制不断完善；同时持续优化统计服务，积极响应服务对象需求，整体满意度达到预期标准。</w:t>
      </w:r>
    </w:p>
    <w:p>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为深入贯彻落实中共中央、国务院《关于全面实施预算绩效管理的意见》文件精神,根据石家庄市财政局《石家庄市市级部门预算绩效管理工作考核办法（试行）》的通知精神，强化预算支出责任，提高财政资金支出绩效，我部门严格对照预算文本中制定的部门整体绩效目标，提早部署、分解任务、压实责任、严肃考评。按照《藁城区财政局关于开展202</w:t>
      </w:r>
      <w:r>
        <w:rPr>
          <w:rFonts w:hint="eastAsia" w:ascii="仿宋_GB2312" w:hAnsi="仿宋_GB2312" w:eastAsia="仿宋_GB2312" w:cs="仿宋_GB2312"/>
          <w:sz w:val="32"/>
          <w:szCs w:val="32"/>
          <w:highlight w:val="none"/>
          <w:lang w:val="en-US" w:eastAsia="zh-CN"/>
        </w:rPr>
        <w:t>6</w:t>
      </w:r>
      <w:r>
        <w:rPr>
          <w:rFonts w:hint="eastAsia" w:ascii="仿宋_GB2312" w:hAnsi="仿宋_GB2312" w:eastAsia="仿宋_GB2312" w:cs="仿宋_GB2312"/>
          <w:sz w:val="32"/>
          <w:szCs w:val="32"/>
          <w:highlight w:val="none"/>
          <w:lang w:eastAsia="zh-CN"/>
        </w:rPr>
        <w:t>年专项项目绩效自评工作的通知》要求，我部门高度重视绩效自评工作，成立了绩效评估工作小组，由区统计局局长杨玉霄同志任组长，区统计局副局长王婷、副局长蒋文龙</w:t>
      </w:r>
      <w:bookmarkStart w:id="0" w:name="_GoBack"/>
      <w:bookmarkEnd w:id="0"/>
      <w:r>
        <w:rPr>
          <w:rFonts w:hint="eastAsia" w:ascii="仿宋_GB2312" w:hAnsi="仿宋_GB2312" w:eastAsia="仿宋_GB2312" w:cs="仿宋_GB2312"/>
          <w:sz w:val="32"/>
          <w:szCs w:val="32"/>
          <w:highlight w:val="none"/>
          <w:lang w:eastAsia="zh-CN"/>
        </w:rPr>
        <w:t>、普查中心主任蒲永坡、党组成员桑力刚、党组担任副组长，办公室主任王虎威、项目涉及科室股长和财务人员李秀华、李广阔为小组成员，对202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年我部门的</w:t>
      </w:r>
      <w:r>
        <w:rPr>
          <w:rFonts w:hint="eastAsia" w:ascii="仿宋_GB2312" w:hAnsi="仿宋_GB2312" w:eastAsia="仿宋_GB2312" w:cs="仿宋_GB2312"/>
          <w:sz w:val="32"/>
          <w:szCs w:val="32"/>
          <w:highlight w:val="none"/>
          <w:lang w:val="en-US" w:eastAsia="zh-CN"/>
        </w:rPr>
        <w:t>8</w:t>
      </w:r>
      <w:r>
        <w:rPr>
          <w:rFonts w:hint="eastAsia" w:ascii="仿宋_GB2312" w:hAnsi="仿宋_GB2312" w:eastAsia="仿宋_GB2312" w:cs="仿宋_GB2312"/>
          <w:sz w:val="32"/>
          <w:szCs w:val="32"/>
          <w:highlight w:val="none"/>
          <w:lang w:eastAsia="zh-CN"/>
        </w:rPr>
        <w:t>个项目进行绩效自评。</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自评的方法和过程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highlight w:val="none"/>
        </w:rPr>
      </w:pPr>
      <w:r>
        <w:rPr>
          <w:rFonts w:hint="eastAsia" w:ascii="仿宋_GB2312" w:hAnsi="仿宋_GB2312" w:eastAsia="仿宋_GB2312" w:cs="仿宋_GB2312"/>
          <w:sz w:val="32"/>
          <w:szCs w:val="32"/>
          <w:highlight w:val="none"/>
          <w:lang w:eastAsia="zh-CN"/>
        </w:rPr>
        <w:t>我部门自评小组在自评工作开展过程中多次召开专题会议，认真学习，掌握评价内容及方法，对照各实施项目的内容逐条逐项自评，将年度绩效指标分解到具体完成的工作中进行评价。通过对收集、整理项目实施材料，财务提交的真实、准确的各种报表，由项目负责人介绍项目预期绩效目标及具体实施取得的实际效果，评价小组成员集中实地检查、核实佐证材料进行评价，绩效自评覆盖率达到了100%。在评价过程中科学制定指标体系，绩效指标权重按照各个评价对象的实际情况确定，总分设定为100分。原则上一级指标权重统一设置为:产出指标</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0分（包含数量、质量、时效、成本)、预算执行率指标10分、效益指标</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0分（包含经济效益、社会效益、生态效益、可持续影响)、满意度指标10分，若被评价项目不涉及服务对象满意度内容或因服务对象满意度获取难度较大、成本较高而未能获取，则服务对象满意度的10分调入绩效考核事项。二、三级指标所占权重应当根据指标重要程度、项目实施阶段等因素综合确定，准确反映预算项目的产出和效果。同类评价对象的指标权重设置应当基本一致，便于评价结果相互比较。通过部门项目绩效自评小组集中评审，我部门开展的项目评价等级均达到优。</w:t>
      </w:r>
    </w:p>
    <w:p>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年度我部门共有</w:t>
      </w:r>
      <w:r>
        <w:rPr>
          <w:rFonts w:hint="eastAsia" w:ascii="仿宋_GB2312" w:hAnsi="仿宋_GB2312" w:eastAsia="仿宋_GB2312" w:cs="仿宋_GB2312"/>
          <w:sz w:val="32"/>
          <w:szCs w:val="32"/>
          <w:highlight w:val="none"/>
          <w:lang w:val="en-US" w:eastAsia="zh-CN"/>
        </w:rPr>
        <w:t>8</w:t>
      </w:r>
      <w:r>
        <w:rPr>
          <w:rFonts w:hint="eastAsia" w:ascii="仿宋_GB2312" w:hAnsi="仿宋_GB2312" w:eastAsia="仿宋_GB2312" w:cs="仿宋_GB2312"/>
          <w:sz w:val="32"/>
          <w:szCs w:val="32"/>
          <w:highlight w:val="none"/>
          <w:lang w:eastAsia="zh-CN"/>
        </w:rPr>
        <w:t>个项目，具体为：2025年4-11月藁城区住户收支调查经费44.88万元；2025年1-3月藁城区住户收支调查经费18.36万元；2025年各单位丧葬费及抚恤金17.9764万元；补缴王建国同志基本养老保险费、职业年金部分资金1.99542万元；劳务派遣人员经费35.825416万元；失业率调查统计工作经费2.184万元；调查队业务经费6.12万元；统计年鉴印刷费</w:t>
      </w:r>
      <w:r>
        <w:rPr>
          <w:rFonts w:hint="eastAsia" w:ascii="仿宋_GB2312" w:hAnsi="仿宋_GB2312" w:eastAsia="仿宋_GB2312" w:cs="仿宋_GB2312"/>
          <w:sz w:val="32"/>
          <w:szCs w:val="32"/>
          <w:highlight w:val="none"/>
          <w:lang w:val="en-US" w:eastAsia="zh-CN"/>
        </w:rPr>
        <w:t>1.5</w:t>
      </w:r>
      <w:r>
        <w:rPr>
          <w:rFonts w:hint="eastAsia" w:ascii="仿宋_GB2312" w:hAnsi="仿宋_GB2312" w:eastAsia="仿宋_GB2312" w:cs="仿宋_GB2312"/>
          <w:sz w:val="32"/>
          <w:szCs w:val="32"/>
          <w:highlight w:val="none"/>
          <w:lang w:eastAsia="zh-CN"/>
        </w:rPr>
        <w:t>万元。每个项目目标完成情况的总体完成率均为100%；根据项目产出指标、效益指标、满意度指标的平分结果，评价等级均为优。</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本次涉及的8个项目，涵盖住户收支调查、丧葬费及抚恤金发放、保险补缴、劳务派遣保障、失业率调查、调查队业务保障、统计年鉴印刷等多个领域，均严格按照预算绩效目标及相关工作要求有序推进、圆满完成实施。所有项目产出指标、预算执行率指标、效益指标、满意度指标均达到预设标准，自评得分均为100分，平均得分100分，整体绩效表现优秀。其中，住户收支调查类项目（2025年1-3月、4-11月）精准完成样本覆盖、数据采集及上报工作，为区域民生研判提供可靠支撑；丧葬费及抚恤金项目严格按政策执行，切实保障群众合法权益；保险补缴项目高效办结，解决个人实际诉求；其余项目也均按要求达成既定目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资金使用方面，各项目严格遵循财务管理制度，专款专用、规范有序，预算执行率均达到100%，无截留、挤占、挪用等违规支出情况，资金使用效益得到充分发挥。产出成果方面，所有项目均按数量、质量、时效要求完成，数据真实准确、流程规范合规，有效支撑了各项工作有序开展。效益发挥方面，项目实施既保障了日常工作正常运转，又切实解决了群众诉求、提升了工作效能，服务对象满意度均保持在较高水平，得到相关单位及群众的认可。总体而言，各项目均圆满完成各项绩效目标，达到了预期工作成效。</w:t>
      </w:r>
    </w:p>
    <w:p>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tbl>
      <w:tblPr>
        <w:tblStyle w:val="9"/>
        <w:tblW w:w="934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077"/>
        <w:gridCol w:w="993"/>
        <w:gridCol w:w="992"/>
        <w:gridCol w:w="992"/>
        <w:gridCol w:w="992"/>
        <w:gridCol w:w="129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项目名称</w:t>
            </w:r>
          </w:p>
        </w:tc>
        <w:tc>
          <w:tcPr>
            <w:tcW w:w="993" w:type="dxa"/>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产出指标完成得分情况</w:t>
            </w:r>
          </w:p>
        </w:tc>
        <w:tc>
          <w:tcPr>
            <w:tcW w:w="992" w:type="dxa"/>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预算执行率指标完成得分情况</w:t>
            </w:r>
          </w:p>
        </w:tc>
        <w:tc>
          <w:tcPr>
            <w:tcW w:w="992" w:type="dxa"/>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效益指标完成得分情况</w:t>
            </w:r>
          </w:p>
        </w:tc>
        <w:tc>
          <w:tcPr>
            <w:tcW w:w="992" w:type="dxa"/>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满意度指标完成得分情况</w:t>
            </w:r>
          </w:p>
        </w:tc>
        <w:tc>
          <w:tcPr>
            <w:tcW w:w="1294" w:type="dxa"/>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1、2025年4-11月藁城区住户收支调查经费</w:t>
            </w:r>
          </w:p>
        </w:tc>
        <w:tc>
          <w:tcPr>
            <w:tcW w:w="993"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default"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50</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default"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10</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3</w:t>
            </w:r>
            <w:r>
              <w:rPr>
                <w:rFonts w:hint="eastAsia" w:ascii="仿宋_GB2312" w:hAnsi="仿宋_GB2312" w:eastAsia="仿宋_GB2312" w:cs="仿宋_GB2312"/>
                <w:sz w:val="24"/>
                <w:szCs w:val="24"/>
                <w:highlight w:val="none"/>
                <w:lang w:val="en-US" w:eastAsia="zh-CN"/>
              </w:rPr>
              <w:t>0</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10</w:t>
            </w:r>
          </w:p>
        </w:tc>
        <w:tc>
          <w:tcPr>
            <w:tcW w:w="1294"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default"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2、2025年1-3月藁城区住户收支调查经费</w:t>
            </w:r>
          </w:p>
        </w:tc>
        <w:tc>
          <w:tcPr>
            <w:tcW w:w="993"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val="en-US" w:eastAsia="zh-CN"/>
              </w:rPr>
              <w:t>50</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default"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10</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3</w:t>
            </w:r>
            <w:r>
              <w:rPr>
                <w:rFonts w:hint="eastAsia" w:ascii="仿宋_GB2312" w:hAnsi="仿宋_GB2312" w:eastAsia="仿宋_GB2312" w:cs="仿宋_GB2312"/>
                <w:sz w:val="24"/>
                <w:szCs w:val="24"/>
                <w:highlight w:val="none"/>
                <w:lang w:val="en-US" w:eastAsia="zh-CN"/>
              </w:rPr>
              <w:t>0</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10</w:t>
            </w:r>
          </w:p>
        </w:tc>
        <w:tc>
          <w:tcPr>
            <w:tcW w:w="1294"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default"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3、2025年各单位丧葬费及抚恤金</w:t>
            </w:r>
          </w:p>
        </w:tc>
        <w:tc>
          <w:tcPr>
            <w:tcW w:w="993"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val="en-US" w:eastAsia="zh-CN"/>
              </w:rPr>
              <w:t>50</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10</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3</w:t>
            </w:r>
            <w:r>
              <w:rPr>
                <w:rFonts w:hint="eastAsia" w:ascii="仿宋_GB2312" w:hAnsi="仿宋_GB2312" w:eastAsia="仿宋_GB2312" w:cs="仿宋_GB2312"/>
                <w:sz w:val="24"/>
                <w:szCs w:val="24"/>
                <w:highlight w:val="none"/>
                <w:lang w:val="en-US" w:eastAsia="zh-CN"/>
              </w:rPr>
              <w:t>0</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10</w:t>
            </w:r>
          </w:p>
        </w:tc>
        <w:tc>
          <w:tcPr>
            <w:tcW w:w="1294"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val="en-US" w:eastAsia="zh-CN"/>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4、补缴王建国同志基本养老保险费、职业年金部分资金</w:t>
            </w:r>
          </w:p>
        </w:tc>
        <w:tc>
          <w:tcPr>
            <w:tcW w:w="993"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val="en-US" w:eastAsia="zh-CN"/>
              </w:rPr>
              <w:t>50</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default"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10</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3</w:t>
            </w:r>
            <w:r>
              <w:rPr>
                <w:rFonts w:hint="eastAsia" w:ascii="仿宋_GB2312" w:hAnsi="仿宋_GB2312" w:eastAsia="仿宋_GB2312" w:cs="仿宋_GB2312"/>
                <w:sz w:val="24"/>
                <w:szCs w:val="24"/>
                <w:highlight w:val="none"/>
                <w:lang w:val="en-US" w:eastAsia="zh-CN"/>
              </w:rPr>
              <w:t>0</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10</w:t>
            </w:r>
          </w:p>
        </w:tc>
        <w:tc>
          <w:tcPr>
            <w:tcW w:w="1294"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default"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5、劳务派遣人员经费</w:t>
            </w:r>
          </w:p>
        </w:tc>
        <w:tc>
          <w:tcPr>
            <w:tcW w:w="993"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val="en-US" w:eastAsia="zh-CN"/>
              </w:rPr>
              <w:t>50</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default"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10</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3</w:t>
            </w:r>
            <w:r>
              <w:rPr>
                <w:rFonts w:hint="eastAsia" w:ascii="仿宋_GB2312" w:hAnsi="仿宋_GB2312" w:eastAsia="仿宋_GB2312" w:cs="仿宋_GB2312"/>
                <w:sz w:val="24"/>
                <w:szCs w:val="24"/>
                <w:highlight w:val="none"/>
                <w:lang w:val="en-US" w:eastAsia="zh-CN"/>
              </w:rPr>
              <w:t>0</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10</w:t>
            </w:r>
          </w:p>
        </w:tc>
        <w:tc>
          <w:tcPr>
            <w:tcW w:w="1294"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default"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6、失业率调查统计工作经费</w:t>
            </w:r>
          </w:p>
        </w:tc>
        <w:tc>
          <w:tcPr>
            <w:tcW w:w="993"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val="en-US" w:eastAsia="zh-CN"/>
              </w:rPr>
              <w:t>50</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default"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10</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3</w:t>
            </w:r>
            <w:r>
              <w:rPr>
                <w:rFonts w:hint="eastAsia" w:ascii="仿宋_GB2312" w:hAnsi="仿宋_GB2312" w:eastAsia="仿宋_GB2312" w:cs="仿宋_GB2312"/>
                <w:sz w:val="24"/>
                <w:szCs w:val="24"/>
                <w:highlight w:val="none"/>
                <w:lang w:val="en-US" w:eastAsia="zh-CN"/>
              </w:rPr>
              <w:t>0</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10</w:t>
            </w:r>
          </w:p>
        </w:tc>
        <w:tc>
          <w:tcPr>
            <w:tcW w:w="1294"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default"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7、调查队业务经费</w:t>
            </w:r>
          </w:p>
        </w:tc>
        <w:tc>
          <w:tcPr>
            <w:tcW w:w="993"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default"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50</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default"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10</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3</w:t>
            </w:r>
            <w:r>
              <w:rPr>
                <w:rFonts w:hint="eastAsia" w:ascii="仿宋_GB2312" w:hAnsi="仿宋_GB2312" w:eastAsia="仿宋_GB2312" w:cs="仿宋_GB2312"/>
                <w:sz w:val="24"/>
                <w:szCs w:val="24"/>
                <w:highlight w:val="none"/>
                <w:lang w:val="en-US" w:eastAsia="zh-CN"/>
              </w:rPr>
              <w:t>0</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10</w:t>
            </w:r>
          </w:p>
        </w:tc>
        <w:tc>
          <w:tcPr>
            <w:tcW w:w="1294"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default"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8、统计年鉴印刷费</w:t>
            </w:r>
          </w:p>
        </w:tc>
        <w:tc>
          <w:tcPr>
            <w:tcW w:w="993"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val="en-US" w:eastAsia="zh-CN"/>
              </w:rPr>
              <w:t>50</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10</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3</w:t>
            </w:r>
            <w:r>
              <w:rPr>
                <w:rFonts w:hint="eastAsia" w:ascii="仿宋_GB2312" w:hAnsi="仿宋_GB2312" w:eastAsia="仿宋_GB2312" w:cs="仿宋_GB2312"/>
                <w:sz w:val="24"/>
                <w:szCs w:val="24"/>
                <w:highlight w:val="none"/>
                <w:lang w:val="en-US" w:eastAsia="zh-CN"/>
              </w:rPr>
              <w:t>0</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10</w:t>
            </w:r>
          </w:p>
        </w:tc>
        <w:tc>
          <w:tcPr>
            <w:tcW w:w="1294"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平均得分</w:t>
            </w:r>
          </w:p>
        </w:tc>
        <w:tc>
          <w:tcPr>
            <w:tcW w:w="993"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eastAsia" w:ascii="仿宋_GB2312" w:hAnsi="仿宋_GB2312" w:eastAsia="仿宋_GB2312" w:cs="仿宋_GB2312"/>
                <w:sz w:val="24"/>
                <w:szCs w:val="24"/>
                <w:highlight w:val="none"/>
                <w:lang w:eastAsia="zh-CN"/>
              </w:rPr>
            </w:pPr>
          </w:p>
        </w:tc>
        <w:tc>
          <w:tcPr>
            <w:tcW w:w="1294"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textAlignment w:val="auto"/>
              <w:rPr>
                <w:rFonts w:hint="default"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100</w:t>
            </w:r>
          </w:p>
        </w:tc>
      </w:tr>
    </w:tbl>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根据部门职责定位和各项工作履职情况进行综合评价，给出总得分，并得出综合绩效评价等级。我部门整体支出综合绩效评价平均得分</w:t>
      </w:r>
      <w:r>
        <w:rPr>
          <w:rFonts w:hint="eastAsia" w:ascii="仿宋_GB2312" w:hAnsi="仿宋_GB2312" w:eastAsia="仿宋_GB2312" w:cs="仿宋_GB2312"/>
          <w:sz w:val="32"/>
          <w:szCs w:val="32"/>
          <w:highlight w:val="none"/>
          <w:lang w:val="en-US" w:eastAsia="zh-CN"/>
        </w:rPr>
        <w:t>100</w:t>
      </w:r>
      <w:r>
        <w:rPr>
          <w:rFonts w:hint="eastAsia" w:ascii="仿宋_GB2312" w:hAnsi="仿宋_GB2312" w:eastAsia="仿宋_GB2312" w:cs="仿宋_GB2312"/>
          <w:sz w:val="32"/>
          <w:szCs w:val="32"/>
          <w:highlight w:val="none"/>
          <w:lang w:eastAsia="zh-CN"/>
        </w:rPr>
        <w:t>分，绩效评价等级为优秀。</w:t>
      </w: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1.绩效目标设定工作有待提升。因事前绩效评估不足，项目数据库数据不够全面，完整，导致部分项目绩效目标设置不够简明扼要，清晰直观，不便于理解和衡量。部分项目预算数量关键点不突出，数量不够精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绩效工作管理有待加强。绩效工作管理还存在一定的薄弱环节，绩效管理相关制度不健全，个别科室绩效理念尚未全面树立、绩效管理职责不明确，绩效指标激励约束作用不强，存在重投入轻管理、重支出轻绩效的问题，绩效工作管理的广度和深度不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3.部分科室未能有效协同推进实施绩效管理，未做好预算项目的梳理和总结工作，不能全面掌握绩效目标、指标的实际完成情况以及预算资金执行情况。部分较复杂的综合性预算项目，所设指标涉及多个科室，部分科室之间未能协同推进实施绩效管理，不能综合地反映预算项目的产出和效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楷体_GB2312" w:hAnsi="楷体_GB2312" w:eastAsia="楷体_GB2312" w:cs="楷体_GB2312"/>
          <w:bCs/>
          <w:sz w:val="32"/>
          <w:szCs w:val="32"/>
          <w:highlight w:val="none"/>
        </w:rPr>
        <w:t>（二）针对问题提出具体的改进措施或建议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1.科学规范的设定绩效目标，提升绩效目标的质量。使绩效目标清晰的反映预算资金的预期产出和效果，并以精准的指向性绩效指标予以细化。能量化的绩效指标尽可能的量化，既要符合统计工作的特点和实际情况，又要实事求是，客观公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建立健全相关绩效管理制度，强化预算绩效约束。坚持权责对等、约束有力，明确各责任科室的预算绩效申报和管理责任，做到“谁支出，谁自评”“花钱必问效，无效必问责”。建立健全激励约束机制，实现绩效评价结果与预算安排相挂钩。增强预算统筹能力，优化预算管理流程，调动各科室的积极性、主动性。</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3.及时梳理和总结，协同推进实施绩效管理。各科室要做好项目的梳理和总结工作，掌握项目预算资金的执行情况以及绩效目标、指标的完成情况。针对多部门共同实施的较复杂的综合性项目，由项目责任科室牵头，各部门积极参与配合，完成预算项目的综合评价工作，保证准确地、全面地反映和评价预算项目的产出和效果，实现预算项目的价值与意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4.建立健全业务制度。结合此次总结出来的问题，对相关制度进行进一步修订和完善，在实际工作中严格依规办事、照章办事，强化制度的刚性执行。</w:t>
      </w:r>
    </w:p>
    <w:sectPr>
      <w:headerReference r:id="rId3" w:type="default"/>
      <w:footerReference r:id="rId4" w:type="default"/>
      <w:pgSz w:w="11906" w:h="16838"/>
      <w:pgMar w:top="2098" w:right="1474" w:bottom="1984" w:left="1587" w:header="851" w:footer="1701"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ED8767DE-0912-481A-8165-2692652EFB54}"/>
  </w:font>
  <w:font w:name="黑体">
    <w:panose1 w:val="02010609060101010101"/>
    <w:charset w:val="86"/>
    <w:family w:val="auto"/>
    <w:pitch w:val="default"/>
    <w:sig w:usb0="800002BF" w:usb1="38CF7CFA" w:usb2="00000016" w:usb3="00000000" w:csb0="00040001" w:csb1="00000000"/>
    <w:embedRegular r:id="rId2" w:fontKey="{F79A7AF7-D348-4702-B8A7-84ABB36457E9}"/>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embedRegular r:id="rId3" w:fontKey="{39B75A5D-FDE5-4ED8-8287-77B863E8C33B}"/>
  </w:font>
  <w:font w:name="方正小标宋简体">
    <w:panose1 w:val="03000509000000000000"/>
    <w:charset w:val="86"/>
    <w:family w:val="auto"/>
    <w:pitch w:val="default"/>
    <w:sig w:usb0="00000001" w:usb1="080E0000" w:usb2="00000000" w:usb3="00000000" w:csb0="00040000" w:csb1="00000000"/>
    <w:embedRegular r:id="rId4" w:fontKey="{9E340475-E046-4477-847B-E51ABA23F2A5}"/>
  </w:font>
  <w:font w:name="方正小标宋_GBK">
    <w:panose1 w:val="02000000000000000000"/>
    <w:charset w:val="86"/>
    <w:family w:val="auto"/>
    <w:pitch w:val="default"/>
    <w:sig w:usb0="00000000" w:usb1="00000000" w:usb2="00000000" w:usb3="00000000" w:csb0="00000000" w:csb1="00000000"/>
    <w:embedRegular r:id="rId5" w:fontKey="{80574318-3878-4D06-A17A-06E1CFC49779}"/>
  </w:font>
  <w:font w:name="楷体_GB2312">
    <w:panose1 w:val="02010609030101010101"/>
    <w:charset w:val="86"/>
    <w:family w:val="auto"/>
    <w:pitch w:val="default"/>
    <w:sig w:usb0="00000001" w:usb1="080E0000" w:usb2="00000000" w:usb3="00000000" w:csb0="00040000" w:csb1="00000000"/>
    <w:embedRegular r:id="rId6" w:fontKey="{5E50A4ED-4825-43A5-9EFA-8F596333F899}"/>
  </w:font>
  <w:font w:name="楷体">
    <w:panose1 w:val="02010609060101010101"/>
    <w:charset w:val="86"/>
    <w:family w:val="auto"/>
    <w:pitch w:val="default"/>
    <w:sig w:usb0="800002BF" w:usb1="38CF7CFA" w:usb2="00000016" w:usb3="00000000" w:csb0="00040001" w:csb1="00000000"/>
    <w:embedRegular r:id="rId7" w:fontKey="{AC0FFD3D-62A1-4C07-AFD1-5D38B01C59EA}"/>
  </w:font>
  <w:font w:name="国标宋体">
    <w:panose1 w:val="02000500000000000000"/>
    <w:charset w:val="86"/>
    <w:family w:val="auto"/>
    <w:pitch w:val="default"/>
    <w:sig w:usb0="00000000" w:usb1="00000000" w:usb2="00000000" w:usb3="00000000" w:csb0="00000000" w:csb1="00000000"/>
    <w:embedRegular r:id="rId8" w:fontKey="{28AF43F2-911F-4CDC-90D9-B0220EA9073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7"/>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330718AF"/>
    <w:multiLevelType w:val="singleLevel"/>
    <w:tmpl w:val="330718AF"/>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TrueTypeFonts/>
  <w:saveSubset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NGE2ZDVhYjFkNzNmZjA0ZTExM2M2ODcxZGVjNWRjNGEifQ=="/>
  </w:docVars>
  <w:rsids>
    <w:rsidRoot w:val="00000000"/>
    <w:rsid w:val="02B1196D"/>
    <w:rsid w:val="03E80687"/>
    <w:rsid w:val="076D7821"/>
    <w:rsid w:val="08C14457"/>
    <w:rsid w:val="092E3E8D"/>
    <w:rsid w:val="0BBF7518"/>
    <w:rsid w:val="0CB66BD5"/>
    <w:rsid w:val="134F6B82"/>
    <w:rsid w:val="13955CCA"/>
    <w:rsid w:val="1D5063C3"/>
    <w:rsid w:val="1D833102"/>
    <w:rsid w:val="1ED07A4C"/>
    <w:rsid w:val="1F2340A7"/>
    <w:rsid w:val="1FD264F2"/>
    <w:rsid w:val="236F2267"/>
    <w:rsid w:val="24D51C14"/>
    <w:rsid w:val="27EF5A03"/>
    <w:rsid w:val="2FE353D3"/>
    <w:rsid w:val="398A7E08"/>
    <w:rsid w:val="39D64A9C"/>
    <w:rsid w:val="3AF9494C"/>
    <w:rsid w:val="3D290B69"/>
    <w:rsid w:val="3DDE37D0"/>
    <w:rsid w:val="3FFFD1B0"/>
    <w:rsid w:val="413D1A37"/>
    <w:rsid w:val="41997259"/>
    <w:rsid w:val="473F361C"/>
    <w:rsid w:val="4743741A"/>
    <w:rsid w:val="4D4E0B28"/>
    <w:rsid w:val="4E376C0A"/>
    <w:rsid w:val="502072F3"/>
    <w:rsid w:val="51711842"/>
    <w:rsid w:val="52EA5EAF"/>
    <w:rsid w:val="5366C1BB"/>
    <w:rsid w:val="58B8456C"/>
    <w:rsid w:val="58BE1257"/>
    <w:rsid w:val="5B355108"/>
    <w:rsid w:val="5CFEBA53"/>
    <w:rsid w:val="5D704D80"/>
    <w:rsid w:val="5E2FC5CB"/>
    <w:rsid w:val="5E490C6B"/>
    <w:rsid w:val="5FF40D90"/>
    <w:rsid w:val="619D0D81"/>
    <w:rsid w:val="66953021"/>
    <w:rsid w:val="67F39597"/>
    <w:rsid w:val="69206851"/>
    <w:rsid w:val="692947F7"/>
    <w:rsid w:val="69FC1C53"/>
    <w:rsid w:val="6FB154A3"/>
    <w:rsid w:val="717C0EEF"/>
    <w:rsid w:val="748363EF"/>
    <w:rsid w:val="767C6B21"/>
    <w:rsid w:val="7835188F"/>
    <w:rsid w:val="79262879"/>
    <w:rsid w:val="796C4B79"/>
    <w:rsid w:val="7C7B0145"/>
    <w:rsid w:val="7D135560"/>
    <w:rsid w:val="7D3546AD"/>
    <w:rsid w:val="BB8F3284"/>
    <w:rsid w:val="BF67F3AE"/>
    <w:rsid w:val="D6D9CE45"/>
    <w:rsid w:val="DFF756FC"/>
    <w:rsid w:val="E5F21BF3"/>
    <w:rsid w:val="EFFE328E"/>
    <w:rsid w:val="F39982A8"/>
    <w:rsid w:val="F8FE090C"/>
    <w:rsid w:val="F9BE4E02"/>
    <w:rsid w:val="FEDFBD95"/>
    <w:rsid w:val="FF7D6198"/>
    <w:rsid w:val="FFF9E569"/>
    <w:rsid w:val="FFFDE4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Arial"/>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link w:val="11"/>
    <w:qFormat/>
    <w:uiPriority w:val="0"/>
    <w:pPr>
      <w:keepNext/>
      <w:keepLines/>
      <w:spacing w:before="340" w:after="330" w:line="578" w:lineRule="auto"/>
      <w:outlineLvl w:val="0"/>
    </w:pPr>
    <w:rPr>
      <w:b/>
      <w:bCs/>
      <w:kern w:val="44"/>
      <w:sz w:val="44"/>
      <w:szCs w:val="44"/>
    </w:rPr>
  </w:style>
  <w:style w:type="paragraph" w:styleId="5">
    <w:name w:val="heading 2"/>
    <w:basedOn w:val="1"/>
    <w:next w:val="1"/>
    <w:link w:val="12"/>
    <w:qFormat/>
    <w:uiPriority w:val="0"/>
    <w:pPr>
      <w:keepNext/>
      <w:keepLines/>
      <w:spacing w:before="260" w:after="260" w:line="415" w:lineRule="auto"/>
      <w:outlineLvl w:val="1"/>
    </w:pPr>
    <w:rPr>
      <w:rFonts w:ascii="Times New Roman" w:hAnsi="Times New Roman" w:eastAsia="黑体"/>
      <w:b/>
      <w:bCs/>
      <w:sz w:val="32"/>
      <w:szCs w:val="32"/>
    </w:rPr>
  </w:style>
  <w:style w:type="paragraph" w:styleId="6">
    <w:name w:val="heading 3"/>
    <w:basedOn w:val="1"/>
    <w:next w:val="1"/>
    <w:link w:val="13"/>
    <w:qFormat/>
    <w:uiPriority w:val="0"/>
    <w:pPr>
      <w:keepNext/>
      <w:keepLines/>
      <w:spacing w:before="260" w:after="260" w:line="415" w:lineRule="auto"/>
      <w:outlineLvl w:val="2"/>
    </w:pPr>
    <w:rPr>
      <w:b/>
      <w:bCs/>
      <w:sz w:val="32"/>
      <w:szCs w:val="32"/>
    </w:rPr>
  </w:style>
  <w:style w:type="character" w:default="1" w:styleId="10">
    <w:name w:val="Default Paragraph Font"/>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First Indent"/>
    <w:basedOn w:val="3"/>
    <w:unhideWhenUsed/>
    <w:qFormat/>
    <w:uiPriority w:val="0"/>
    <w:pPr>
      <w:spacing w:after="120"/>
      <w:ind w:firstLine="420" w:firstLineChars="100"/>
    </w:pPr>
    <w:rPr>
      <w:rFonts w:ascii="Times New Roman" w:hAnsi="Times New Roman" w:eastAsia="宋体" w:cs="Times New Roman"/>
      <w:sz w:val="21"/>
      <w:szCs w:val="24"/>
      <w:lang w:val="en-US"/>
    </w:rPr>
  </w:style>
  <w:style w:type="paragraph" w:styleId="3">
    <w:name w:val="Body Text"/>
    <w:basedOn w:val="1"/>
    <w:qFormat/>
    <w:uiPriority w:val="0"/>
    <w:rPr>
      <w:rFonts w:ascii="仿宋_GB2312" w:hAnsi="仿宋_GB2312" w:eastAsia="仿宋_GB2312" w:cs="仿宋_GB2312"/>
      <w:sz w:val="32"/>
      <w:szCs w:val="32"/>
      <w:lang w:val="zh-CN"/>
    </w:rPr>
  </w:style>
  <w:style w:type="paragraph" w:styleId="7">
    <w:name w:val="footer"/>
    <w:basedOn w:val="1"/>
    <w:qFormat/>
    <w:uiPriority w:val="0"/>
    <w:pPr>
      <w:tabs>
        <w:tab w:val="center" w:pos="4153"/>
        <w:tab w:val="right" w:pos="8306"/>
      </w:tabs>
      <w:snapToGrid w:val="0"/>
      <w:jc w:val="left"/>
    </w:pPr>
    <w:rPr>
      <w:sz w:val="18"/>
      <w:szCs w:val="18"/>
    </w:rPr>
  </w:style>
  <w:style w:type="paragraph" w:styleId="8">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11">
    <w:name w:val="heading 1 Char"/>
    <w:basedOn w:val="10"/>
    <w:link w:val="4"/>
    <w:qFormat/>
    <w:uiPriority w:val="0"/>
    <w:rPr>
      <w:rFonts w:ascii="Times New Roman" w:hAnsi="Times New Roman" w:eastAsia="宋体" w:cs="Times New Roman"/>
      <w:b/>
      <w:bCs/>
      <w:kern w:val="44"/>
      <w:sz w:val="44"/>
      <w:szCs w:val="44"/>
      <w:lang w:val="en-US" w:eastAsia="zh-CN" w:bidi="ar-SA"/>
    </w:rPr>
  </w:style>
  <w:style w:type="character" w:customStyle="1" w:styleId="12">
    <w:name w:val="heading 2 Char"/>
    <w:basedOn w:val="10"/>
    <w:link w:val="5"/>
    <w:qFormat/>
    <w:uiPriority w:val="0"/>
    <w:rPr>
      <w:rFonts w:ascii="Times New Roman" w:hAnsi="Times New Roman" w:eastAsia="黑体" w:cs="Times New Roman"/>
      <w:b/>
      <w:bCs/>
      <w:kern w:val="2"/>
      <w:sz w:val="32"/>
      <w:szCs w:val="32"/>
      <w:lang w:val="en-US" w:eastAsia="zh-CN" w:bidi="ar-SA"/>
    </w:rPr>
  </w:style>
  <w:style w:type="character" w:customStyle="1" w:styleId="13">
    <w:name w:val="heading 3 Char"/>
    <w:basedOn w:val="10"/>
    <w:link w:val="6"/>
    <w:qFormat/>
    <w:uiPriority w:val="0"/>
    <w:rPr>
      <w:rFonts w:ascii="Times New Roman" w:hAnsi="Times New Roman" w:eastAsia="宋体" w:cs="Times New Roman"/>
      <w:b/>
      <w:bCs/>
      <w:kern w:val="2"/>
      <w:sz w:val="32"/>
      <w:szCs w:val="3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8</Pages>
  <Words>3104</Words>
  <Characters>3397</Characters>
  <Lines>0</Lines>
  <Paragraphs>31</Paragraphs>
  <TotalTime>0</TotalTime>
  <ScaleCrop>false</ScaleCrop>
  <LinksUpToDate>false</LinksUpToDate>
  <CharactersWithSpaces>3397</CharactersWithSpaces>
  <Application>WPS Office_11.8.2.9067_F1E327BC-269C-435d-A152-05C5408002CA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2019-11-15T08:58:00Z</dcterms:created>
  <dc:creator>user</dc:creator>
  <cp:lastModifiedBy>Administrator</cp:lastModifiedBy>
  <cp:lastPrinted>2021-02-25T13:43:00Z</cp:lastPrinted>
  <dcterms:modified xsi:type="dcterms:W3CDTF">2026-04-30T00:46:17Z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y fmtid="{D5CDD505-2E9C-101B-9397-08002B2CF9AE}" pid="3" name="ICV">
    <vt:lpwstr>28C64EFCB758481798A31117B3E7B5E3</vt:lpwstr>
  </property>
  <property fmtid="{D5CDD505-2E9C-101B-9397-08002B2CF9AE}" pid="4" name="KSOTemplateDocerSaveRecord">
    <vt:lpwstr>eyJoZGlkIjoiMjY3MTk1ODlkYWI4ZjUwN2U3ZmQ2YWNjMmVjNDdmM2IiLCJ1c2VySWQiOiI2MjcxMTM4MTEifQ==</vt:lpwstr>
  </property>
</Properties>
</file>