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BC31F3">
      <w:pPr>
        <w:keepNext w:val="0"/>
        <w:keepLines w:val="0"/>
        <w:pageBreakBefore w:val="0"/>
        <w:widowControl w:val="0"/>
        <w:kinsoku/>
        <w:wordWrap/>
        <w:overflowPunct/>
        <w:topLinePunct w:val="0"/>
        <w:autoSpaceDE/>
        <w:autoSpaceDN/>
        <w:bidi w:val="0"/>
        <w:adjustRightInd w:val="0"/>
        <w:snapToGrid w:val="0"/>
        <w:spacing w:line="560" w:lineRule="exact"/>
        <w:textAlignment w:val="auto"/>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2：</w:t>
      </w:r>
    </w:p>
    <w:p w14:paraId="468479F5">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党校部门</w:t>
      </w:r>
    </w:p>
    <w:p w14:paraId="632C3453">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方正小标宋_GBK" w:hAnsi="方正小标宋_GBK" w:eastAsia="方正小标宋_GBK" w:cs="方正小标宋_GBK"/>
          <w:b/>
          <w:bCs/>
          <w:sz w:val="44"/>
          <w:szCs w:val="44"/>
        </w:rPr>
      </w:pPr>
      <w:r>
        <w:rPr>
          <w:rFonts w:hint="eastAsia" w:ascii="方正小标宋简体" w:hAnsi="方正小标宋简体" w:eastAsia="方正小标宋简体" w:cs="方正小标宋简体"/>
          <w:b w:val="0"/>
          <w:bCs w:val="0"/>
          <w:sz w:val="44"/>
          <w:szCs w:val="44"/>
          <w:lang w:val="en-US" w:eastAsia="zh-CN"/>
        </w:rPr>
        <w:t>2025年度</w:t>
      </w:r>
      <w:r>
        <w:rPr>
          <w:rFonts w:hint="eastAsia" w:ascii="方正小标宋简体" w:hAnsi="方正小标宋简体" w:eastAsia="方正小标宋简体" w:cs="方正小标宋简体"/>
          <w:b w:val="0"/>
          <w:bCs w:val="0"/>
          <w:sz w:val="44"/>
          <w:szCs w:val="44"/>
        </w:rPr>
        <w:t>整体支出绩效自评报告</w:t>
      </w:r>
    </w:p>
    <w:p w14:paraId="495FA81C">
      <w:pPr>
        <w:keepNext w:val="0"/>
        <w:keepLines w:val="0"/>
        <w:pageBreakBefore w:val="0"/>
        <w:widowControl w:val="0"/>
        <w:kinsoku/>
        <w:wordWrap/>
        <w:overflowPunct/>
        <w:topLinePunct w:val="0"/>
        <w:autoSpaceDE/>
        <w:autoSpaceDN/>
        <w:bidi w:val="0"/>
        <w:adjustRightInd/>
        <w:snapToGrid w:val="0"/>
        <w:spacing w:line="560" w:lineRule="exact"/>
        <w:ind w:left="0" w:right="0"/>
        <w:jc w:val="center"/>
        <w:textAlignment w:val="auto"/>
        <w:outlineLvl w:val="9"/>
        <w:rPr>
          <w:rFonts w:hint="eastAsia" w:ascii="仿宋_GB2312" w:hAnsi="仿宋_GB2312" w:eastAsia="仿宋_GB2312" w:cs="仿宋_GB2312"/>
          <w:sz w:val="32"/>
          <w:szCs w:val="32"/>
        </w:rPr>
      </w:pPr>
    </w:p>
    <w:p w14:paraId="33107175">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为贯彻落实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则，现对本部门202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年度整体支出情况实施财政支出绩效评价，形成本评价报告。</w:t>
      </w:r>
    </w:p>
    <w:p w14:paraId="396A028A">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2A18305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149AA05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简述部门职能、组织机构及人员、资产等基本情况。</w:t>
      </w:r>
    </w:p>
    <w:p w14:paraId="430DE1B6">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pPr>
      <w:r>
        <w:rPr>
          <w:rFonts w:hint="eastAsia" w:ascii="仿宋_GB2312" w:hAnsi="仿宋_GB2312" w:eastAsia="仿宋_GB2312" w:cs="仿宋_GB2312"/>
          <w:sz w:val="32"/>
          <w:szCs w:val="32"/>
          <w:highlight w:val="none"/>
          <w:lang w:eastAsia="zh-CN"/>
        </w:rPr>
        <w:t>藁城区委党校内设</w:t>
      </w:r>
      <w:r>
        <w:rPr>
          <w:rFonts w:hint="eastAsia" w:ascii="仿宋_GB2312" w:hAnsi="仿宋_GB2312" w:eastAsia="仿宋_GB2312" w:cs="仿宋_GB2312"/>
          <w:sz w:val="32"/>
          <w:szCs w:val="32"/>
          <w:highlight w:val="none"/>
          <w:lang w:val="en-US" w:eastAsia="zh-CN"/>
        </w:rPr>
        <w:t>机构</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4个：</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办公室、教研室、行政股、</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培训股</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，本年度一共在职</w:t>
      </w:r>
      <w:r>
        <w:rPr>
          <w:rFonts w:hint="eastAsia" w:ascii="仿宋_GB2312" w:hAnsi="仿宋_GB2312" w:eastAsia="仿宋_GB2312" w:cs="仿宋_GB2312"/>
          <w:color w:val="000000" w:themeColor="text1"/>
          <w:sz w:val="32"/>
          <w:szCs w:val="32"/>
          <w:highlight w:val="none"/>
          <w:lang w:val="en-US" w:eastAsia="zh-CN"/>
          <w14:textFill>
            <w14:solidFill>
              <w14:schemeClr w14:val="tx1"/>
            </w14:solidFill>
          </w14:textFill>
        </w:rPr>
        <w:t>27</w:t>
      </w:r>
      <w:r>
        <w:rPr>
          <w:rFonts w:hint="eastAsia" w:ascii="仿宋_GB2312" w:hAnsi="仿宋_GB2312" w:eastAsia="仿宋_GB2312" w:cs="仿宋_GB2312"/>
          <w:color w:val="000000" w:themeColor="text1"/>
          <w:sz w:val="32"/>
          <w:szCs w:val="32"/>
          <w:highlight w:val="none"/>
          <w:lang w:eastAsia="zh-CN"/>
          <w14:textFill>
            <w14:solidFill>
              <w14:schemeClr w14:val="tx1"/>
            </w14:solidFill>
          </w14:textFill>
        </w:rPr>
        <w:t>人。</w:t>
      </w:r>
    </w:p>
    <w:p w14:paraId="194A849F">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根据《中国共产党石家庄市藁城区委员会党校职能配置、内设机构和人员编制规定》，中国共产党石家庄市藁城区委员会党校的主要职责是:</w:t>
      </w:r>
    </w:p>
    <w:p w14:paraId="2F0C652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1.培训教育：根据区委、区政府有关要求，有计划地轮训和培训全区各级党政领导干部和理论骨干，负责对学员在党校学习期间的表现进行考核。加强党校教师进修培训力度，不断促进教师理论水平的提高和知识的更新。通过不断提高教学水平、完善教学设施、优化教学部局、丰富教学手段，按照实事求是、与时俱进、艰苦奋斗、执政为民的要求，培养忠诚于中国特色社会主义事业、德才兼备的党员领导干部和理论干部，有效提高干部的政策理论水平、思想觉悟和执政能力。</w:t>
      </w:r>
    </w:p>
    <w:p w14:paraId="3C10D7D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理论研究和决策咨询：开展对马克思主义中国化最新成果的学习研究，为区委、区政府及有关部门决策咨询服务。通过对党的中心任务、重大战略部署及相关重大现实理论问题开展调查研究，组织撰写科研文章，为区委决策提供参考依据;通过对党的路线方针政策的宣传和对重大理论问题的分析解读，使党员领导干部和群众掌握马克思主义的立场、观点、方法，坚定理想信念，始终和党中央保持一致。</w:t>
      </w:r>
    </w:p>
    <w:p w14:paraId="27BCF824">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3.行政后勤：组织实施与教学活动、学员培训、科研等相关的综合管理和后勤服务保障事务。强化学校基础设施建设及教学科研设备配套达标;学校各项基础设施和教学科研设备的日常维护和维修。通过有效的行政后勤管理，强化学校基础设施建设及教学科研设备配套达标，完善教学设施和服务网络，提高保障水平，促进教学科研活动和学员培训水平的提高。</w:t>
      </w:r>
    </w:p>
    <w:p w14:paraId="2688C6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（二）部门收支预决算情况</w:t>
      </w:r>
    </w:p>
    <w:p w14:paraId="15211B7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年本部门年度预算收入为</w:t>
      </w:r>
      <w:r>
        <w:rPr>
          <w:rFonts w:hint="eastAsia" w:ascii="仿宋_GB2312" w:hAnsi="仿宋_GB2312" w:eastAsia="仿宋_GB2312" w:cs="仿宋_GB2312"/>
          <w:sz w:val="32"/>
          <w:szCs w:val="32"/>
          <w:highlight w:val="none"/>
          <w:lang w:val="en-US" w:eastAsia="zh-CN"/>
        </w:rPr>
        <w:t>746.88</w:t>
      </w:r>
      <w:r>
        <w:rPr>
          <w:rFonts w:hint="eastAsia" w:ascii="仿宋_GB2312" w:hAnsi="仿宋_GB2312" w:eastAsia="仿宋_GB2312" w:cs="仿宋_GB2312"/>
          <w:sz w:val="32"/>
          <w:szCs w:val="32"/>
          <w:highlight w:val="none"/>
          <w:lang w:eastAsia="zh-CN"/>
        </w:rPr>
        <w:t>万元，预算支出为</w:t>
      </w:r>
      <w:r>
        <w:rPr>
          <w:rFonts w:hint="eastAsia" w:ascii="仿宋_GB2312" w:hAnsi="仿宋_GB2312" w:eastAsia="仿宋_GB2312" w:cs="仿宋_GB2312"/>
          <w:sz w:val="32"/>
          <w:szCs w:val="32"/>
          <w:highlight w:val="none"/>
          <w:lang w:val="en-US" w:eastAsia="zh-CN"/>
        </w:rPr>
        <w:t>746.88</w:t>
      </w:r>
      <w:r>
        <w:rPr>
          <w:rFonts w:hint="eastAsia" w:ascii="仿宋_GB2312" w:hAnsi="仿宋_GB2312" w:eastAsia="仿宋_GB2312" w:cs="仿宋_GB2312"/>
          <w:sz w:val="32"/>
          <w:szCs w:val="32"/>
          <w:highlight w:val="none"/>
          <w:lang w:eastAsia="zh-CN"/>
        </w:rPr>
        <w:t>万元；202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年本部门年度决算收入为</w:t>
      </w:r>
      <w:r>
        <w:rPr>
          <w:rFonts w:hint="eastAsia" w:ascii="仿宋_GB2312" w:hAnsi="仿宋_GB2312" w:eastAsia="仿宋_GB2312" w:cs="仿宋_GB2312"/>
          <w:sz w:val="32"/>
          <w:szCs w:val="32"/>
          <w:highlight w:val="none"/>
          <w:lang w:val="en-US" w:eastAsia="zh-CN"/>
        </w:rPr>
        <w:t>746.88</w:t>
      </w:r>
      <w:r>
        <w:rPr>
          <w:rFonts w:hint="eastAsia" w:ascii="仿宋_GB2312" w:hAnsi="仿宋_GB2312" w:eastAsia="仿宋_GB2312" w:cs="仿宋_GB2312"/>
          <w:sz w:val="32"/>
          <w:szCs w:val="32"/>
          <w:highlight w:val="none"/>
          <w:lang w:eastAsia="zh-CN"/>
        </w:rPr>
        <w:t>万元，决算支出为</w:t>
      </w:r>
      <w:r>
        <w:rPr>
          <w:rFonts w:hint="eastAsia" w:ascii="仿宋_GB2312" w:hAnsi="仿宋_GB2312" w:eastAsia="仿宋_GB2312" w:cs="仿宋_GB2312"/>
          <w:sz w:val="32"/>
          <w:szCs w:val="32"/>
          <w:highlight w:val="none"/>
          <w:lang w:val="en-US" w:eastAsia="zh-CN"/>
        </w:rPr>
        <w:t>746.88</w:t>
      </w:r>
      <w:r>
        <w:rPr>
          <w:rFonts w:hint="eastAsia" w:ascii="仿宋_GB2312" w:hAnsi="仿宋_GB2312" w:eastAsia="仿宋_GB2312" w:cs="仿宋_GB2312"/>
          <w:sz w:val="32"/>
          <w:szCs w:val="32"/>
          <w:highlight w:val="none"/>
          <w:lang w:eastAsia="zh-CN"/>
        </w:rPr>
        <w:t>万元。</w:t>
      </w:r>
    </w:p>
    <w:p w14:paraId="5DCFF9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475D9A63">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根据项目执行情况和项目绩效情况，项目成本严格控制在年初预算内，各项工作按时完成率达到</w:t>
      </w:r>
      <w:r>
        <w:rPr>
          <w:rFonts w:hint="eastAsia" w:ascii="仿宋_GB2312" w:hAnsi="仿宋_GB2312" w:eastAsia="仿宋_GB2312" w:cs="仿宋_GB2312"/>
          <w:sz w:val="32"/>
          <w:szCs w:val="32"/>
          <w:highlight w:val="none"/>
          <w:lang w:val="en-US" w:eastAsia="zh-CN"/>
        </w:rPr>
        <w:t>95</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以上</w:t>
      </w:r>
      <w:r>
        <w:rPr>
          <w:rFonts w:hint="eastAsia" w:ascii="仿宋_GB2312" w:hAnsi="仿宋_GB2312" w:eastAsia="仿宋_GB2312" w:cs="仿宋_GB2312"/>
          <w:sz w:val="32"/>
          <w:szCs w:val="32"/>
          <w:highlight w:val="none"/>
          <w:lang w:eastAsia="zh-CN"/>
        </w:rPr>
        <w:t>，项目综合绩效评价为优秀。</w:t>
      </w:r>
    </w:p>
    <w:p w14:paraId="4068F8CC">
      <w:pPr>
        <w:keepNext w:val="0"/>
        <w:keepLines w:val="0"/>
        <w:pageBreakBefore w:val="0"/>
        <w:widowControl w:val="0"/>
        <w:numPr>
          <w:ilvl w:val="0"/>
          <w:numId w:val="1"/>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3A4BF840">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55A73B61">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为切实做好202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年度部门绩效自评工作，提高财政资金使用效益，根据《石家庄市藁城区区级部门预算项目绩效自评管理办法》（藁财字〔2020〕23 号）</w:t>
      </w:r>
      <w:r>
        <w:rPr>
          <w:rFonts w:hint="eastAsia" w:ascii="仿宋_GB2312" w:hAnsi="仿宋_GB2312" w:eastAsia="仿宋_GB2312" w:cs="仿宋_GB2312"/>
          <w:sz w:val="32"/>
          <w:szCs w:val="32"/>
          <w:highlight w:val="none"/>
          <w:lang w:val="en-US" w:eastAsia="zh-CN"/>
        </w:rPr>
        <w:t>文件要求，绩效评价工作由一把手牵头抓总负责推进，明确了主管领导及业务科室等相关负责人，制定了2025年自评工作方案，由单位负责人、分管领导、财务工作人员等组成绩效测评工作小组。</w:t>
      </w:r>
    </w:p>
    <w:p w14:paraId="055BFCB2">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5F409704">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_GB2312" w:hAnsi="仿宋_GB2312" w:eastAsia="仿宋_GB2312" w:cs="仿宋_GB2312"/>
          <w:sz w:val="32"/>
          <w:szCs w:val="32"/>
          <w:highlight w:val="none"/>
          <w:lang w:eastAsia="zh-CN"/>
        </w:rPr>
        <w:t>对照自评方案进行研究布署，领导班子成员及各股室全程参与，按照自评方案的要求，对照各实施项目的内容逐条逐项自评打分，及时发现问题，查找原因，纠正偏差，为下一步工作夯实基础。</w:t>
      </w:r>
    </w:p>
    <w:p w14:paraId="677089B5">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676A8D58">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6358C0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藁城区委党校坚持以习近平新时代中国特色社会主义思想为指导，深入贯彻习近平总书记关于党校办学治校系列重要讲话精神，全面落实《中国共产党党校（行政学院）工作条例》及中央和省、市委决策部署，紧扣区委“1251”整体工作思路，坚守“为党育才、为党献策”初心使命，统筹推进党建、教学、科研、管理等各项工作。</w:t>
      </w:r>
    </w:p>
    <w:p w14:paraId="2835725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（二）分项绩效目标实现情况及指标分析</w:t>
      </w:r>
    </w:p>
    <w:p w14:paraId="2B007D4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一、强化政治引领，筑牢思想建设根基。（一）深学细悟党的创新理论。领导班子始终将学习贯彻习近平新时代中国特色社会主义思想作为首要政治任务。全年组织中心组集中学习 15 次、专题研讨8次。以</w:t>
      </w:r>
      <w:r>
        <w:rPr>
          <w:rFonts w:hint="eastAsia" w:ascii="楷体_GB2312" w:hAnsi="楷体_GB2312" w:eastAsia="楷体_GB2312" w:cs="楷体_GB2312"/>
          <w:bCs/>
          <w:sz w:val="32"/>
          <w:szCs w:val="32"/>
          <w:lang w:eastAsia="zh-CN"/>
        </w:rPr>
        <w:t>深入贯彻中央八项规定精神学习教育</w:t>
      </w:r>
      <w:bookmarkStart w:id="0" w:name="_GoBack"/>
      <w:bookmarkEnd w:id="0"/>
      <w:r>
        <w:rPr>
          <w:rFonts w:hint="eastAsia" w:ascii="楷体_GB2312" w:hAnsi="楷体_GB2312" w:eastAsia="楷体_GB2312" w:cs="楷体_GB2312"/>
          <w:bCs/>
          <w:sz w:val="32"/>
          <w:szCs w:val="32"/>
        </w:rPr>
        <w:t>为契机，开展各类学习 54 次、研讨 10 次，创新“干部轮流上讲台，以讲促学共提升”模式。（二）坚决落实上级决策部署。将党校工作融入全区发展大局，主动对接区委中心重点工作，把中央和省、市、区委关于干部教育培训、意识形态建设、基层党建等决策部署细化为具体工作举措。落实区委主要领导指示精神，教师分批次挂职锻炼，在具体实践中碰撞思想、凝聚共识，将学习与解决实际问题紧密结合。（三）加强领导班子自身建设。班子成员自觉强化政治忠诚，不断提升政治判断力、政治领悟力、政治执行力，在重大事项决策、重点工作推进中始终同党中央保持高度一致。严格执行民主集中制，完善 “三重一大” 决策机制，全年召开班子会 18 次，研究部署党建、培训、科研等重点工作。</w:t>
      </w:r>
    </w:p>
    <w:p w14:paraId="0CD0558E">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二、聚焦主责主业，提升履职尽责效能。（一）构建精准化干部培训体系。圆满完成培训任务，共开展主体班24期，培训2800余人次，其他短期培训19期，6000余人次，实现重点群体培训全覆盖。优化课程模块设置，构建“习近平新时代中国特色社会主义思想、党史党建、履职能力培训”3大模块，开发课程 37 门。创新教学培训模式，推行“专题教学+现场教学+研讨互动”融合模式。严格学员管理机制</w:t>
      </w:r>
      <w:r>
        <w:rPr>
          <w:rFonts w:hint="eastAsia" w:ascii="楷体_GB2312" w:hAnsi="楷体_GB2312" w:eastAsia="楷体_GB2312" w:cs="楷体_GB2312"/>
          <w:bCs/>
          <w:sz w:val="32"/>
          <w:szCs w:val="32"/>
          <w:highlight w:val="none"/>
        </w:rPr>
        <w:t>，5月份成立培训股，健全学员管理各项制度，加强与区委组织部联动协作。</w:t>
      </w:r>
      <w:r>
        <w:rPr>
          <w:rFonts w:hint="eastAsia" w:ascii="楷体_GB2312" w:hAnsi="楷体_GB2312" w:eastAsia="楷体_GB2312" w:cs="楷体_GB2312"/>
          <w:bCs/>
          <w:sz w:val="32"/>
          <w:szCs w:val="32"/>
        </w:rPr>
        <w:t>（二）强化科研咨政服务能力。学术成果成效显著，多篇论文获省级、市级奖项。课题研究靶向发力，围绕“1251”发展战略，拟定了5个课题，2025 年申报省、市各级课题9项，结项2024年省、市委党校课题 6项，课题数量和结项等次位居全市县级党校前列。（三）夯实办学保障基础。建强师资队伍，选派 13 人次赴省市党校进修。优化基础设施。对图书馆提档升级，与文广体旅局共享图书 5000 册。健全管理制度，统筹党建与业务融合，实施岗位练兵、业务竞赛等举措，完善 “三会一课”、组织生活会等制度，全年召开支部党员大会12次，支委会12次。</w:t>
      </w:r>
    </w:p>
    <w:p w14:paraId="75895998">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压实政治责任，筑牢安全发展防线。（一）严格落实国家安全责任。将国家安全教育纳入干部培训课程体系，纳入党校教学内容，组织安全培训宣讲等。（二）抓实意识形态工作。严格落实意识形态工作责任制，成立工作领导小组，全年召开意识形态专题会议 2次，向上级报送分析研判报告2次。（三）履行安全生产工作责任。建立 “一把手” 负总责、分管领导具体抓、各科室分工负责的安全生产责任体系。（四）推进法治建设。将《习近平法治思想》纳入习近平新时代中国特色社会主义思想教学模块，履职能力培训课程模块更新课程《民法典》及《弘扬宪法精神、履行宪法使命》。（五）精准对接项目。紧扣区委“1251”整体工作思路，领导班子带头主动对接各种资源，全体教职工聚力拓宽资源渠道，精准锚定发展需求，积极征引各类资源信息，拓宽“争跑要”实践路径，全年对接项目5个，“争跑要”工作取得阶段性成效。</w:t>
      </w:r>
    </w:p>
    <w:p w14:paraId="59C00143">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四、坚持从严治校，锤炼过硬作风形象。（一）加强党风廉政建设。严格落实全面从严治党主体责任，领导班子定期研究党风廉政建设工作，全年开展专题研究4 、廉政谈话2轮。加强廉政警示教育，组织观看警示教育片3部、参观廉政教育基地1次，筑牢拒腐防变思想防线。严格执行中央八项规定及其实施细则精神，开展作风建设专项检查4次，坚决纠治 “四风” 问题，营造风清气正的政治生态。（二）深化作风建设。班子成员带头深入基层调研，弘扬求真务实作风，收集群众及学员意见建议12条。精简会议文件，压缩非必要开支，提升工作效率。建立问题整改销号机制，对各类问题即知即改、常抓不懈，以优良作风推动工作落实。</w:t>
      </w:r>
    </w:p>
    <w:p w14:paraId="3DD19FCA">
      <w:pPr>
        <w:keepNext w:val="0"/>
        <w:keepLines w:val="0"/>
        <w:pageBreakBefore w:val="0"/>
        <w:widowControl w:val="0"/>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152ED6F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lang w:eastAsia="zh-CN"/>
        </w:rPr>
        <w:t>年我部门严格按照年初预算批复认真组织实施, 严格执行财经纪律相关管理规定，做到各项收支安排使用符合事业发展计划和财政政策的要求，确保了单位正常运行和重大项目的实施。我部门对各项职能指标完成情况进行了自检自查,各项工作均已完成，绩效评价自评为优秀。</w:t>
      </w:r>
    </w:p>
    <w:p w14:paraId="3B2E031F">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left="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18B70A67">
      <w:pPr>
        <w:keepNext w:val="0"/>
        <w:keepLines w:val="0"/>
        <w:pageBreakBefore w:val="0"/>
        <w:widowControl w:val="0"/>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lang w:eastAsia="zh-CN"/>
        </w:rPr>
      </w:pPr>
      <w:r>
        <w:rPr>
          <w:rFonts w:hint="eastAsia" w:ascii="楷体_GB2312" w:hAnsi="楷体_GB2312" w:eastAsia="楷体_GB2312" w:cs="楷体_GB2312"/>
          <w:bCs/>
          <w:sz w:val="32"/>
          <w:szCs w:val="32"/>
        </w:rPr>
        <w:t>（一）存在的主要问题</w:t>
      </w:r>
    </w:p>
    <w:p w14:paraId="3C93EE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预算编制</w:t>
      </w:r>
      <w:r>
        <w:rPr>
          <w:rFonts w:hint="eastAsia" w:ascii="仿宋_GB2312" w:hAnsi="仿宋_GB2312" w:eastAsia="仿宋_GB2312" w:cs="仿宋_GB2312"/>
          <w:sz w:val="32"/>
          <w:szCs w:val="32"/>
          <w:highlight w:val="none"/>
          <w:lang w:val="en-US" w:eastAsia="zh-CN"/>
        </w:rPr>
        <w:t>与实际工作结合不够紧密，</w:t>
      </w:r>
      <w:r>
        <w:rPr>
          <w:rFonts w:hint="default" w:ascii="仿宋_GB2312" w:hAnsi="仿宋_GB2312" w:eastAsia="仿宋_GB2312" w:cs="仿宋_GB2312"/>
          <w:sz w:val="32"/>
          <w:szCs w:val="32"/>
          <w:highlight w:val="none"/>
          <w:lang w:val="en-US" w:eastAsia="zh-CN"/>
        </w:rPr>
        <w:t>预算执行力</w:t>
      </w:r>
      <w:r>
        <w:rPr>
          <w:rFonts w:hint="eastAsia" w:ascii="仿宋_GB2312" w:hAnsi="仿宋_GB2312" w:eastAsia="仿宋_GB2312" w:cs="仿宋_GB2312"/>
          <w:sz w:val="32"/>
          <w:szCs w:val="32"/>
          <w:highlight w:val="none"/>
          <w:lang w:val="en-US" w:eastAsia="zh-CN"/>
        </w:rPr>
        <w:t>度</w:t>
      </w:r>
      <w:r>
        <w:rPr>
          <w:rFonts w:hint="default" w:ascii="仿宋_GB2312" w:hAnsi="仿宋_GB2312" w:eastAsia="仿宋_GB2312" w:cs="仿宋_GB2312"/>
          <w:sz w:val="32"/>
          <w:szCs w:val="32"/>
          <w:highlight w:val="none"/>
          <w:lang w:val="en-US" w:eastAsia="zh-CN"/>
        </w:rPr>
        <w:t>有待提升</w:t>
      </w:r>
      <w:r>
        <w:rPr>
          <w:rFonts w:hint="eastAsia" w:ascii="仿宋_GB2312" w:hAnsi="仿宋_GB2312" w:eastAsia="仿宋_GB2312" w:cs="仿宋_GB2312"/>
          <w:sz w:val="32"/>
          <w:szCs w:val="32"/>
          <w:highlight w:val="none"/>
          <w:lang w:val="en-US" w:eastAsia="zh-CN"/>
        </w:rPr>
        <w:t>。</w:t>
      </w:r>
    </w:p>
    <w:p w14:paraId="29D7F99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楷体_GB2312" w:hAnsi="楷体_GB2312" w:eastAsia="楷体_GB2312" w:cs="楷体_GB2312"/>
          <w:bCs/>
          <w:sz w:val="32"/>
          <w:szCs w:val="32"/>
        </w:rPr>
        <w:t>（二）针对问题提出具体的改进措施或建议</w:t>
      </w:r>
    </w:p>
    <w:p w14:paraId="4A9B7BF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在今后的工作中,我部门将严格按照《预算法》的要求，加强预算编制的科学性、合理性,让预算编制更贴合实际，使项目预算与工作结合更加紧密，按照项目开展进度有计划申请资金及时支付。加强预算绩效管理，增强预算约束力，做好预算项目支出绩效目标及各项绩效指标的细化、量化工作,用好用活各类财政资金，提高财政资金的使用效益。</w:t>
      </w:r>
    </w:p>
    <w:sectPr>
      <w:headerReference r:id="rId3" w:type="default"/>
      <w:footerReference r:id="rId4" w:type="default"/>
      <w:pgSz w:w="11906" w:h="16838"/>
      <w:pgMar w:top="2098" w:right="1474" w:bottom="1984" w:left="1587" w:header="851" w:footer="1701"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922A2E0A-F3CE-4FD6-9FB6-79D6949973A2}"/>
  </w:font>
  <w:font w:name="黑体">
    <w:panose1 w:val="02010609060101010101"/>
    <w:charset w:val="86"/>
    <w:family w:val="auto"/>
    <w:pitch w:val="default"/>
    <w:sig w:usb0="800002BF" w:usb1="38CF7CFA" w:usb2="00000016" w:usb3="00000000" w:csb0="00040001" w:csb1="00000000"/>
    <w:embedRegular r:id="rId2" w:fontKey="{1F2DE43C-0BFF-4F27-86CC-C38681A8434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方正小标宋_GBK">
    <w:altName w:val="微软雅黑"/>
    <w:panose1 w:val="02000000000000000000"/>
    <w:charset w:val="86"/>
    <w:family w:val="auto"/>
    <w:pitch w:val="default"/>
    <w:sig w:usb0="00000000" w:usb1="00000000" w:usb2="00000000" w:usb3="00000000" w:csb0="00040000" w:csb1="00000000"/>
    <w:embedRegular r:id="rId3" w:fontKey="{D0CF1614-CBAE-4CBB-807C-15EFDDFD1989}"/>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embedRegular r:id="rId4" w:fontKey="{A3D96E27-7430-4775-AF93-FDF87B8AB596}"/>
  </w:font>
  <w:font w:name="楷体_GB2312">
    <w:panose1 w:val="02010609030101010101"/>
    <w:charset w:val="86"/>
    <w:family w:val="auto"/>
    <w:pitch w:val="default"/>
    <w:sig w:usb0="00000001" w:usb1="080E0000" w:usb2="00000000" w:usb3="00000000" w:csb0="00040000" w:csb1="00000000"/>
    <w:embedRegular r:id="rId5" w:fontKey="{0E565281-3883-4DCB-A630-98ACD4C3FB2F}"/>
  </w:font>
  <w:font w:name="国标宋体">
    <w:altName w:val="宋体"/>
    <w:panose1 w:val="02000500000000000000"/>
    <w:charset w:val="86"/>
    <w:family w:val="auto"/>
    <w:pitch w:val="default"/>
    <w:sig w:usb0="00000000" w:usb1="00000000" w:usb2="00000000" w:usb3="00000000" w:csb0="00060007" w:csb1="00000000"/>
    <w:embedRegular r:id="rId6" w:fontKey="{F15F6E3F-B427-4445-B658-B2D68268AE37}"/>
  </w:font>
  <w:font w:name="WPSEMBED8">
    <w:panose1 w:val="02010609030101010101"/>
    <w:charset w:val="86"/>
    <w:family w:val="auto"/>
    <w:pitch w:val="default"/>
    <w:sig w:usb0="00000001" w:usb1="080E0000" w:usb2="00000000" w:usb3="00000000" w:csb0="00040000" w:csb1="00000000"/>
  </w:font>
  <w:font w:name="WPSEMBED9">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5D1BDC">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23838A4">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23838A4">
                    <w:pPr>
                      <w:pStyle w:val="5"/>
                      <w:rPr>
                        <w:rFonts w:hint="eastAsia" w:ascii="国标宋体" w:hAnsi="国标宋体" w:eastAsia="国标宋体" w:cs="国标宋体"/>
                        <w:sz w:val="28"/>
                        <w:szCs w:val="28"/>
                      </w:rPr>
                    </w:pPr>
                    <w:r>
                      <w:rPr>
                        <w:rFonts w:hint="eastAsia" w:ascii="国标宋体" w:hAnsi="国标宋体" w:eastAsia="国标宋体" w:cs="国标宋体"/>
                        <w:sz w:val="28"/>
                        <w:szCs w:val="28"/>
                      </w:rPr>
                      <w:fldChar w:fldCharType="begin"/>
                    </w:r>
                    <w:r>
                      <w:rPr>
                        <w:rFonts w:hint="eastAsia" w:ascii="国标宋体" w:hAnsi="国标宋体" w:eastAsia="国标宋体" w:cs="国标宋体"/>
                        <w:sz w:val="28"/>
                        <w:szCs w:val="28"/>
                      </w:rPr>
                      <w:instrText xml:space="preserve"> PAGE  \* MERGEFORMAT </w:instrText>
                    </w:r>
                    <w:r>
                      <w:rPr>
                        <w:rFonts w:hint="eastAsia" w:ascii="国标宋体" w:hAnsi="国标宋体" w:eastAsia="国标宋体" w:cs="国标宋体"/>
                        <w:sz w:val="28"/>
                        <w:szCs w:val="28"/>
                      </w:rPr>
                      <w:fldChar w:fldCharType="separate"/>
                    </w:r>
                    <w:r>
                      <w:rPr>
                        <w:rFonts w:hint="eastAsia" w:ascii="国标宋体" w:hAnsi="国标宋体" w:eastAsia="国标宋体" w:cs="国标宋体"/>
                        <w:sz w:val="28"/>
                        <w:szCs w:val="28"/>
                      </w:rPr>
                      <w:t>- 1 -</w:t>
                    </w:r>
                    <w:r>
                      <w:rPr>
                        <w:rFonts w:hint="eastAsia" w:ascii="国标宋体" w:hAnsi="国标宋体" w:eastAsia="国标宋体" w:cs="国标宋体"/>
                        <w:sz w:val="28"/>
                        <w:szCs w:val="2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DB091">
    <w:pPr>
      <w:pStyle w:val="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GE2ZDVhYjFkNzNmZjA0ZTExM2M2ODcxZGVjNWRjNGEifQ=="/>
  </w:docVars>
  <w:rsids>
    <w:rsidRoot w:val="00000000"/>
    <w:rsid w:val="000F683A"/>
    <w:rsid w:val="02487E36"/>
    <w:rsid w:val="02B1196D"/>
    <w:rsid w:val="051C326A"/>
    <w:rsid w:val="0A207223"/>
    <w:rsid w:val="0D765CE0"/>
    <w:rsid w:val="12636362"/>
    <w:rsid w:val="134F6B82"/>
    <w:rsid w:val="13955CCA"/>
    <w:rsid w:val="18BD59BD"/>
    <w:rsid w:val="1B4F6B79"/>
    <w:rsid w:val="1EFA0886"/>
    <w:rsid w:val="2236250C"/>
    <w:rsid w:val="27EF5A03"/>
    <w:rsid w:val="29B026DA"/>
    <w:rsid w:val="2B606764"/>
    <w:rsid w:val="2FE353D3"/>
    <w:rsid w:val="3B223476"/>
    <w:rsid w:val="3DDE37D0"/>
    <w:rsid w:val="3F672051"/>
    <w:rsid w:val="3FFFD1B0"/>
    <w:rsid w:val="41AD4A0F"/>
    <w:rsid w:val="5315604C"/>
    <w:rsid w:val="5366C1BB"/>
    <w:rsid w:val="53F03AA0"/>
    <w:rsid w:val="545B0A63"/>
    <w:rsid w:val="575B0E34"/>
    <w:rsid w:val="58B8456C"/>
    <w:rsid w:val="5ADF416E"/>
    <w:rsid w:val="5CFEBA53"/>
    <w:rsid w:val="5D50294C"/>
    <w:rsid w:val="5E2FC5CB"/>
    <w:rsid w:val="62FC2A46"/>
    <w:rsid w:val="65887097"/>
    <w:rsid w:val="67F39597"/>
    <w:rsid w:val="69206851"/>
    <w:rsid w:val="6C5A5CC4"/>
    <w:rsid w:val="6D2605CC"/>
    <w:rsid w:val="72B0165B"/>
    <w:rsid w:val="74CD230B"/>
    <w:rsid w:val="796C4B79"/>
    <w:rsid w:val="7BA41FBD"/>
    <w:rsid w:val="7C7B0145"/>
    <w:rsid w:val="7D741A5F"/>
    <w:rsid w:val="BB8F3284"/>
    <w:rsid w:val="BF67F3AE"/>
    <w:rsid w:val="D6D9CE45"/>
    <w:rsid w:val="DFF756FC"/>
    <w:rsid w:val="E5F21BF3"/>
    <w:rsid w:val="EFFE328E"/>
    <w:rsid w:val="F39982A8"/>
    <w:rsid w:val="F8FE090C"/>
    <w:rsid w:val="F9BE4E02"/>
    <w:rsid w:val="FEDFBD95"/>
    <w:rsid w:val="FF7D6198"/>
    <w:rsid w:val="FFF9E569"/>
    <w:rsid w:val="FFFDE4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9"/>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10"/>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11"/>
    <w:qFormat/>
    <w:uiPriority w:val="0"/>
    <w:pPr>
      <w:keepNext/>
      <w:keepLines/>
      <w:spacing w:before="260" w:after="260" w:line="415" w:lineRule="auto"/>
      <w:outlineLvl w:val="2"/>
    </w:pPr>
    <w:rPr>
      <w:b/>
      <w:bCs/>
      <w:sz w:val="32"/>
      <w:szCs w:val="32"/>
    </w:rPr>
  </w:style>
  <w:style w:type="character" w:default="1" w:styleId="8">
    <w:name w:val="Default Paragraph Font"/>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qFormat/>
    <w:uiPriority w:val="0"/>
    <w:pPr>
      <w:tabs>
        <w:tab w:val="center" w:pos="4153"/>
        <w:tab w:val="right" w:pos="8306"/>
      </w:tabs>
      <w:snapToGrid w:val="0"/>
      <w:jc w:val="left"/>
    </w:pPr>
    <w:rPr>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9">
    <w:name w:val="heading 1 Char"/>
    <w:basedOn w:val="8"/>
    <w:link w:val="2"/>
    <w:qFormat/>
    <w:uiPriority w:val="0"/>
    <w:rPr>
      <w:rFonts w:ascii="Times New Roman" w:hAnsi="Times New Roman" w:eastAsia="宋体" w:cs="Times New Roman"/>
      <w:b/>
      <w:bCs/>
      <w:kern w:val="44"/>
      <w:sz w:val="44"/>
      <w:szCs w:val="44"/>
      <w:lang w:val="en-US" w:eastAsia="zh-CN" w:bidi="ar-SA"/>
    </w:rPr>
  </w:style>
  <w:style w:type="character" w:customStyle="1" w:styleId="10">
    <w:name w:val="heading 2 Char"/>
    <w:basedOn w:val="8"/>
    <w:link w:val="3"/>
    <w:qFormat/>
    <w:uiPriority w:val="0"/>
    <w:rPr>
      <w:rFonts w:ascii="Times New Roman" w:hAnsi="Times New Roman" w:eastAsia="黑体" w:cs="Times New Roman"/>
      <w:b/>
      <w:bCs/>
      <w:kern w:val="2"/>
      <w:sz w:val="32"/>
      <w:szCs w:val="32"/>
      <w:lang w:val="en-US" w:eastAsia="zh-CN" w:bidi="ar-SA"/>
    </w:rPr>
  </w:style>
  <w:style w:type="character" w:customStyle="1" w:styleId="11">
    <w:name w:val="heading 3 Char"/>
    <w:basedOn w:val="8"/>
    <w:link w:val="4"/>
    <w:qFormat/>
    <w:uiPriority w:val="0"/>
    <w:rPr>
      <w:rFonts w:ascii="Times New Roman" w:hAnsi="Times New Roman" w:eastAsia="宋体" w:cs="Times New Roman"/>
      <w:b/>
      <w:bCs/>
      <w:kern w:val="2"/>
      <w:sz w:val="32"/>
      <w:szCs w:val="3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主题​​">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主题​​">
      <a:majorFont>
        <a:latin typeface=""/>
        <a:ea typeface=""/>
        <a:cs typeface=""/>
      </a:majorFont>
      <a:minorFont>
        <a:latin typeface=""/>
        <a:ea typeface=""/>
        <a:cs typefac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50000" r="50000" b="5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Normal.eit</Template>
  <Company>Lenovo</Company>
  <Pages>7</Pages>
  <Words>3280</Words>
  <Characters>3369</Characters>
  <Lines>0</Lines>
  <Paragraphs>31</Paragraphs>
  <TotalTime>44</TotalTime>
  <ScaleCrop>false</ScaleCrop>
  <LinksUpToDate>false</LinksUpToDate>
  <CharactersWithSpaces>3396</CharactersWithSpaces>
  <Application>WPS Office_12.1.0.25865_F1E327BC-269C-435d-A152-05C5408002CA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2019-11-15T08:58:00Z</dcterms:created>
  <dc:creator>user</dc:creator>
  <cp:lastModifiedBy>13323011735</cp:lastModifiedBy>
  <cp:lastPrinted>2026-04-28T01:43:00Z</cp:lastPrinted>
  <dcterms:modified xsi:type="dcterms:W3CDTF">2026-06-03T07:56:25Z</dcterms:modified>
  <dc:title>附件2： </dc:title>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3C475B8F9F9A4B9B829FB18CD1726748_13</vt:lpwstr>
  </property>
  <property fmtid="{D5CDD505-2E9C-101B-9397-08002B2CF9AE}" pid="4" name="KSOTemplateDocerSaveRecord">
    <vt:lpwstr>eyJoZGlkIjoiYTJmZTRiNzExYzJhNTg1ZjI3MWQwMDQyODg0N2Q0YjkiLCJ1c2VySWQiOiIxNTUwMjQwMDk2In0=</vt:lpwstr>
  </property>
</Properties>
</file>