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009FB2BA">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宋体" w:hAnsi="宋体" w:cs="宋体"/>
          <w:b/>
          <w:bCs/>
          <w:sz w:val="44"/>
          <w:szCs w:val="44"/>
        </w:rPr>
        <w:t>石</w:t>
      </w:r>
      <w:r>
        <w:rPr>
          <w:rFonts w:hint="eastAsia" w:ascii="方正小标宋简体" w:hAnsi="方正小标宋简体" w:eastAsia="方正小标宋简体" w:cs="方正小标宋简体"/>
          <w:b/>
          <w:bCs/>
          <w:sz w:val="44"/>
          <w:szCs w:val="44"/>
          <w:lang w:val="en-US" w:eastAsia="zh-CN"/>
        </w:rPr>
        <w:t>家庄市藁城区住房和城乡建设局</w:t>
      </w:r>
      <w:r>
        <w:rPr>
          <w:rFonts w:hint="eastAsia" w:ascii="方正小标宋简体" w:hAnsi="方正小标宋简体" w:eastAsia="方正小标宋简体" w:cs="方正小标宋简体"/>
          <w:b w:val="0"/>
          <w:bCs w:val="0"/>
          <w:sz w:val="44"/>
          <w:szCs w:val="44"/>
          <w:lang w:val="en-US" w:eastAsia="zh-CN"/>
        </w:rPr>
        <w:t>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4E5DB523">
      <w:pPr>
        <w:pStyle w:val="12"/>
        <w:rPr>
          <w:rFonts w:ascii="仿宋" w:hAnsi="仿宋" w:eastAsia="仿宋" w:cs="仿宋"/>
          <w:kern w:val="2"/>
          <w:sz w:val="32"/>
          <w:szCs w:val="32"/>
          <w:lang w:eastAsia="zh-CN"/>
        </w:rPr>
      </w:pPr>
      <w:r>
        <w:rPr>
          <w:rFonts w:hint="eastAsia" w:ascii="仿宋" w:hAnsi="仿宋" w:eastAsia="仿宋" w:cs="仿宋"/>
          <w:sz w:val="32"/>
          <w:szCs w:val="32"/>
        </w:rPr>
        <w:t>石家庄市</w:t>
      </w:r>
      <w:r>
        <w:rPr>
          <w:rFonts w:hint="eastAsia" w:ascii="仿宋" w:hAnsi="仿宋" w:eastAsia="仿宋" w:cs="仿宋"/>
          <w:kern w:val="2"/>
          <w:sz w:val="32"/>
          <w:szCs w:val="32"/>
        </w:rPr>
        <w:t>藁城区住房和城乡建设局</w:t>
      </w:r>
      <w:r>
        <w:rPr>
          <w:rFonts w:hint="eastAsia" w:ascii="仿宋" w:hAnsi="仿宋" w:eastAsia="仿宋" w:cs="仿宋"/>
          <w:kern w:val="2"/>
          <w:sz w:val="32"/>
          <w:szCs w:val="32"/>
          <w:lang w:eastAsia="zh-CN"/>
        </w:rPr>
        <w:t>内设</w:t>
      </w:r>
      <w:r>
        <w:rPr>
          <w:rFonts w:hint="eastAsia" w:ascii="仿宋" w:hAnsi="仿宋" w:eastAsia="仿宋" w:cs="仿宋"/>
          <w:kern w:val="2"/>
          <w:sz w:val="32"/>
          <w:szCs w:val="32"/>
          <w:lang w:val="en-US" w:eastAsia="zh-CN"/>
        </w:rPr>
        <w:t>6</w:t>
      </w:r>
      <w:r>
        <w:rPr>
          <w:rFonts w:hint="eastAsia" w:ascii="仿宋" w:hAnsi="仿宋" w:eastAsia="仿宋" w:cs="仿宋"/>
          <w:kern w:val="2"/>
          <w:sz w:val="32"/>
          <w:szCs w:val="32"/>
          <w:lang w:eastAsia="zh-CN"/>
        </w:rPr>
        <w:t>个科室及1个下属单位,具体如下:</w:t>
      </w:r>
    </w:p>
    <w:p w14:paraId="471D9AFD">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uk-UA"/>
        </w:rPr>
        <w:t xml:space="preserve">办公室 </w:t>
      </w:r>
    </w:p>
    <w:p w14:paraId="5F5242F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综合协调局机关政务工作，负责重要文件、综合文稿的起草和综合性会议的组织工作，负责文秘、档案、值班、信访、维稳、保密、纪检监察、政府信息管理等工作。承办人大代表建议、政协委员提案答复工作。负责机构编制、宣传教育、党建学习、人事管理工作。负责工、青、妇、活动组织工作。负责全局后勤管理工作。 拟订机关和局属单位财务管理制度并组织实施;负责机关预决算、财务和国有资产、专项资金管理工作，负责局机关及所属事业单位内部审计工作。负责职工劳资调档、养老核算、福利救助、福利发放、离退休干部职工服务工作。</w:t>
      </w:r>
    </w:p>
    <w:p w14:paraId="0F81C46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uk-UA"/>
        </w:rPr>
        <w:t>政策法规科</w:t>
      </w:r>
    </w:p>
    <w:p w14:paraId="427C597C">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负责督导实施上级有关住房和城乡建设、城乡规划领域、市政基础设施</w:t>
      </w:r>
      <w:r>
        <w:rPr>
          <w:rFonts w:hint="eastAsia" w:ascii="仿宋" w:hAnsi="仿宋" w:eastAsia="仿宋" w:cs="仿宋"/>
          <w:sz w:val="32"/>
          <w:szCs w:val="32"/>
        </w:rPr>
        <w:t>建设</w:t>
      </w:r>
      <w:r>
        <w:rPr>
          <w:rFonts w:hint="eastAsia" w:ascii="仿宋" w:hAnsi="仿宋" w:eastAsia="仿宋" w:cs="仿宋"/>
          <w:sz w:val="32"/>
          <w:szCs w:val="32"/>
          <w:lang w:eastAsia="uk-UA"/>
        </w:rPr>
        <w:t>的方针、政策和法律、法规的执行。</w:t>
      </w:r>
    </w:p>
    <w:p w14:paraId="34E6B18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承担并监督指导所有规范性文件及合同签订的合法性审核，负责执法处罚的卷宗审核、行政执法监察工作，负责行政复议、行政诉讼工作，负责法制宣传教育等工作。负责执法案卷评查、政策咨询及执法人员执法资格审核、业务技能培训考核工作。</w:t>
      </w:r>
    </w:p>
    <w:p w14:paraId="3808C70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uk-UA"/>
        </w:rPr>
        <w:t>石家庄市藁城区住房保障和房产交易中心</w:t>
      </w:r>
    </w:p>
    <w:p w14:paraId="60B7A3DF">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做好中央和省、市保障性安居工程资金合理使用并监督实施；参与拟订适合本地区的住房政策，推动住房制度改革；做好保障性住房人才公寓筹集和管理工作。</w:t>
      </w:r>
    </w:p>
    <w:p w14:paraId="64BD062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地产市场的监督管理；负责房地产市场发展趋势预测分析，监测房产市场运行；组织实施房地产市场调控政策，拟订房屋交易、房地产开发管理制度并组织实施；负责商品房预售资金和存量房交易资金的监督管理；做好房屋交易、房屋租赁及房地产开发企业、房地产评估机构与房地产经纪机构监督管理工作。推进培育和发展租赁市场住房制度改革，参与起草适合本地区的住房政策和住房建设发展规划。</w:t>
      </w:r>
    </w:p>
    <w:p w14:paraId="7C76658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根据物业管理条例指导物业单位规范化管理；协调物业小区达标创优工作；指导住宅室内装饰装修工作；指导区住宅维修资金业务工作。</w:t>
      </w:r>
    </w:p>
    <w:p w14:paraId="0719C311">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屋征收和补偿工作，参与编制全区房屋征收年度计划；负责全区国有房屋征收相关行政工作；参与拟订房屋征收和补偿的相关政策并监督实施管理房屋征收评估机构和实施单位；参与拟订城市棚户区改造规划和年度计划并指导实施；参与拟订城市危房管理有关政策，组织全区城市危房鉴定工作；负责城中村改造工作的调查研究，参与拟订城中村改造年度计划。</w:t>
      </w:r>
    </w:p>
    <w:p w14:paraId="23171A70">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uk-UA"/>
        </w:rPr>
        <w:t>建筑市场管理科（工程质量安全监管科）</w:t>
      </w:r>
    </w:p>
    <w:p w14:paraId="469DA97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监督管理建筑市场、建筑劳务市场，监督指导建筑市场的工程招投标、工程质量、工程造价、安全生产、文明施工、渣土管理、扬尘治理、建筑材料设备和工程竣工验收备案管理工作；参与住房城乡建设行业的对外经济技术合作和引进利用外资工作；负责协调建筑企业参与对外工程承包、建筑劳务合作；指导全区建筑劳务输出工作。</w:t>
      </w:r>
    </w:p>
    <w:p w14:paraId="4BF1758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贯彻实行国家和省、市建筑工程安全生产、文明施工、新型节能材料的法律、法规、方针、政策、行业规章及标准，并组织实施。</w:t>
      </w:r>
    </w:p>
    <w:p w14:paraId="3DC34E2C">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建筑施工平台监控、建筑领域农民工工资预储金的落实、建设行政相对人违法行为信息录入；负责区域内建筑工程档案监督管理工作。负责区域内已办理安全监督备案及施工许可证的建设工程安全生产监督管理；负责施工现场开工前的现场勘验工作。</w:t>
      </w:r>
    </w:p>
    <w:p w14:paraId="098E1A3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建筑业企业安全生产许可证及责任主体人员动态监管工作；负责监理人员、安管人员、特种作业人员等相关责任主体人员的监督管理；参与我区行政区域内建筑工程安全生产事故的调查处理，约谈工作；受理监管工程的施工安全投诉、举报工作。</w:t>
      </w:r>
    </w:p>
    <w:p w14:paraId="6F89072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工程勘察设计、施工图设计文件审査机构、造价咨询单位的监督管理和信用体系建设；负责施工图审查机构的监督管理；负责各类房屋建筑及其附属设施和城市市政设施建设工程的抗震设防监督管理；负责新建筑模式技术在勘察设计行业的应用。</w:t>
      </w:r>
    </w:p>
    <w:p w14:paraId="784ECA83">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uk-UA"/>
        </w:rPr>
        <w:t>城市建设管理科</w:t>
      </w:r>
    </w:p>
    <w:p w14:paraId="4E4AB69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容貌、城乡规划、环境卫生管理、城市园林绿化管理等方面的综合行政执法和处罚工作。区政府依法确定的与城市管理密切相关需要纳入统一管理公共空间秩序管理、违法建设管理、环境保护管理、交通管理、应急管理等方面的部分工作。</w:t>
      </w:r>
    </w:p>
    <w:p w14:paraId="252F34C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参与拟定市政基础设施建设中长期发展规划，起草本级城建计划并组织实施；会同有关部门做好市政基础设施领域政府和社会资本合作模式的应用；组织城市建设统计年报工作；负责区政府安排的市政基础设施项目建设督导工作。</w:t>
      </w:r>
    </w:p>
    <w:p w14:paraId="1ADBAF4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推进新型城镇化工作，组织拟订新型城镇化相关政策措施和工作方案，落实县城建设工作任务。</w:t>
      </w:r>
    </w:p>
    <w:p w14:paraId="14F6BCF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组织实施地下综合管廊建设工作，制定地下综合管廊运营、维护管理相关配套政策并监督实施。</w:t>
      </w:r>
    </w:p>
    <w:p w14:paraId="6DD5CD4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市政基础设施的日常维护管理工作,组织制定日常维护作业标准;负责编制城市道路、桥梁、排水、照明设施的改造、整修计划并组织实施;负责组织城市市政基础设施工程的移交工作。指导科技交流和科技推广应用工作。</w:t>
      </w:r>
    </w:p>
    <w:p w14:paraId="2AE9CDB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负责城区防汛工作,会同有关部门做好城区自然灾害应急处置工作；承担城区防汛指挥部日常工作。</w:t>
      </w:r>
    </w:p>
    <w:p w14:paraId="1F431D4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指导督促市政道路、市政排水和照明施工中安全生产工作。</w:t>
      </w:r>
    </w:p>
    <w:p w14:paraId="3F968836">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val="en-US" w:eastAsia="zh-CN"/>
        </w:rPr>
        <w:t>6、</w:t>
      </w:r>
      <w:r>
        <w:rPr>
          <w:rFonts w:hint="eastAsia" w:ascii="仿宋" w:hAnsi="仿宋" w:eastAsia="仿宋" w:cs="仿宋"/>
          <w:sz w:val="32"/>
          <w:szCs w:val="32"/>
          <w:lang w:eastAsia="uk-UA"/>
        </w:rPr>
        <w:t>村镇建设管理科</w:t>
      </w:r>
    </w:p>
    <w:p w14:paraId="114F345E">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指导区域内乡、镇和村庄建设，指导农村住房建设和安全及危房改造；指导乡村建筑风貌管控；指导区域内乡、镇和村庄农村生活垃圾处理、生活污水处理工作；指导重点镇和特色小城镇建设工作。</w:t>
      </w:r>
    </w:p>
    <w:p w14:paraId="4E4B114C">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石家庄市藁城区人民广场</w:t>
      </w:r>
    </w:p>
    <w:p w14:paraId="689D06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仿宋"/>
          <w:sz w:val="32"/>
          <w:szCs w:val="32"/>
        </w:rPr>
        <w:t>提供休闲场所，丰富人民群众文化生活，人民广场设施维护与管理、绿地管理、植物栽培与养护等以及相关社会服务。</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7B051AF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cs="仿宋"/>
          <w:sz w:val="32"/>
          <w:szCs w:val="32"/>
          <w:highlight w:val="none"/>
          <w:lang w:val="en-US" w:eastAsia="zh-CN"/>
        </w:rPr>
      </w:pPr>
      <w:r>
        <w:rPr>
          <w:rFonts w:hint="eastAsia" w:ascii="楷体_GB2312" w:hAnsi="楷体_GB2312" w:eastAsia="楷体_GB2312" w:cs="楷体_GB2312"/>
          <w:bCs/>
          <w:sz w:val="32"/>
          <w:szCs w:val="32"/>
          <w:highlight w:val="none"/>
          <w:lang w:val="en-US" w:eastAsia="zh-CN"/>
        </w:rPr>
        <w:t xml:space="preserve"> </w:t>
      </w:r>
      <w:r>
        <w:rPr>
          <w:rFonts w:hint="eastAsia" w:ascii="仿宋" w:hAnsi="仿宋" w:eastAsia="仿宋" w:cs="仿宋"/>
          <w:sz w:val="32"/>
          <w:szCs w:val="32"/>
          <w:highlight w:val="none"/>
          <w:lang w:val="en-US" w:eastAsia="zh-CN"/>
        </w:rPr>
        <w:t>2025年收入年初预算数50128.64万元，全年预算数54181.91万元，决算数54181.91万元；支出年初预算数50128.64万元，全年预算数54181.91万元，决算数54181.91万元。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highlight w:val="none"/>
        </w:rPr>
      </w:pPr>
      <w:r>
        <w:rPr>
          <w:rFonts w:hint="eastAsia" w:ascii="楷体_GB2312" w:hAnsi="楷体_GB2312" w:eastAsia="楷体_GB2312" w:cs="楷体_GB2312"/>
          <w:bCs/>
          <w:sz w:val="32"/>
          <w:szCs w:val="32"/>
          <w:highlight w:val="none"/>
        </w:rPr>
        <w:t>（三）部门整体支出绩效目标、指标</w:t>
      </w:r>
    </w:p>
    <w:p w14:paraId="7C513C19">
      <w:pPr>
        <w:pStyle w:val="13"/>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1、总体绩效目标:</w:t>
      </w:r>
    </w:p>
    <w:p w14:paraId="6E20126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石家庄市藁城住房和城乡建设局职能配置、内设机构和人员编制规定》的通知及《设立藁城区房屋征收服务中心的通知》，石家庄市藁城区住房和城乡建设局主要职责及工作特点，石家庄市藁城区住房和城乡建设局2024年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29006F7A">
      <w:pPr>
        <w:spacing w:before="0" w:after="0" w:line="500" w:lineRule="exact"/>
        <w:ind w:firstLine="560"/>
        <w:jc w:val="left"/>
        <w:outlineLvl w:val="9"/>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分项绩效目标</w:t>
      </w:r>
    </w:p>
    <w:p w14:paraId="504AC611">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）加强市政工程建设水平</w:t>
      </w:r>
    </w:p>
    <w:p w14:paraId="235A0C86">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绩效目标：建设道路、排水、给水、照明、交通和绿化等工程,提升城市交通能力，畅通主干，路提高城区绿化覆盖率，改善城区绿化环境。</w:t>
      </w:r>
    </w:p>
    <w:p w14:paraId="4752090E">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绩效指标：完成工程连占计划完成工程量的比率达到90%及以上；通过验收的工程量占建设、改造、修缮总量的比率达到90%及以上；建筑工程达到设计结构或标准的程度达到90%及以上。</w:t>
      </w:r>
    </w:p>
    <w:p w14:paraId="1AB247B4">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）推进供热系统建设</w:t>
      </w:r>
    </w:p>
    <w:p w14:paraId="44DE3AD3">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60AA230B">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1540A68A">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）推进清洁能源改造项目建设，加强燃气安全运营管理</w:t>
      </w:r>
    </w:p>
    <w:p w14:paraId="716B16E3">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绩效目标：改善环境质量，减少大气污染，有效降低全区污染区排放总量，巩固气代煤成果，改善燃气用户安全隐患突出问题建立健全燃气管理体系。</w:t>
      </w:r>
    </w:p>
    <w:p w14:paraId="01FB2C74">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3E1EFB5E">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）完成既有建筑节能改造建设</w:t>
      </w:r>
    </w:p>
    <w:p w14:paraId="12AFA68D">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绩效目标：对既有建筑外围护结构进行改造，具体为：对屋面、东西山墙进行保温、对外窗进行更换、更换楼宇门。</w:t>
      </w:r>
    </w:p>
    <w:p w14:paraId="476205E3">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绩效指标：对住宅楼进行外围护结构改造，改造后能效提高30%；改造工程质量达到合格标准。</w:t>
      </w:r>
    </w:p>
    <w:p w14:paraId="7BEAB484">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）完成房产市场监管，规范房产交易市场秩序</w:t>
      </w:r>
    </w:p>
    <w:p w14:paraId="43BB4FA9">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096FFDF9">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7C56E22E">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）监督建筑工程质量和环保</w:t>
      </w:r>
    </w:p>
    <w:p w14:paraId="248F6A80">
      <w:pPr>
        <w:pStyle w:val="14"/>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绩效目标：加强建筑工程监督管理，加强扬尘治理、安全质量、违法建设等工作，聘请第三方安全机构和专家对安全隐患进行排查，根据监测数据进行有效监控，降低扬尘污染排放量，使扬尘污染得到控制。</w:t>
      </w:r>
    </w:p>
    <w:p w14:paraId="683AF946">
      <w:pPr>
        <w:pStyle w:val="14"/>
        <w:rPr>
          <w:rFonts w:hint="eastAsia" w:ascii="仿宋_GB2312" w:hAnsi="仿宋_GB2312" w:eastAsia="仿宋_GB2312" w:cs="仿宋_GB2312"/>
          <w:sz w:val="32"/>
          <w:szCs w:val="32"/>
          <w:lang w:eastAsia="zh-CN"/>
        </w:rPr>
      </w:pPr>
      <w:r>
        <w:rPr>
          <w:rFonts w:ascii="仿宋" w:hAnsi="仿宋" w:eastAsia="仿宋" w:cs="仿宋"/>
          <w:kern w:val="2"/>
          <w:sz w:val="32"/>
          <w:szCs w:val="32"/>
          <w:lang w:val="en-US" w:eastAsia="zh-CN" w:bidi="ar-SA"/>
        </w:rPr>
        <w:t>绩效指标：设备安装率达到100%；监测施工现场PM10，根据监测数据指导控制施工现场的扬尘污染，完成率达到90%及以上。</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5AFE9B60">
      <w:pPr>
        <w:snapToGrid w:val="0"/>
        <w:spacing w:line="560" w:lineRule="exact"/>
        <w:ind w:firstLine="640" w:firstLineChars="200"/>
        <w:rPr>
          <w:rFonts w:hint="eastAsia" w:ascii="仿宋" w:hAnsi="仿宋" w:eastAsia="仿宋" w:cs="仿宋"/>
          <w:sz w:val="32"/>
          <w:szCs w:val="32"/>
        </w:rPr>
      </w:pPr>
      <w:r>
        <w:rPr>
          <w:rFonts w:ascii="仿宋" w:hAnsi="仿宋" w:eastAsia="仿宋" w:cs="仿宋"/>
          <w:sz w:val="32"/>
          <w:szCs w:val="32"/>
        </w:rPr>
        <w:t>为加强财政支出管理，提高财政资金使用效益，</w:t>
      </w:r>
      <w:r>
        <w:rPr>
          <w:rFonts w:hint="eastAsia" w:ascii="仿宋" w:hAnsi="仿宋" w:eastAsia="仿宋" w:cs="仿宋_GB2312"/>
          <w:sz w:val="32"/>
          <w:szCs w:val="32"/>
        </w:rPr>
        <w:t>根据</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ascii="仿宋" w:hAnsi="仿宋" w:eastAsia="仿宋" w:cs="仿宋"/>
          <w:sz w:val="32"/>
          <w:szCs w:val="32"/>
        </w:rPr>
        <w:t>文件</w:t>
      </w:r>
      <w:r>
        <w:rPr>
          <w:rFonts w:hint="eastAsia" w:ascii="仿宋" w:hAnsi="仿宋" w:eastAsia="仿宋" w:cs="宋体"/>
          <w:sz w:val="32"/>
          <w:szCs w:val="32"/>
        </w:rPr>
        <w:t>要求</w:t>
      </w:r>
      <w:r>
        <w:rPr>
          <w:rFonts w:ascii="仿宋" w:hAnsi="仿宋" w:eastAsia="仿宋" w:cs="仿宋"/>
          <w:sz w:val="32"/>
          <w:szCs w:val="32"/>
        </w:rPr>
        <w:t>，结合实际，我单位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19A12EF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省住建厅绩效指标规范、绩效共性指标规范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14:paraId="773C90AC">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9C3BB1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宋体"/>
          <w:sz w:val="32"/>
          <w:szCs w:val="32"/>
          <w:highlight w:val="none"/>
        </w:rPr>
        <w:t>202</w:t>
      </w:r>
      <w:r>
        <w:rPr>
          <w:rFonts w:hint="eastAsia" w:ascii="仿宋" w:hAnsi="仿宋" w:eastAsia="仿宋" w:cs="宋体"/>
          <w:sz w:val="32"/>
          <w:szCs w:val="32"/>
          <w:highlight w:val="none"/>
          <w:lang w:val="en-US" w:eastAsia="zh-CN"/>
        </w:rPr>
        <w:t>5</w:t>
      </w:r>
      <w:r>
        <w:rPr>
          <w:rFonts w:hint="eastAsia" w:ascii="仿宋" w:hAnsi="仿宋" w:eastAsia="仿宋" w:cs="宋体"/>
          <w:sz w:val="32"/>
          <w:szCs w:val="32"/>
          <w:highlight w:val="none"/>
        </w:rPr>
        <w:t>年度预算调整数为</w:t>
      </w:r>
      <w:r>
        <w:rPr>
          <w:rFonts w:hint="eastAsia" w:ascii="仿宋" w:hAnsi="仿宋" w:eastAsia="仿宋" w:cs="宋体"/>
          <w:sz w:val="32"/>
          <w:szCs w:val="32"/>
          <w:highlight w:val="none"/>
          <w:lang w:val="en-US" w:eastAsia="zh-CN"/>
        </w:rPr>
        <w:t>76447.148184</w:t>
      </w:r>
      <w:r>
        <w:rPr>
          <w:rFonts w:hint="eastAsia" w:ascii="仿宋" w:hAnsi="仿宋" w:eastAsia="仿宋" w:cs="宋体"/>
          <w:sz w:val="32"/>
          <w:szCs w:val="32"/>
          <w:highlight w:val="none"/>
        </w:rPr>
        <w:t>万元，执行数为</w:t>
      </w:r>
      <w:r>
        <w:rPr>
          <w:rFonts w:hint="eastAsia" w:ascii="仿宋" w:hAnsi="仿宋" w:eastAsia="仿宋" w:cs="宋体"/>
          <w:sz w:val="32"/>
          <w:szCs w:val="32"/>
          <w:highlight w:val="none"/>
          <w:lang w:val="en-US" w:eastAsia="zh-CN"/>
        </w:rPr>
        <w:t>52644.303797</w:t>
      </w:r>
      <w:r>
        <w:rPr>
          <w:rFonts w:hint="eastAsia" w:ascii="仿宋" w:hAnsi="仿宋" w:eastAsia="仿宋" w:cs="宋体"/>
          <w:sz w:val="32"/>
          <w:szCs w:val="32"/>
          <w:highlight w:val="none"/>
        </w:rPr>
        <w:t>万元；其中：中央</w:t>
      </w:r>
      <w:r>
        <w:rPr>
          <w:rFonts w:hint="eastAsia" w:ascii="仿宋" w:hAnsi="仿宋" w:eastAsia="仿宋" w:cs="宋体"/>
          <w:sz w:val="32"/>
          <w:szCs w:val="32"/>
          <w:highlight w:val="none"/>
          <w:lang w:val="en-US" w:eastAsia="zh-CN"/>
        </w:rPr>
        <w:t>资金</w:t>
      </w:r>
      <w:r>
        <w:rPr>
          <w:rFonts w:hint="eastAsia" w:ascii="仿宋" w:hAnsi="仿宋" w:eastAsia="仿宋" w:cs="宋体"/>
          <w:sz w:val="32"/>
          <w:szCs w:val="32"/>
          <w:highlight w:val="none"/>
        </w:rPr>
        <w:t>预算安排为</w:t>
      </w:r>
      <w:r>
        <w:rPr>
          <w:rFonts w:hint="eastAsia" w:ascii="仿宋" w:hAnsi="仿宋" w:eastAsia="仿宋" w:cs="宋体"/>
          <w:sz w:val="32"/>
          <w:szCs w:val="32"/>
          <w:highlight w:val="none"/>
          <w:lang w:val="en-US" w:eastAsia="zh-CN"/>
        </w:rPr>
        <w:t>26.4</w:t>
      </w:r>
      <w:r>
        <w:rPr>
          <w:rFonts w:hint="eastAsia" w:ascii="仿宋" w:hAnsi="仿宋" w:eastAsia="仿宋" w:cs="宋体"/>
          <w:sz w:val="32"/>
          <w:szCs w:val="32"/>
          <w:highlight w:val="none"/>
        </w:rPr>
        <w:t>万元，到位数</w:t>
      </w:r>
      <w:r>
        <w:rPr>
          <w:rFonts w:hint="eastAsia" w:ascii="仿宋" w:hAnsi="仿宋" w:eastAsia="仿宋" w:cs="宋体"/>
          <w:sz w:val="32"/>
          <w:szCs w:val="32"/>
          <w:highlight w:val="none"/>
          <w:lang w:val="en-US" w:eastAsia="zh-CN"/>
        </w:rPr>
        <w:t>26.4</w:t>
      </w:r>
      <w:r>
        <w:rPr>
          <w:rFonts w:hint="eastAsia" w:ascii="仿宋" w:hAnsi="仿宋" w:eastAsia="仿宋" w:cs="宋体"/>
          <w:sz w:val="32"/>
          <w:szCs w:val="32"/>
          <w:highlight w:val="none"/>
        </w:rPr>
        <w:t>万元，执行数为</w:t>
      </w:r>
      <w:r>
        <w:rPr>
          <w:rFonts w:hint="eastAsia" w:ascii="仿宋" w:hAnsi="仿宋" w:eastAsia="仿宋" w:cs="仿宋"/>
          <w:sz w:val="32"/>
          <w:szCs w:val="32"/>
          <w:highlight w:val="none"/>
          <w:lang w:val="en-US" w:eastAsia="zh-CN"/>
        </w:rPr>
        <w:t>26.4</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val="en-US" w:eastAsia="zh-CN"/>
        </w:rPr>
        <w:t>省级资金预算数为57940.242491万元，到位数为57940.242491万元，执行数为34137.398104万元；本级资金预算数为18480.505693万元，到位数为18480.505693万元，执行数为18480.505693万元</w:t>
      </w:r>
      <w:r>
        <w:rPr>
          <w:rFonts w:hint="eastAsia" w:ascii="仿宋" w:hAnsi="仿宋" w:eastAsia="仿宋" w:cs="仿宋"/>
          <w:sz w:val="32"/>
          <w:szCs w:val="32"/>
          <w:highlight w:val="none"/>
        </w:rPr>
        <w:t>。</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bookmarkStart w:id="0" w:name="_GoBack"/>
      <w:bookmarkEnd w:id="0"/>
    </w:p>
    <w:tbl>
      <w:tblPr>
        <w:tblW w:w="98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497"/>
        <w:gridCol w:w="1866"/>
        <w:gridCol w:w="1362"/>
        <w:gridCol w:w="1325"/>
        <w:gridCol w:w="1300"/>
        <w:gridCol w:w="1357"/>
        <w:gridCol w:w="818"/>
        <w:gridCol w:w="625"/>
        <w:gridCol w:w="675"/>
      </w:tblGrid>
      <w:tr w14:paraId="2A93C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8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40712E7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序号</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A9D358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项目名称</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A36B96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预算数（调整后）</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005D57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到位数</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3B1CAE0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执行数（至2025年底）</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CF7590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结余数</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5B0248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预算执行进度%</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8E2013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自评得分</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18173A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黑体" w:hAnsi="宋体" w:eastAsia="黑体" w:cs="黑体"/>
                <w:i w:val="0"/>
                <w:iCs w:val="0"/>
                <w:color w:val="000000"/>
                <w:sz w:val="18"/>
                <w:szCs w:val="18"/>
                <w:u w:val="none"/>
              </w:rPr>
            </w:pPr>
            <w:r>
              <w:rPr>
                <w:rFonts w:hint="eastAsia" w:ascii="黑体" w:hAnsi="宋体" w:eastAsia="黑体" w:cs="黑体"/>
                <w:i w:val="0"/>
                <w:iCs w:val="0"/>
                <w:color w:val="000000"/>
                <w:kern w:val="0"/>
                <w:sz w:val="18"/>
                <w:szCs w:val="18"/>
                <w:u w:val="none"/>
                <w:bdr w:val="none" w:color="auto" w:sz="0" w:space="0"/>
                <w:lang w:val="en-US" w:eastAsia="zh-CN" w:bidi="ar"/>
              </w:rPr>
              <w:t>自评结果应用意见</w:t>
            </w:r>
          </w:p>
        </w:tc>
      </w:tr>
      <w:tr w14:paraId="70383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3175DA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07D45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房产交易系统网络费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B93D36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4.02</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5543AB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4.02</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48B9FC9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4.02</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1E314C1">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4DC9001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ADC3DA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B9222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E743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7DDCAE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ED4D0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房产交易中心人员劳务费(0.2616万元)</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28667A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0.2616</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258E9A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0.2616</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4E2D51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0.2616</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1F991DD5">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4E27378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EDFFD7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159A7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41EB9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18EA5E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EDD22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房产交易中心人员劳务费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6231408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409.565331</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3EFC29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409.565331</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48D099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409.565331</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19A48F01">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6BBB74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244D2B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7DF075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0DEED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1D9A236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EDBB4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房产交易中心维持费（2024）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AEC51A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31.676272</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389D17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31.676272</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47BCBD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31.676272</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E76E827">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3B312E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02A4D30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62721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19CD7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1A6B300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DF46E0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房产交易中心维护费(5万元）</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E3A856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361CB2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207CBD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A05F6DC">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2B9075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FBDB3C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FC1E24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5F73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5D996B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69217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房产交易中心维护费（2024）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ADA8DD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14.761064</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2D3FDA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14.761064</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7927BE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14.761064</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7A7B72E3">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42DC2B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DB850F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CC610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5D5B1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EAE00E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7</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DCB97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房产交易中心招聘人员劳务费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0E9141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22.645885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D59BBD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22.645885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0A7AC9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22.645885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3B67142C">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48A6BC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929E6C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57A6C7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0B3EB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824E09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587E6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藁城区人才公寓配备基础生活配套设施项目（润江二期）（2024）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FA2C5D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20.01</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F5125A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20.01</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600A94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20.01</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F7E092A">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2E8AFE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3842BF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0A24B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ED5B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8DB239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0C980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隔离点征用费用（枫尚酒店15万）</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4324551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889C02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5EBD8F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D204F68">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C62883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327D2C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2CF24B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53739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09A1BF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531A7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公共保障性住房管理费用及维护费用（2024）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0A3838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80FB74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4680286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F29A7AB">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1342435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1A0232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4BC08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2724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3A11CA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0A470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公共保障性住房管理费用及维护费用</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033564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27.023112</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4A6D421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27.023112</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C5C7F8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27.023112</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E5ED955">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602F92F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36AB49A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E31BE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5AAD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55B9DF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12</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81957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晟豪宾馆隔离点征用费用（住宿费）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AEF652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23F75E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E96E92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C3B4EBE">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32EB79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0FDADB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5F755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18553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1D8E37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13</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01156F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石财债[2023]20号石家庄市财政局关于下达2023年第七批新增政府债券资金--藁城区2023年老旧小区改造建筑主体项目</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03178A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655FB3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BD4FF3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906806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450</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9B034B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55BFC1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35DFF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852D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211AF84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14</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7C7C7B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石财债[2023]20号石家庄市财政局关于下达2023年第七批新增政府债券资金--藁城区2023年老旧小区改造配套基础设施项目</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6E07097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2F7352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0FDDDF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13F289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450</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1E366DA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28A0EF6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7A8ECE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2DF3D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6D078A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77CFBC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农村房屋抗震鉴定服务费（2024）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5FE2FD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7E31FD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183709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32AB97C">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8BF55F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202BAA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20816C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42DD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1326B11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718BB1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农村装配式住房补助资金（2024）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866B4F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168</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7D63ED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168</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D29116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168</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4CFC889A">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F3137A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49B2AA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35D5D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4C4F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36F5AB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CB04F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石财城[2025]19号关于下达2025年中央财政农村危房改造补助资金预算的通知</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736E0B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26.4</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9EF842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26.4</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D8C737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26.4</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48BE5DAA">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3D373A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299587A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E4320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4518C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55A8AD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18</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68170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石财农[2024]76号关于提前下达2025年省级乡村振兴专项资金(政府债券)的通知</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C7C7FE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F90C26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326586C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106</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45B3B85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194</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4BC8D4A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35.33%</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2EC44A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81.53</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8B7F7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06034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F93062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19</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CB1F1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石财农[2024]97号关于下达2024年省级乡村振兴专项资金(装配式农房建设项目)的通知</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C6DBF6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D3EA6C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0F7482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05C9F9C">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3990A1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0FCA8EF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29A126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4790F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454B2C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B66A6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城建视频宣传片制作资金(4万）</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0249BAD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4A0D295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B91517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4277853">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F65B82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16F312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94</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705B0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5FC0A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43CAF59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8EAB8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城区夜景亮化提升项目（2024）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656DC6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220.133923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49A047B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220.133923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A6E72F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220.133923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BD6B597">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14F9A9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76A87C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758D1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A10C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580E14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22</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EE787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夜景亮化工程（2024）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0F85C85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CA9922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FCD89C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C59E87B">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13D0184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28A7162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0E27F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4024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424194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23</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8397E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石财债[2025]6号石家庄市财政局关于下达2025年第一批新增政府债券资金的通知--石家庄现代食品产业园配套中水管道工程</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C49B72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860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04568F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860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E41D23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28.1285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94DF61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831.8715</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40AFEC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3.27%</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721FB7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73.33</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65F7D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2359C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1E27ECB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24</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1818CF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常安驿站改造及设备采购（2024）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B385F2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154.23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75233F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154.23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13F6C62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154.23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7446E4A0">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269FC9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EE3CA6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98CC37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2C336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65B8B8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25</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4BC75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城区道路及公共设施耕地占用税</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F499CC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4656.782168</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CDAED0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4656.782168</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578459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4656.782168</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DEEA0FC">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E841BA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3247C30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71B270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030C0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DF8BB4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26</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AE40B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藁城区南部城区新建污水处理厂及附属基础设施建设工程</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330BFD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46F93A5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4B7396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375C04E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1500</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9F5A13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B23890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79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CCCBA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1D231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6D7AA3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27</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8DD2E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石财债[2025]6号石家庄市财政局关于下达2025年第一批新增政府债券资金的通知--平安路（四明街-东城街）道路工程</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1AE474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3535B6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4F506B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D2D6E4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1D1D687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60654EC">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DA1B8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2A400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EDB8A4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28</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7972F6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石财债[2025]6号  石家庄市财政局关于下达2025年第一批新增政府债券资金的通知--藁城区新一中区域供热和燃气管网及给排水等附属设施建设项目</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E876F3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5000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5992ED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5000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337A1DD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2000.3945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30E02E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2999.6055</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D44CAA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40.01%</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20A9173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81.33</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2AB5E1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8C29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BFC5CE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29</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12C6B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健康驿站占用补偿及管护等费用</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671F27E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235.71513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F1C228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235.71513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8B4127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235.71513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7FFAC6FB">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147394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30C524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38F62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F831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50C170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82E6D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民安健康驿站工程款（2024）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0CFA36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C5B4F5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8C9C2E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116F53D">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2C8798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9FB6E8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28265AD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B221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9C217E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EFCCE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石财城[2024]1号关于下达增发2023年国债城市排水防涝能力提升中央补助资金预算的通知</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CC43D9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174.105353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D9B0F6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174.105353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3A61D71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174.105353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2639786">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6AB7B9F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D8E992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9.3</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753CE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0B49F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C0A7E8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32</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60EDF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石财城[2024]54号关于提前下达增发2023年国债省级补助(市政领域)资金预算的通知--藁城区新一中区域供热和燃气管网及给排水等附属设施建设项目</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FD4942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8EF9B1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FB2E13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75BB70C2">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BBECA0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02503C4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AE3A4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A003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CC5473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33</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442D2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石财城〔2024〕2号关于下达增发2023年国债城市排水防涝能力提升省级补助资金预算的通知</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0AD0DCD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6C1903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13312F9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01F2B2D">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997FF9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550BDB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72B99A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10F3A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3C399B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34</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DDF48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石财债[2023]15号石家庄市财政局关于下达2023年第五批新增债券资金-藁城区南部城区新建污水处理厂及附属基础设施建设工程</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0879592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147.94384</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0C3C4B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147.94384</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043FA7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24.9143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417ADB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123.02954</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0749B7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16.84%</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0A668A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90.68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8145A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F1C7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B70B53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35</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5C91D2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石财债[2024]6号石家庄市财政局关于下达2024年第二批新增政府债券资金的通知-藁城区新一中区域供热和燃气管网及给排水等附属设施建设项目</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18F719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11058.5933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74C254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11058.5933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C20A3B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1023.672</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08E62D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10034.9213</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07793C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9.26%</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8EED2D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74.19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C8FED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8A34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2285F5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36</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FEFC5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石财债[2024]16号关于下达2024年第七批新增政府债券资金的通知--世纪街（平安路-兴华路、工业路-廉州路）工程</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1EEA78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700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DCE5B1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700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E0B782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699.783451</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1A40DDD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0.216549</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B63D68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99.97%</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EB503B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F7246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3AFC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AC1756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37</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5FD82C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石财债[2024]17号关于下达2024年第八批新增政府债券资金的通知-石家庄现代食品产业园基础设施建设工程</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37B94D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19800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4024920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19800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13B6286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13580.8</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58E7BD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6219.2</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6F82A4D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68.59%</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2E9E04D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84.72</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1C2C4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E609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33921A8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38</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D4AB2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石家庄现代食品产业园国防光缆和综保专线迁改（2024）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BBB487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1B90DC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B98E1A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5362A3D">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A03614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D02042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97.4</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48216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CD24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A94513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39</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F0518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石财城[2024]64号关于提前下达2025年省级大气污染防治（建筑节能补助）专项资金的通知</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73B5CC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384.6</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6F80CE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384.6</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1DF86AB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384.6</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141B4BB">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24B54D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228677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D9122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7815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3E28F04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40</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3AA63F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D级危房改造费（2024）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50328A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47C53E6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ADA7F5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1100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E70AE74">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12B109D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259DCE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D5B9D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2BB2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2CDD1AF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5D0028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藁城区城中村改造回迁区建设项目-南马村</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341CCB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8000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2306A7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8000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1E0E8F2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8000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D2880CF">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F8C15F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2A1316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DC9987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E21D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CA87FF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42</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41B5D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藁城区城中村改造回迁区建设项目-石井村</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20CEF6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8000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A323C1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8000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A8A934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8000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204D8C9">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E05FF6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00FB6DD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12810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07F1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3F1DD44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43</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6F0D9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商贸城旧城改造二期拆迁过渡费（243万元）</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04ABAE3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243</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E87C25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243</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128BC4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243</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59D8330">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412BC00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033977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4E7A7E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5F6AF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DBF1FD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44</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CC8372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安全生产监督平台网络运行费（2024）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C72859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11.7</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B8AF50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11.7</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720DB5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11.7</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714D6C1E">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DB8AFA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3E5ECAC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96</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77C76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2D36C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62055F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45</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1712D6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房地产领域解决遗留问题资金（2024）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4755F4C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5.9902</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39E8C82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5.9902</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BFEBD6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5.9902</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3E66DBD0">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5576A7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4899BA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95</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42DD3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6805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0B11D4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46</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42691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合同印花税</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CDDFCC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0.27018</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DDF78E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0.27018</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0C8190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0.27018</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10CE5F1">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57FBF71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5B824E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72651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EEF5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B13B59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47</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5FBEB5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河北吉藁化纤有限责任公司供暖区域改造维护费用（2024）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6A0FCC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3D999A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D80F2C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371203F">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439F4A7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384B079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60CF59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5CFAF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7D41C1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48</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0A3E8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建设工程质量服务站招聘人员劳务费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27A7C7A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20.958385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615AD8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20.958385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35CD7F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20.958385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5207EB4">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663B6E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7DBFE2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38A4B3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4029F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4942CEA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49</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6448A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气代煤用户安全管理和取暖设备维修服务（2024）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448A0B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9CEF24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4A8B77F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300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754DCD1A">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BA91FC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3DA0B3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97</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3025B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57616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876F4E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50</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7F051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天意热电老旧管网改造补贴（2024）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4577984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E7CE2D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C5F8EF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315F1A28">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5BA692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810C4C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789F7E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FCC4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2D0F22A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756741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住建局化解拖欠企业账款（本级）375</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D53F18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374.953597</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2B6421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374.953597</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B14689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374.953597</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1B2F1CF6">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9E569F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26BC9A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031EED8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403A8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28C9C3A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52</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C2369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住建局化解拖欠企业账款（本级198.82246万）</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3238B1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172.430752</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267CA2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172.430752</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344236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172.430752</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BF551A8">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0CEE26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057DCDB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2B7967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5C48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1D80ECB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53</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FA178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住建局化解拖欠企业账款（本级315万）</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4EC9AB2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311.3799</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70F51D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311.3799</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10978FD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311.3799</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96D8698">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4641F2A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34AAAA02">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8349F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30726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38F13B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54</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246DD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住建局劳务费(0.6976万元)</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328863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0.6976</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35F537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0.6976</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06325E4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0.6976</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0A5E746">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2DF5C1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73DF4F8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B17AB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04101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5D2FDC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55</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48086B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住建局劳务费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60024F2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953.108694</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FA0493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953.108694</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60FF9E4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953.108694</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EF2A680">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F0244AA">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EFF34A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272454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2EC1E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93392E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56</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00C848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专项债券付息支出</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5309723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8515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0B36441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8515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50B9B58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8515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6A8B4709">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0129DDA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2BA6C46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1E7693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9D43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021196A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57</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3D9018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2020年既有建筑节能改造项目（2024）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4718479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9F4A5F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3AA477C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4</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C2A3F2F">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00FDB2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C89A71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99</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74105A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77515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615B5E5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58</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715CF9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藁城区人民广场电视塔维护加固及夜景照明工程（2024）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C6319C3">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6.2419</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5BCDF3A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6.2419</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4A70074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6.2419</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287A22BF">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26F45BF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41D01B1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3AC29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1F76F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472CC27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59</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18835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广场日常维护经费（10万元）</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1B5915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26C9B4F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F81612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43C9FED3">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73A06A98">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5B893D5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96</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75F5BA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65752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2383585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60</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DBB8C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广场日常维护经费（2024）</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78E693A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50</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726C738F">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50</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262C3575">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50</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0B292219">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E4C8410">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65F0BAD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96</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4EB80E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41BF7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5DE7158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61</w:t>
            </w: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26DE9D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广场维护劳务费</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1E4A9BEB">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85.45</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6425958D">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85.45</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4A4B8306">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85.45</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1D7A780B">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66709CA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100.00%</w:t>
            </w: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34E3316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96</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6A3A00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优先保障</w:t>
            </w:r>
          </w:p>
        </w:tc>
      </w:tr>
      <w:tr w14:paraId="1FFBE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497" w:type="dxa"/>
            <w:tcBorders>
              <w:top w:val="single" w:color="000000" w:sz="4" w:space="0"/>
              <w:left w:val="single" w:color="000000" w:sz="4" w:space="0"/>
              <w:bottom w:val="single" w:color="000000" w:sz="4" w:space="0"/>
              <w:right w:val="single" w:color="000000" w:sz="4" w:space="0"/>
            </w:tcBorders>
            <w:shd w:val="clear"/>
            <w:vAlign w:val="center"/>
          </w:tcPr>
          <w:p w14:paraId="73C80ED3">
            <w:pPr>
              <w:keepNext w:val="0"/>
              <w:keepLines w:val="0"/>
              <w:pageBreakBefore w:val="0"/>
              <w:widowControl/>
              <w:kinsoku/>
              <w:wordWrap/>
              <w:overflowPunct/>
              <w:topLinePunct w:val="0"/>
              <w:autoSpaceDE/>
              <w:autoSpaceDN/>
              <w:bidi w:val="0"/>
              <w:adjustRightInd/>
              <w:snapToGrid/>
              <w:spacing w:line="240" w:lineRule="exact"/>
              <w:jc w:val="center"/>
              <w:rPr>
                <w:rFonts w:hint="eastAsia" w:ascii="仿宋_GB2312" w:hAnsi="宋体" w:eastAsia="仿宋_GB2312" w:cs="仿宋_GB2312"/>
                <w:i w:val="0"/>
                <w:iCs w:val="0"/>
                <w:color w:val="000000"/>
                <w:sz w:val="18"/>
                <w:szCs w:val="18"/>
                <w:u w:val="none"/>
              </w:rPr>
            </w:pPr>
          </w:p>
        </w:tc>
        <w:tc>
          <w:tcPr>
            <w:tcW w:w="1866" w:type="dxa"/>
            <w:tcBorders>
              <w:top w:val="single" w:color="000000" w:sz="4" w:space="0"/>
              <w:left w:val="single" w:color="000000" w:sz="4" w:space="0"/>
              <w:bottom w:val="single" w:color="000000" w:sz="4" w:space="0"/>
              <w:right w:val="single" w:color="000000" w:sz="4" w:space="0"/>
            </w:tcBorders>
            <w:shd w:val="clear"/>
            <w:vAlign w:val="center"/>
          </w:tcPr>
          <w:p w14:paraId="61CAEEB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合计</w:t>
            </w:r>
          </w:p>
        </w:tc>
        <w:tc>
          <w:tcPr>
            <w:tcW w:w="1362" w:type="dxa"/>
            <w:tcBorders>
              <w:top w:val="single" w:color="000000" w:sz="4" w:space="0"/>
              <w:left w:val="single" w:color="000000" w:sz="4" w:space="0"/>
              <w:bottom w:val="single" w:color="000000" w:sz="4" w:space="0"/>
              <w:right w:val="single" w:color="000000" w:sz="4" w:space="0"/>
            </w:tcBorders>
            <w:shd w:val="clear"/>
            <w:vAlign w:val="center"/>
          </w:tcPr>
          <w:p w14:paraId="35AFD114">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 xml:space="preserve">76447.148184 </w:t>
            </w:r>
          </w:p>
        </w:tc>
        <w:tc>
          <w:tcPr>
            <w:tcW w:w="1325" w:type="dxa"/>
            <w:tcBorders>
              <w:top w:val="single" w:color="000000" w:sz="4" w:space="0"/>
              <w:left w:val="single" w:color="000000" w:sz="4" w:space="0"/>
              <w:bottom w:val="single" w:color="000000" w:sz="4" w:space="0"/>
              <w:right w:val="single" w:color="000000" w:sz="4" w:space="0"/>
            </w:tcBorders>
            <w:shd w:val="clear"/>
            <w:vAlign w:val="center"/>
          </w:tcPr>
          <w:p w14:paraId="18285979">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 xml:space="preserve">76447.148184 </w:t>
            </w:r>
          </w:p>
        </w:tc>
        <w:tc>
          <w:tcPr>
            <w:tcW w:w="1300" w:type="dxa"/>
            <w:tcBorders>
              <w:top w:val="single" w:color="000000" w:sz="4" w:space="0"/>
              <w:left w:val="single" w:color="000000" w:sz="4" w:space="0"/>
              <w:bottom w:val="single" w:color="000000" w:sz="4" w:space="0"/>
              <w:right w:val="single" w:color="000000" w:sz="4" w:space="0"/>
            </w:tcBorders>
            <w:shd w:val="clear"/>
            <w:vAlign w:val="center"/>
          </w:tcPr>
          <w:p w14:paraId="7804A2C1">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 xml:space="preserve">52644.303797 </w:t>
            </w:r>
          </w:p>
        </w:tc>
        <w:tc>
          <w:tcPr>
            <w:tcW w:w="1357" w:type="dxa"/>
            <w:tcBorders>
              <w:top w:val="single" w:color="000000" w:sz="4" w:space="0"/>
              <w:left w:val="single" w:color="000000" w:sz="4" w:space="0"/>
              <w:bottom w:val="single" w:color="000000" w:sz="4" w:space="0"/>
              <w:right w:val="single" w:color="000000" w:sz="4" w:space="0"/>
            </w:tcBorders>
            <w:shd w:val="clear"/>
            <w:vAlign w:val="center"/>
          </w:tcPr>
          <w:p w14:paraId="5C62A71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kern w:val="0"/>
                <w:sz w:val="18"/>
                <w:szCs w:val="18"/>
                <w:u w:val="none"/>
                <w:bdr w:val="none" w:color="auto" w:sz="0" w:space="0"/>
                <w:lang w:val="en-US" w:eastAsia="zh-CN" w:bidi="ar"/>
              </w:rPr>
              <w:t xml:space="preserve">23802.844387 </w:t>
            </w:r>
          </w:p>
        </w:tc>
        <w:tc>
          <w:tcPr>
            <w:tcW w:w="818" w:type="dxa"/>
            <w:tcBorders>
              <w:top w:val="single" w:color="000000" w:sz="4" w:space="0"/>
              <w:left w:val="single" w:color="000000" w:sz="4" w:space="0"/>
              <w:bottom w:val="single" w:color="000000" w:sz="4" w:space="0"/>
              <w:right w:val="single" w:color="000000" w:sz="4" w:space="0"/>
            </w:tcBorders>
            <w:shd w:val="clear"/>
            <w:vAlign w:val="center"/>
          </w:tcPr>
          <w:p w14:paraId="39B66D4A">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c>
          <w:tcPr>
            <w:tcW w:w="625" w:type="dxa"/>
            <w:tcBorders>
              <w:top w:val="single" w:color="000000" w:sz="4" w:space="0"/>
              <w:left w:val="single" w:color="000000" w:sz="4" w:space="0"/>
              <w:bottom w:val="single" w:color="000000" w:sz="4" w:space="0"/>
              <w:right w:val="single" w:color="000000" w:sz="4" w:space="0"/>
            </w:tcBorders>
            <w:shd w:val="clear"/>
            <w:vAlign w:val="center"/>
          </w:tcPr>
          <w:p w14:paraId="1BC5975C">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仿宋_GB2312" w:hAnsi="宋体" w:eastAsia="仿宋_GB2312" w:cs="仿宋_GB2312"/>
                <w:i w:val="0"/>
                <w:iCs w:val="0"/>
                <w:color w:val="000000"/>
                <w:sz w:val="18"/>
                <w:szCs w:val="18"/>
                <w:u w:val="none"/>
              </w:rPr>
            </w:pPr>
            <w:r>
              <w:rPr>
                <w:rFonts w:hint="eastAsia" w:ascii="仿宋_GB2312" w:hAnsi="宋体" w:eastAsia="仿宋_GB2312" w:cs="仿宋_GB2312"/>
                <w:i w:val="0"/>
                <w:iCs w:val="0"/>
                <w:color w:val="000000"/>
                <w:sz w:val="18"/>
                <w:szCs w:val="18"/>
                <w:u w:val="none"/>
              </w:rPr>
              <w:t>5638.18</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14:paraId="5E81B050">
            <w:pPr>
              <w:keepNext w:val="0"/>
              <w:keepLines w:val="0"/>
              <w:pageBreakBefore w:val="0"/>
              <w:widowControl/>
              <w:kinsoku/>
              <w:wordWrap/>
              <w:overflowPunct/>
              <w:topLinePunct w:val="0"/>
              <w:autoSpaceDE/>
              <w:autoSpaceDN/>
              <w:bidi w:val="0"/>
              <w:adjustRightInd/>
              <w:snapToGrid/>
              <w:spacing w:line="240" w:lineRule="exact"/>
              <w:rPr>
                <w:rFonts w:hint="eastAsia" w:ascii="仿宋_GB2312" w:hAnsi="宋体" w:eastAsia="仿宋_GB2312" w:cs="仿宋_GB2312"/>
                <w:i w:val="0"/>
                <w:iCs w:val="0"/>
                <w:color w:val="000000"/>
                <w:sz w:val="18"/>
                <w:szCs w:val="18"/>
                <w:u w:val="none"/>
              </w:rPr>
            </w:pPr>
          </w:p>
        </w:tc>
      </w:tr>
    </w:tbl>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627D79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42F90918">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年度本部门共有</w:t>
      </w:r>
      <w:r>
        <w:rPr>
          <w:rFonts w:hint="eastAsia" w:ascii="仿宋" w:hAnsi="仿宋" w:eastAsia="仿宋" w:cs="仿宋"/>
          <w:sz w:val="32"/>
          <w:szCs w:val="32"/>
          <w:lang w:val="en-US" w:eastAsia="zh-CN"/>
        </w:rPr>
        <w:t>61</w:t>
      </w:r>
      <w:r>
        <w:rPr>
          <w:rFonts w:hint="eastAsia" w:ascii="仿宋" w:hAnsi="仿宋" w:eastAsia="仿宋" w:cs="仿宋"/>
          <w:sz w:val="32"/>
          <w:szCs w:val="32"/>
        </w:rPr>
        <w:t>个项目，</w:t>
      </w:r>
      <w:r>
        <w:rPr>
          <w:rFonts w:hint="eastAsia" w:ascii="仿宋" w:hAnsi="仿宋" w:eastAsia="仿宋" w:cs="仿宋"/>
          <w:sz w:val="32"/>
          <w:szCs w:val="32"/>
          <w:lang w:val="en-US" w:eastAsia="zh-CN"/>
        </w:rPr>
        <w:t>汇总得分5638.18分，</w:t>
      </w:r>
      <w:r>
        <w:rPr>
          <w:rFonts w:hint="eastAsia" w:ascii="仿宋" w:hAnsi="仿宋" w:eastAsia="仿宋" w:cs="仿宋"/>
          <w:sz w:val="32"/>
          <w:szCs w:val="32"/>
        </w:rPr>
        <w:t>其中:优秀项目</w:t>
      </w:r>
      <w:r>
        <w:rPr>
          <w:rFonts w:hint="eastAsia" w:ascii="仿宋" w:hAnsi="仿宋" w:eastAsia="仿宋" w:cs="仿宋"/>
          <w:sz w:val="32"/>
          <w:szCs w:val="32"/>
          <w:lang w:val="en-US" w:eastAsia="zh-CN"/>
        </w:rPr>
        <w:t>53个</w:t>
      </w:r>
      <w:r>
        <w:rPr>
          <w:rFonts w:hint="eastAsia" w:ascii="仿宋" w:hAnsi="仿宋" w:eastAsia="仿宋" w:cs="仿宋"/>
          <w:sz w:val="32"/>
          <w:szCs w:val="32"/>
        </w:rPr>
        <w:t>；</w:t>
      </w:r>
      <w:r>
        <w:rPr>
          <w:rFonts w:hint="eastAsia" w:ascii="仿宋_GB2312" w:hAnsi="仿宋_GB2312" w:eastAsia="仿宋_GB2312" w:cs="仿宋_GB2312"/>
          <w:sz w:val="32"/>
          <w:szCs w:val="32"/>
          <w:highlight w:val="none"/>
          <w:lang w:eastAsia="zh-CN"/>
        </w:rPr>
        <w:t>良好</w:t>
      </w:r>
      <w:r>
        <w:rPr>
          <w:rFonts w:hint="eastAsia" w:ascii="仿宋_GB2312" w:hAnsi="仿宋_GB2312" w:eastAsia="仿宋_GB2312" w:cs="仿宋_GB2312"/>
          <w:sz w:val="32"/>
          <w:szCs w:val="32"/>
          <w:highlight w:val="none"/>
          <w:lang w:val="en-US" w:eastAsia="zh-CN"/>
        </w:rPr>
        <w:t>项目4个;一般项目2个；较差项目2个</w:t>
      </w:r>
      <w:r>
        <w:rPr>
          <w:rFonts w:hint="eastAsia" w:ascii="仿宋" w:hAnsi="仿宋" w:eastAsia="仿宋" w:cs="仿宋"/>
          <w:sz w:val="32"/>
          <w:szCs w:val="32"/>
        </w:rPr>
        <w:t>。绩效目标设定为产出指标、预算执行率指标、效益指标和满意度指标。产出指标设置为质量指标、时效指标、数量指标等，能够较为清晰、全面地反映项目绩效的完成情况；预算执行率指标主要反映的是资金下达数与资金执行数的情况，可以较为准确、科学合理的体现财务室的资金执行情况，清晰明了的反映项目的绩效完成情况；效益指标一般分为社会效益指标或者生态效益指标，社会效益指标主要体现的是该项目对城区建设、人民生活质量、农村环境治理、城市形象等方面的影响，生态效益指标一般体现的是该项目在保护生态环境、改善环境质量方面的作用。效益指标可以较为全面恰当的体现绩效对社会、生态的作用；满意度指标主要体现的是服务对象对该项目的满意程度，一般通过问卷、询问等方式来进项调查统计，可以较为清晰地反映该项目的完成情况和实际完成效果。</w:t>
      </w:r>
    </w:p>
    <w:p w14:paraId="2300437A">
      <w:pPr>
        <w:snapToGrid w:val="0"/>
        <w:spacing w:line="560" w:lineRule="exact"/>
        <w:ind w:firstLine="320" w:firstLineChars="100"/>
        <w:rPr>
          <w:rFonts w:ascii="仿宋" w:hAnsi="仿宋" w:eastAsia="仿宋" w:cs="仿宋"/>
          <w:sz w:val="32"/>
          <w:szCs w:val="32"/>
        </w:rPr>
      </w:pPr>
      <w:r>
        <w:rPr>
          <w:rFonts w:hint="eastAsia" w:ascii="仿宋" w:hAnsi="仿宋" w:eastAsia="仿宋" w:cs="仿宋"/>
          <w:sz w:val="32"/>
          <w:szCs w:val="32"/>
        </w:rPr>
        <w:t xml:space="preserve">  通过以上分析汇总计算，整体得分</w:t>
      </w:r>
      <w:r>
        <w:rPr>
          <w:rFonts w:hint="eastAsia" w:ascii="仿宋" w:hAnsi="仿宋" w:eastAsia="仿宋" w:cs="仿宋"/>
          <w:sz w:val="32"/>
          <w:szCs w:val="32"/>
          <w:lang w:val="en-US" w:eastAsia="zh-CN"/>
        </w:rPr>
        <w:t>92.43分，</w:t>
      </w:r>
      <w:r>
        <w:rPr>
          <w:rFonts w:hint="eastAsia" w:ascii="仿宋" w:hAnsi="仿宋" w:eastAsia="仿宋" w:cs="仿宋"/>
          <w:sz w:val="32"/>
          <w:szCs w:val="32"/>
        </w:rPr>
        <w:t>评价等级</w:t>
      </w:r>
      <w:r>
        <w:rPr>
          <w:rFonts w:hint="eastAsia" w:ascii="仿宋_GB2312" w:hAnsi="仿宋_GB2312" w:eastAsia="仿宋_GB2312" w:cs="仿宋_GB2312"/>
          <w:sz w:val="32"/>
          <w:szCs w:val="32"/>
          <w:highlight w:val="none"/>
          <w:lang w:eastAsia="zh-CN"/>
        </w:rPr>
        <w:t>为优秀</w:t>
      </w:r>
      <w:r>
        <w:rPr>
          <w:rFonts w:hint="eastAsia" w:ascii="仿宋" w:hAnsi="仿宋" w:eastAsia="仿宋" w:cs="仿宋"/>
          <w:sz w:val="32"/>
          <w:szCs w:val="32"/>
        </w:rPr>
        <w:t>。</w:t>
      </w:r>
    </w:p>
    <w:p w14:paraId="37744A8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0E26A55B">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(一)针对存在的问题本部门需进一步细化部门项目指标，提高绩效指标设置的科学性，项目绩效评价指标做到详细可操作，更加合理地安排预算资金，减少预算调整事项。</w:t>
      </w:r>
    </w:p>
    <w:p w14:paraId="235DEE0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(二)在日常工作中加强对绩效工作相关数据的收集、汇总及保存，保证数据的及时性、准确性，从而提高预算绩效管理工作效率。</w:t>
      </w:r>
    </w:p>
    <w:p w14:paraId="4980C454">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加强绩效目标管理，以绩效目标为导向，优化资源配置为目的，提高财政资金使用绩效。做到预算编制严谨、预算执行到位，进一步优化预算绩效指标体系，设置可量化可衡量的预算绩效指标。对支出有延误的项目可以适当裁减预算资金，督促加快支出进度。</w:t>
      </w:r>
    </w:p>
    <w:p w14:paraId="13F942E1">
      <w:pPr>
        <w:snapToGrid w:val="0"/>
        <w:spacing w:line="560" w:lineRule="exact"/>
        <w:ind w:firstLine="640" w:firstLineChars="200"/>
        <w:rPr>
          <w:rFonts w:hint="eastAsia" w:ascii="楷体_GB2312" w:hAnsi="楷体_GB2312" w:eastAsia="楷体_GB2312" w:cs="楷体_GB2312"/>
          <w:bCs/>
          <w:sz w:val="32"/>
          <w:szCs w:val="32"/>
        </w:rPr>
      </w:pPr>
      <w:r>
        <w:rPr>
          <w:rFonts w:hint="eastAsia" w:ascii="仿宋" w:hAnsi="仿宋" w:eastAsia="仿宋" w:cs="仿宋"/>
          <w:sz w:val="32"/>
          <w:szCs w:val="32"/>
        </w:rPr>
        <w:t>(四)因计划下达较晚，部分项目实施进度不一，导致项目款支付较慢，下一步将督促项目实施进度，争取尽快将项目资金拨付出去。</w:t>
      </w:r>
    </w:p>
    <w:p w14:paraId="372548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7A3568B-ABA1-4A7D-94E6-A1FF29A8456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2000000000000000000"/>
    <w:charset w:val="86"/>
    <w:family w:val="auto"/>
    <w:pitch w:val="default"/>
    <w:sig w:usb0="00000000" w:usb1="00000000" w:usb2="00000012" w:usb3="00000000" w:csb0="00040001" w:csb1="00000000"/>
    <w:embedRegular r:id="rId2" w:fontKey="{9BB01138-0993-469E-9BB5-EA14A616CAF5}"/>
  </w:font>
  <w:font w:name="方正小标宋_GBK">
    <w:panose1 w:val="02000000000000000000"/>
    <w:charset w:val="86"/>
    <w:family w:val="auto"/>
    <w:pitch w:val="default"/>
    <w:sig w:usb0="A00002BF" w:usb1="38CF7CFA" w:usb2="00082016" w:usb3="00000000" w:csb0="00040001" w:csb1="00000000"/>
    <w:embedRegular r:id="rId3" w:fontKey="{8B870684-AC57-40B3-BB3D-7C0D19D846CD}"/>
  </w:font>
  <w:font w:name="楷体_GB2312">
    <w:altName w:val="楷体"/>
    <w:panose1 w:val="02010609030101010101"/>
    <w:charset w:val="86"/>
    <w:family w:val="auto"/>
    <w:pitch w:val="default"/>
    <w:sig w:usb0="00000000" w:usb1="00000000" w:usb2="00000000" w:usb3="00000000" w:csb0="00040000" w:csb1="00000000"/>
    <w:embedRegular r:id="rId4" w:fontKey="{889ECF9B-BDFC-4551-A7FA-C5F435B2DE10}"/>
  </w:font>
  <w:font w:name="仿宋_GB2312">
    <w:altName w:val="仿宋"/>
    <w:panose1 w:val="02010609030101010101"/>
    <w:charset w:val="86"/>
    <w:family w:val="auto"/>
    <w:pitch w:val="default"/>
    <w:sig w:usb0="00000000" w:usb1="00000000" w:usb2="00000000" w:usb3="00000000" w:csb0="00040000" w:csb1="00000000"/>
    <w:embedRegular r:id="rId5" w:fontKey="{129FBA44-F4F5-4D2E-B42A-08CBA84C933A}"/>
  </w:font>
  <w:font w:name="楷体">
    <w:panose1 w:val="02010609060101010101"/>
    <w:charset w:val="86"/>
    <w:family w:val="modern"/>
    <w:pitch w:val="default"/>
    <w:sig w:usb0="800002BF" w:usb1="38CF7CFA" w:usb2="00000016" w:usb3="00000000" w:csb0="00040001" w:csb1="00000000"/>
    <w:embedRegular r:id="rId6" w:fontKey="{9F1BF37A-296D-4D27-B5B0-9A98DB6C576F}"/>
  </w:font>
  <w:font w:name="国标宋体">
    <w:panose1 w:val="02000500000000000000"/>
    <w:charset w:val="86"/>
    <w:family w:val="auto"/>
    <w:pitch w:val="default"/>
    <w:sig w:usb0="00000001" w:usb1="28000000" w:usb2="00000000" w:usb3="00000000" w:csb0="00060007" w:csb1="00000000"/>
    <w:embedRegular r:id="rId7" w:fontKey="{67E887C4-F81A-42A6-9AF3-71F089CABD1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embedRegular r:id="rId8" w:fontKey="{E58C95EE-15B5-4100-9330-F86CE5147D4A}"/>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1FC82457"/>
    <w:rsid w:val="27EF5A03"/>
    <w:rsid w:val="2F98771D"/>
    <w:rsid w:val="2FE353D3"/>
    <w:rsid w:val="3DDE37D0"/>
    <w:rsid w:val="3F585387"/>
    <w:rsid w:val="3FFFD1B0"/>
    <w:rsid w:val="5366C1BB"/>
    <w:rsid w:val="58B8456C"/>
    <w:rsid w:val="5CFEBA53"/>
    <w:rsid w:val="5E2FC5CB"/>
    <w:rsid w:val="67F39597"/>
    <w:rsid w:val="69206851"/>
    <w:rsid w:val="73A54C74"/>
    <w:rsid w:val="796C4B79"/>
    <w:rsid w:val="7C7B0145"/>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 w:type="paragraph" w:customStyle="1" w:styleId="12">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15</Pages>
  <Words>614</Words>
  <Characters>633</Characters>
  <Lines>0</Lines>
  <Paragraphs>31</Paragraphs>
  <TotalTime>5</TotalTime>
  <ScaleCrop>false</ScaleCrop>
  <LinksUpToDate>false</LinksUpToDate>
  <CharactersWithSpaces>633</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HP</cp:lastModifiedBy>
  <cp:lastPrinted>2021-02-25T13:43:00Z</cp:lastPrinted>
  <dcterms:modified xsi:type="dcterms:W3CDTF">2026-05-13T10:17:16Z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