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nts/font6.odttf" ContentType="application/vnd.openxmlformats-officedocument.obfuscatedFont"/>
  <Override PartName="/word/fonts/font7.odttf" ContentType="application/vnd.openxmlformats-officedocument.obfuscatedFont"/>
  <Override PartName="/word/fonts/font8.odttf" ContentType="application/vnd.openxmlformats-officedocument.obfuscatedFont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4CC83E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</w:rPr>
        <w:t>附件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2：</w:t>
      </w:r>
    </w:p>
    <w:p w14:paraId="6FE62F9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right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  <w:t>藁城区退役军人事务局部门</w:t>
      </w:r>
    </w:p>
    <w:p w14:paraId="5642FCC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right="0"/>
        <w:jc w:val="center"/>
        <w:textAlignment w:val="auto"/>
        <w:outlineLvl w:val="9"/>
        <w:rPr>
          <w:rFonts w:hint="eastAsia" w:ascii="方正小标宋_GBK" w:hAnsi="方正小标宋_GBK" w:eastAsia="方正小标宋_GBK" w:cs="方正小标宋_GBK"/>
          <w:b/>
          <w:bCs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  <w:t>2025年度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  <w:t>整体支出绩效自评报告</w:t>
      </w:r>
      <w:bookmarkStart w:id="3" w:name="_GoBack"/>
      <w:bookmarkEnd w:id="3"/>
    </w:p>
    <w:p w14:paraId="1B69A03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right="0"/>
        <w:jc w:val="center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1C8F85F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为贯彻落实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区委区政府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《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关于全面落实预算绩效管理的实施意见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》（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藁发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〔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2019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〕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9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号）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文件精神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遵循“科学性、规范性、客观性和公正性”的原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则，现对本部门202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年度整体支出情况实施财政支出绩效评价，形成本评价报告。</w:t>
      </w:r>
    </w:p>
    <w:p w14:paraId="6F703EB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 w:firstLine="640" w:firstLineChars="200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</w:rPr>
        <w:t>一、</w:t>
      </w:r>
      <w:r>
        <w:rPr>
          <w:rFonts w:hint="eastAsia" w:ascii="黑体" w:hAnsi="黑体" w:eastAsia="黑体" w:cs="黑体"/>
          <w:sz w:val="32"/>
          <w:szCs w:val="32"/>
          <w:lang w:eastAsia="zh-CN"/>
        </w:rPr>
        <w:t>部门基本情况</w:t>
      </w:r>
    </w:p>
    <w:p w14:paraId="0FB1205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（一）部门概况</w:t>
      </w:r>
    </w:p>
    <w:p w14:paraId="0243872A">
      <w:pPr>
        <w:pStyle w:val="12"/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>1、双拥优抚安置政策及管理 组指导全市拥军优属活动。组织对优抚对象的优待、抚恤的政策落实，负责全市转业士官、退役士官及军队离退休干部、退休士官和无军籍退休退职职工接收安置工作。解决优抚对象的生活、住房、医疗困难，做好义务兵家庭优待和烈士褒扬工作。推行阳光安置，保障退役士兵合法权益；加强职业教育和技能培训，提高退役士兵参与社会竞争能力；按时足额发放各类经济补助。做好军队离退休干部、退休士官和军队无军籍退休退职职工接收安置工作，全面落实军休干部政治生活待遇。</w:t>
      </w:r>
    </w:p>
    <w:p w14:paraId="7D35FF5A">
      <w:pPr>
        <w:pStyle w:val="12"/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>2、优抚事业单位运行</w:t>
      </w:r>
    </w:p>
    <w:p w14:paraId="732731EB">
      <w:pPr>
        <w:pStyle w:val="12"/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>收养参加战争的无子女赡养的残疾军人，老复员军人，参战烈属。为革命老人服务，将光荣院建成革命教育基地和社会文明窗口，保障光荣院正常运行。</w:t>
      </w:r>
    </w:p>
    <w:p w14:paraId="25681C46">
      <w:pPr>
        <w:pStyle w:val="12"/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>3、优抚事业单位建设</w:t>
      </w:r>
    </w:p>
    <w:p w14:paraId="6339AE15">
      <w:pPr>
        <w:pStyle w:val="12"/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>负责园区内烈士纪念建筑物维护、管理工作：1、烈士纪念建筑物日常及定期维修、维护；2、园区内安全保卫、保洁工作；3、临时聘用人员工资支出等。确保烈士纪念建筑物整肃穆，为社会提供良好的瞻仰和教育的常场所，充分发挥爱国主义教育基地的作用。根据中华人民共和国国务院令第601号《烈士褒扬条例》，达到烈士纪念建筑物整洁、肃穆，为社会提供良好的瞻仰和教育的常场所，充分发挥爱国主义教育基地的作用。</w:t>
      </w:r>
    </w:p>
    <w:p w14:paraId="691961B2">
      <w:pPr>
        <w:pStyle w:val="12"/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>4、军休干部服务管理</w:t>
      </w:r>
    </w:p>
    <w:p w14:paraId="114959C0">
      <w:pPr>
        <w:pStyle w:val="12"/>
        <w:rPr>
          <w:rFonts w:hint="eastAsia" w:ascii="仿宋" w:hAnsi="仿宋" w:eastAsia="仿宋" w:cs="仿宋"/>
          <w:b/>
          <w:bCs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>参加政治学习、参观考察、发放补贴、重大节日走访慰问、开展文体活动，去世后丧葬事宜，落实各项政治待遇和生活待遇。</w:t>
      </w:r>
    </w:p>
    <w:p w14:paraId="419BFFDD">
      <w:pPr>
        <w:pStyle w:val="12"/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b/>
          <w:bCs/>
          <w:kern w:val="2"/>
          <w:sz w:val="32"/>
          <w:szCs w:val="32"/>
          <w:lang w:val="en-US" w:eastAsia="zh-CN" w:bidi="ar-SA"/>
        </w:rPr>
        <w:t>组织机构</w:t>
      </w: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>：</w:t>
      </w:r>
    </w:p>
    <w:tbl>
      <w:tblPr>
        <w:tblStyle w:val="7"/>
        <w:tblW w:w="9725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053"/>
        <w:gridCol w:w="1164"/>
        <w:gridCol w:w="1439"/>
        <w:gridCol w:w="3069"/>
      </w:tblGrid>
      <w:tr w14:paraId="5F71BAC0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9" w:hRule="atLeast"/>
          <w:tblHeader/>
          <w:jc w:val="center"/>
        </w:trPr>
        <w:tc>
          <w:tcPr>
            <w:tcW w:w="4053" w:type="dxa"/>
            <w:vAlign w:val="center"/>
          </w:tcPr>
          <w:p w14:paraId="406E7E8B">
            <w:pPr>
              <w:pStyle w:val="13"/>
            </w:pPr>
            <w:r>
              <w:t>单位名称</w:t>
            </w:r>
          </w:p>
        </w:tc>
        <w:tc>
          <w:tcPr>
            <w:tcW w:w="1164" w:type="dxa"/>
            <w:vAlign w:val="center"/>
          </w:tcPr>
          <w:p w14:paraId="7465B2C4">
            <w:pPr>
              <w:pStyle w:val="13"/>
            </w:pPr>
            <w:r>
              <w:t>单位性质</w:t>
            </w:r>
          </w:p>
        </w:tc>
        <w:tc>
          <w:tcPr>
            <w:tcW w:w="1439" w:type="dxa"/>
            <w:vAlign w:val="center"/>
          </w:tcPr>
          <w:p w14:paraId="7BB1E4A7">
            <w:pPr>
              <w:pStyle w:val="13"/>
            </w:pPr>
            <w:r>
              <w:t>单位规格</w:t>
            </w:r>
          </w:p>
        </w:tc>
        <w:tc>
          <w:tcPr>
            <w:tcW w:w="3069" w:type="dxa"/>
            <w:vAlign w:val="center"/>
          </w:tcPr>
          <w:p w14:paraId="4C3F425B">
            <w:pPr>
              <w:pStyle w:val="13"/>
            </w:pPr>
            <w:r>
              <w:t>经费保障形式</w:t>
            </w:r>
          </w:p>
        </w:tc>
      </w:tr>
      <w:tr w14:paraId="709D48D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9" w:hRule="atLeast"/>
          <w:jc w:val="center"/>
        </w:trPr>
        <w:tc>
          <w:tcPr>
            <w:tcW w:w="4053" w:type="dxa"/>
            <w:vAlign w:val="center"/>
          </w:tcPr>
          <w:p w14:paraId="75EFD886">
            <w:pPr>
              <w:pStyle w:val="14"/>
            </w:pPr>
            <w:r>
              <w:t>石家庄市藁城区退役军人事务局本级</w:t>
            </w:r>
          </w:p>
        </w:tc>
        <w:tc>
          <w:tcPr>
            <w:tcW w:w="1164" w:type="dxa"/>
            <w:vAlign w:val="center"/>
          </w:tcPr>
          <w:p w14:paraId="2CFD8907">
            <w:pPr>
              <w:pStyle w:val="15"/>
            </w:pPr>
            <w:r>
              <w:t>行政</w:t>
            </w:r>
          </w:p>
        </w:tc>
        <w:tc>
          <w:tcPr>
            <w:tcW w:w="1439" w:type="dxa"/>
            <w:vAlign w:val="center"/>
          </w:tcPr>
          <w:p w14:paraId="57564569">
            <w:pPr>
              <w:pStyle w:val="15"/>
            </w:pPr>
            <w:r>
              <w:t>正科级</w:t>
            </w:r>
          </w:p>
        </w:tc>
        <w:tc>
          <w:tcPr>
            <w:tcW w:w="3069" w:type="dxa"/>
            <w:vAlign w:val="center"/>
          </w:tcPr>
          <w:p w14:paraId="37B8DB28">
            <w:pPr>
              <w:pStyle w:val="15"/>
            </w:pPr>
            <w:r>
              <w:t>财政拨款</w:t>
            </w:r>
          </w:p>
        </w:tc>
      </w:tr>
      <w:tr w14:paraId="19DC31DD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9" w:hRule="atLeast"/>
          <w:jc w:val="center"/>
        </w:trPr>
        <w:tc>
          <w:tcPr>
            <w:tcW w:w="4053" w:type="dxa"/>
            <w:vAlign w:val="center"/>
          </w:tcPr>
          <w:p w14:paraId="2F2A01A2">
            <w:pPr>
              <w:pStyle w:val="14"/>
            </w:pPr>
            <w:r>
              <w:t>石家庄市藁城区光荣院</w:t>
            </w:r>
          </w:p>
        </w:tc>
        <w:tc>
          <w:tcPr>
            <w:tcW w:w="1164" w:type="dxa"/>
            <w:vAlign w:val="center"/>
          </w:tcPr>
          <w:p w14:paraId="29D80A88">
            <w:pPr>
              <w:pStyle w:val="15"/>
            </w:pPr>
            <w:r>
              <w:t>事业</w:t>
            </w:r>
          </w:p>
        </w:tc>
        <w:tc>
          <w:tcPr>
            <w:tcW w:w="1439" w:type="dxa"/>
            <w:vAlign w:val="center"/>
          </w:tcPr>
          <w:p w14:paraId="104B8895">
            <w:pPr>
              <w:pStyle w:val="15"/>
            </w:pPr>
            <w:r>
              <w:t>副科级</w:t>
            </w:r>
          </w:p>
        </w:tc>
        <w:tc>
          <w:tcPr>
            <w:tcW w:w="3069" w:type="dxa"/>
            <w:vAlign w:val="center"/>
          </w:tcPr>
          <w:p w14:paraId="21C13738">
            <w:pPr>
              <w:pStyle w:val="15"/>
            </w:pPr>
            <w:r>
              <w:t>财政性资金基本保证</w:t>
            </w:r>
          </w:p>
        </w:tc>
      </w:tr>
      <w:tr w14:paraId="594C863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9" w:hRule="atLeast"/>
          <w:jc w:val="center"/>
        </w:trPr>
        <w:tc>
          <w:tcPr>
            <w:tcW w:w="4053" w:type="dxa"/>
            <w:vAlign w:val="center"/>
          </w:tcPr>
          <w:p w14:paraId="5BE536BA">
            <w:pPr>
              <w:pStyle w:val="14"/>
            </w:pPr>
            <w:r>
              <w:t>石家庄市藁城区烈士陵园</w:t>
            </w:r>
          </w:p>
        </w:tc>
        <w:tc>
          <w:tcPr>
            <w:tcW w:w="1164" w:type="dxa"/>
            <w:vAlign w:val="center"/>
          </w:tcPr>
          <w:p w14:paraId="2C2F549A">
            <w:pPr>
              <w:pStyle w:val="15"/>
            </w:pPr>
            <w:r>
              <w:t>事业</w:t>
            </w:r>
          </w:p>
        </w:tc>
        <w:tc>
          <w:tcPr>
            <w:tcW w:w="1439" w:type="dxa"/>
            <w:vAlign w:val="center"/>
          </w:tcPr>
          <w:p w14:paraId="54404DBE">
            <w:pPr>
              <w:pStyle w:val="15"/>
            </w:pPr>
            <w:r>
              <w:t>副科级</w:t>
            </w:r>
          </w:p>
        </w:tc>
        <w:tc>
          <w:tcPr>
            <w:tcW w:w="3069" w:type="dxa"/>
            <w:vAlign w:val="center"/>
          </w:tcPr>
          <w:p w14:paraId="272A8C86">
            <w:pPr>
              <w:pStyle w:val="15"/>
            </w:pPr>
            <w:r>
              <w:t>财政性资金基本保证</w:t>
            </w:r>
          </w:p>
        </w:tc>
      </w:tr>
      <w:tr w14:paraId="361E6B8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9" w:hRule="atLeast"/>
          <w:jc w:val="center"/>
        </w:trPr>
        <w:tc>
          <w:tcPr>
            <w:tcW w:w="4053" w:type="dxa"/>
            <w:vAlign w:val="center"/>
          </w:tcPr>
          <w:p w14:paraId="461A1DFE">
            <w:pPr>
              <w:pStyle w:val="14"/>
            </w:pPr>
            <w:r>
              <w:t>石家庄市藁城区退役军人服务中心</w:t>
            </w:r>
          </w:p>
        </w:tc>
        <w:tc>
          <w:tcPr>
            <w:tcW w:w="1164" w:type="dxa"/>
            <w:vAlign w:val="center"/>
          </w:tcPr>
          <w:p w14:paraId="68C8E90B">
            <w:pPr>
              <w:pStyle w:val="15"/>
            </w:pPr>
            <w:r>
              <w:t>事业</w:t>
            </w:r>
          </w:p>
        </w:tc>
        <w:tc>
          <w:tcPr>
            <w:tcW w:w="1439" w:type="dxa"/>
            <w:vAlign w:val="center"/>
          </w:tcPr>
          <w:p w14:paraId="61E9E6B7">
            <w:pPr>
              <w:pStyle w:val="15"/>
            </w:pPr>
            <w:r>
              <w:t>副科级</w:t>
            </w:r>
          </w:p>
        </w:tc>
        <w:tc>
          <w:tcPr>
            <w:tcW w:w="3069" w:type="dxa"/>
            <w:vAlign w:val="center"/>
          </w:tcPr>
          <w:p w14:paraId="185FEE07">
            <w:pPr>
              <w:pStyle w:val="15"/>
            </w:pPr>
            <w:r>
              <w:t>财政性资金基本保证</w:t>
            </w:r>
          </w:p>
        </w:tc>
      </w:tr>
      <w:tr w14:paraId="09AF5F13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3" w:hRule="atLeast"/>
          <w:jc w:val="center"/>
        </w:trPr>
        <w:tc>
          <w:tcPr>
            <w:tcW w:w="4053" w:type="dxa"/>
            <w:vAlign w:val="center"/>
          </w:tcPr>
          <w:p w14:paraId="4A7E076E">
            <w:pPr>
              <w:pStyle w:val="14"/>
            </w:pPr>
            <w:r>
              <w:t>石家庄市藁城区军队离休退休干部休养所</w:t>
            </w:r>
          </w:p>
        </w:tc>
        <w:tc>
          <w:tcPr>
            <w:tcW w:w="1164" w:type="dxa"/>
            <w:vAlign w:val="center"/>
          </w:tcPr>
          <w:p w14:paraId="3C0CB408">
            <w:pPr>
              <w:pStyle w:val="15"/>
            </w:pPr>
            <w:r>
              <w:t>事业</w:t>
            </w:r>
          </w:p>
        </w:tc>
        <w:tc>
          <w:tcPr>
            <w:tcW w:w="1439" w:type="dxa"/>
            <w:vAlign w:val="center"/>
          </w:tcPr>
          <w:p w14:paraId="0312B082">
            <w:pPr>
              <w:pStyle w:val="15"/>
            </w:pPr>
            <w:r>
              <w:t>股级</w:t>
            </w:r>
          </w:p>
        </w:tc>
        <w:tc>
          <w:tcPr>
            <w:tcW w:w="3069" w:type="dxa"/>
            <w:vAlign w:val="center"/>
          </w:tcPr>
          <w:p w14:paraId="550C6EDD">
            <w:pPr>
              <w:pStyle w:val="15"/>
            </w:pPr>
            <w:r>
              <w:t>财政性资金基本保证</w:t>
            </w:r>
          </w:p>
        </w:tc>
      </w:tr>
    </w:tbl>
    <w:p w14:paraId="7CABDBE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</w:p>
    <w:p w14:paraId="24BD115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（二）部门收支预决算情况</w:t>
      </w:r>
    </w:p>
    <w:p w14:paraId="3471FC39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部门收支预决算情况</w:t>
      </w:r>
    </w:p>
    <w:p w14:paraId="0DACD716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firstLine="640" w:firstLineChars="200"/>
        <w:textAlignment w:val="auto"/>
        <w:rPr>
          <w:rFonts w:ascii="Times New Roman" w:hAnsi="Times New Roman" w:eastAsia="仿宋" w:cs="Times New Roman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本部门2025年预算收入</w:t>
      </w:r>
      <w:bookmarkStart w:id="0" w:name="OLE_LINK1"/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支出</w:t>
      </w:r>
      <w:bookmarkEnd w:id="0"/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18684.58万元，其中：一般公共预算收</w:t>
      </w:r>
      <w:r>
        <w:rPr>
          <w:rFonts w:hint="eastAsia" w:ascii="Times New Roman" w:hAnsi="Times New Roman" w:eastAsia="仿宋" w:cs="Times New Roman"/>
          <w:sz w:val="32"/>
          <w:szCs w:val="32"/>
        </w:rPr>
        <w:t>入</w:t>
      </w:r>
      <w:r>
        <w:rPr>
          <w:rFonts w:hint="eastAsia" w:eastAsia="仿宋" w:cs="Times New Roman"/>
          <w:sz w:val="32"/>
          <w:szCs w:val="32"/>
          <w:lang w:eastAsia="zh-CN"/>
        </w:rPr>
        <w:t>支出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18684.58</w:t>
      </w:r>
      <w:r>
        <w:rPr>
          <w:rFonts w:hint="eastAsia" w:ascii="Times New Roman" w:hAnsi="Times New Roman" w:eastAsia="仿宋" w:cs="Times New Roman"/>
          <w:sz w:val="32"/>
          <w:szCs w:val="32"/>
        </w:rPr>
        <w:t>万元，基金预算收入0万元，财政专户核拨收入0万元，其他来源收入0万元。</w:t>
      </w:r>
    </w:p>
    <w:p w14:paraId="66440DBB">
      <w:pPr>
        <w:numPr>
          <w:ilvl w:val="0"/>
          <w:numId w:val="0"/>
        </w:numPr>
        <w:spacing w:line="460" w:lineRule="exact"/>
        <w:ind w:firstLine="640" w:firstLineChars="200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本部门2025年决算收入支出为16721.79万元，</w:t>
      </w:r>
      <w:r>
        <w:rPr>
          <w:rFonts w:hint="eastAsia" w:ascii="Times New Roman" w:hAnsi="Times New Roman" w:eastAsia="仿宋" w:cs="Times New Roman"/>
          <w:sz w:val="32"/>
          <w:szCs w:val="32"/>
        </w:rPr>
        <w:t>其中：一般公共预算收入</w:t>
      </w:r>
      <w:r>
        <w:rPr>
          <w:rFonts w:hint="eastAsia" w:ascii="Times New Roman" w:hAnsi="Times New Roman" w:eastAsia="仿宋" w:cs="Times New Roman"/>
          <w:sz w:val="32"/>
          <w:szCs w:val="32"/>
          <w:lang w:eastAsia="zh-CN"/>
        </w:rPr>
        <w:t>支出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16721.79</w:t>
      </w:r>
      <w:r>
        <w:rPr>
          <w:rFonts w:hint="eastAsia" w:ascii="Times New Roman" w:hAnsi="Times New Roman" w:eastAsia="仿宋" w:cs="Times New Roman"/>
          <w:sz w:val="32"/>
          <w:szCs w:val="32"/>
        </w:rPr>
        <w:t>万元，基金预算收入</w:t>
      </w:r>
      <w:r>
        <w:rPr>
          <w:rFonts w:hint="eastAsia" w:ascii="Times New Roman" w:hAnsi="Times New Roman" w:eastAsia="仿宋" w:cs="Times New Roman"/>
          <w:sz w:val="32"/>
          <w:szCs w:val="32"/>
          <w:lang w:eastAsia="zh-CN"/>
        </w:rPr>
        <w:t>支出</w:t>
      </w:r>
      <w:r>
        <w:rPr>
          <w:rFonts w:hint="eastAsia" w:ascii="Times New Roman" w:hAnsi="Times New Roman" w:eastAsia="仿宋" w:cs="Times New Roman"/>
          <w:sz w:val="32"/>
          <w:szCs w:val="32"/>
        </w:rPr>
        <w:t>0万元，财政专户核拨收入</w:t>
      </w:r>
      <w:r>
        <w:rPr>
          <w:rFonts w:hint="eastAsia" w:ascii="Times New Roman" w:hAnsi="Times New Roman" w:eastAsia="仿宋" w:cs="Times New Roman"/>
          <w:sz w:val="32"/>
          <w:szCs w:val="32"/>
          <w:lang w:eastAsia="zh-CN"/>
        </w:rPr>
        <w:t>支出</w:t>
      </w:r>
      <w:r>
        <w:rPr>
          <w:rFonts w:hint="eastAsia" w:ascii="Times New Roman" w:hAnsi="Times New Roman" w:eastAsia="仿宋" w:cs="Times New Roman"/>
          <w:sz w:val="32"/>
          <w:szCs w:val="32"/>
        </w:rPr>
        <w:t>0万元，其他来源收入</w:t>
      </w:r>
      <w:r>
        <w:rPr>
          <w:rFonts w:hint="eastAsia" w:ascii="Times New Roman" w:hAnsi="Times New Roman" w:eastAsia="仿宋" w:cs="Times New Roman"/>
          <w:sz w:val="32"/>
          <w:szCs w:val="32"/>
          <w:lang w:eastAsia="zh-CN"/>
        </w:rPr>
        <w:t>支出</w:t>
      </w:r>
      <w:r>
        <w:rPr>
          <w:rFonts w:hint="eastAsia" w:ascii="Times New Roman" w:hAnsi="Times New Roman" w:eastAsia="仿宋" w:cs="Times New Roman"/>
          <w:sz w:val="32"/>
          <w:szCs w:val="32"/>
        </w:rPr>
        <w:t>0万元。</w:t>
      </w:r>
    </w:p>
    <w:p w14:paraId="0898096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（三）部门整体支出绩效目标、指标</w:t>
      </w:r>
    </w:p>
    <w:p w14:paraId="74006739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Times New Roman" w:hAnsi="Times New Roman" w:eastAsia="仿宋" w:cs="Times New Roman"/>
          <w:sz w:val="32"/>
          <w:szCs w:val="32"/>
          <w:lang w:val="en-US" w:eastAsia="zh-CN"/>
        </w:rPr>
        <w:t>以习近平总书记关于退役军人事务工作的重要指示为依据，全面深入贯彻中央、省市区退役军人事务的决策部署，以“让退役军人和优抚对象满意”为目标，实现区镇村三级退役军人服务站全覆盖，推进“两站一中心”建设，建立健全各级退役军人就业、退役军人信息保障、党员管理台账等；突出做好来访接待，权益保障工作，退役军人信访接待稳步推进，争取达到零上访，加大政策欠账保障工作，保障退役军人合法权益；做好退役军人就业创业工作，保障不超过150人进行职业技能教育培训，培训合格率达到95%以上；开展党建工作，提升退役军人党员教育管理水平，推进思想政治教育；救助困难退役军人；推行“阳光安置”政策安置率达到95%以上。推进光荣院，烈士陵园环境提升，“两节”对各类优抚对象、驻藁部队走访慰问，解决退役军人生活困难，营造拥军优属的社会氛围。</w:t>
      </w:r>
    </w:p>
    <w:p w14:paraId="4FFE5372"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right="0" w:firstLine="640" w:firstLineChars="200"/>
        <w:textAlignment w:val="auto"/>
        <w:outlineLvl w:val="9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自评工作开展</w:t>
      </w:r>
      <w:r>
        <w:rPr>
          <w:rFonts w:hint="eastAsia" w:ascii="黑体" w:hAnsi="黑体" w:eastAsia="黑体" w:cs="黑体"/>
          <w:sz w:val="32"/>
          <w:szCs w:val="32"/>
        </w:rPr>
        <w:t>情况</w:t>
      </w:r>
    </w:p>
    <w:p w14:paraId="48185CB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right="0" w:firstLine="640" w:firstLineChars="200"/>
        <w:textAlignment w:val="auto"/>
        <w:outlineLvl w:val="9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（一）自评的组织工作</w:t>
      </w:r>
    </w:p>
    <w:p w14:paraId="439693B7"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由财务室牵头，设立专门绩效工作评价小组，专人负责。</w:t>
      </w:r>
      <w:r>
        <w:rPr>
          <w:rFonts w:hint="eastAsia" w:ascii="仿宋" w:hAnsi="仿宋" w:eastAsia="仿宋" w:cs="仿宋"/>
          <w:sz w:val="32"/>
          <w:szCs w:val="32"/>
        </w:rPr>
        <w:t>通过绩效自评结果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与</w:t>
      </w:r>
      <w:r>
        <w:rPr>
          <w:rFonts w:hint="eastAsia" w:ascii="仿宋" w:hAnsi="仿宋" w:eastAsia="仿宋" w:cs="仿宋"/>
          <w:sz w:val="32"/>
          <w:szCs w:val="32"/>
        </w:rPr>
        <w:t>年初绩效目标设定质量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进行对比</w:t>
      </w:r>
      <w:r>
        <w:rPr>
          <w:rFonts w:hint="eastAsia" w:ascii="仿宋" w:hAnsi="仿宋" w:eastAsia="仿宋" w:cs="仿宋"/>
          <w:sz w:val="32"/>
          <w:szCs w:val="32"/>
        </w:rPr>
        <w:t>，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我部门设置的数量指标、质量指标、成本指标、社会效益指标、可持续影响指标等绩效目标均已完成，并且</w:t>
      </w:r>
      <w:r>
        <w:rPr>
          <w:rFonts w:hint="eastAsia" w:ascii="仿宋" w:hAnsi="仿宋" w:eastAsia="仿宋" w:cs="仿宋"/>
          <w:sz w:val="32"/>
          <w:szCs w:val="32"/>
        </w:rPr>
        <w:t>绩效目标设定清晰准确，全面完整、科学合理，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涉及产出指标、效益指标、满意度指标等，</w:t>
      </w:r>
      <w:r>
        <w:rPr>
          <w:rFonts w:hint="eastAsia" w:ascii="仿宋" w:hAnsi="仿宋" w:eastAsia="仿宋" w:cs="仿宋"/>
          <w:sz w:val="32"/>
          <w:szCs w:val="32"/>
        </w:rPr>
        <w:t>绩效标准恰当适宜、易于评价。</w:t>
      </w:r>
    </w:p>
    <w:p w14:paraId="0816BE6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  <w:lang w:eastAsia="zh-CN"/>
        </w:rPr>
        <w:t>（二）</w:t>
      </w:r>
      <w:r>
        <w:rPr>
          <w:rFonts w:hint="eastAsia" w:ascii="楷体_GB2312" w:hAnsi="楷体_GB2312" w:eastAsia="楷体_GB2312" w:cs="楷体_GB2312"/>
          <w:bCs/>
          <w:sz w:val="32"/>
          <w:szCs w:val="32"/>
        </w:rPr>
        <w:t>自评的方法和过程</w:t>
      </w:r>
    </w:p>
    <w:p w14:paraId="7A810B90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overflowPunct/>
        <w:topLinePunct w:val="0"/>
        <w:autoSpaceDE/>
        <w:autoSpaceDN/>
        <w:bidi w:val="0"/>
        <w:spacing w:line="560" w:lineRule="exact"/>
        <w:ind w:firstLine="640" w:firstLineChars="200"/>
        <w:jc w:val="both"/>
        <w:textAlignment w:val="auto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按照财政系统中的收支记录，对资金来源去向做到了解，按照支出的实际情况对支出进度、金额进行总结评价，最终完成绩效自评。</w:t>
      </w:r>
    </w:p>
    <w:p w14:paraId="5EE44D1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right="0" w:firstLine="640" w:firstLineChars="200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三、部门整体支出绩效目标实现情况及指标分析</w:t>
      </w:r>
    </w:p>
    <w:p w14:paraId="2E5EB05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  <w:lang w:eastAsia="zh-CN"/>
        </w:rPr>
        <w:t>（一）</w:t>
      </w:r>
      <w:r>
        <w:rPr>
          <w:rFonts w:hint="eastAsia" w:ascii="楷体_GB2312" w:hAnsi="楷体_GB2312" w:eastAsia="楷体_GB2312" w:cs="楷体_GB2312"/>
          <w:bCs/>
          <w:sz w:val="32"/>
          <w:szCs w:val="32"/>
        </w:rPr>
        <w:t>总体绩效目标实现情况</w:t>
      </w:r>
    </w:p>
    <w:p w14:paraId="5BED96ED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overflowPunct/>
        <w:topLinePunct w:val="0"/>
        <w:autoSpaceDE/>
        <w:autoSpaceDN/>
        <w:bidi w:val="0"/>
        <w:spacing w:line="560" w:lineRule="exact"/>
        <w:ind w:firstLine="640" w:firstLineChars="200"/>
        <w:jc w:val="both"/>
        <w:textAlignment w:val="auto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完成优抚对象抚恤及其他补助发放工作，补助人数达到100%；做好退役军人就业创业工作，保障不超过150人进行职业技能教育培训，培训合格率达到95%以上；推行“阳光安置”政策安置率达到95%以上，及时发放待安置期间生活补助、补缴养老医疗保险等。推进光荣院，烈士陵园环境提升，“两节”对各类优抚对象、驻藁部队走访慰问，解决退役军人生活困难，营造拥军优属的社会氛围。</w:t>
      </w:r>
    </w:p>
    <w:p w14:paraId="473EE32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ascii="楷体" w:hAnsi="楷体" w:eastAsia="楷体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（二）分项绩效目标实现情况及指标分析</w:t>
      </w:r>
    </w:p>
    <w:p w14:paraId="4FFC577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绩效目标：</w:t>
      </w:r>
      <w:bookmarkStart w:id="1" w:name="OLE_LINK8"/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深入开展政策落实“回头看”，突出矛盾化解，切实维护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安排至各单位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退役军人合法权益。</w:t>
      </w:r>
      <w:bookmarkEnd w:id="1"/>
    </w:p>
    <w:p w14:paraId="3AD89A8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绩效指标：统筹推进区直各单位、各部门实行“单位领导包干、区领导整体推进”的办法，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保障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率到达95％以上。</w:t>
      </w:r>
    </w:p>
    <w:p w14:paraId="60C814C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完成情况：及时解决退役士兵遗留问题，保障退役军人合法权益，预算执行率达到100%，绩效评分100分。</w:t>
      </w:r>
    </w:p>
    <w:p w14:paraId="4754881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绩效目标：完善退役军人信访工作制度，按照《藁城区退役军人事务工作来访接待处置预案（试行）》及配套制度，规范来访接待和信访事项受理、交办、转办、反馈和督办工作；落实好领导接访约访制度，每周有1名县级领导到退役军人事务部门接访，区每天有1名党政领导班子成员在信访部门接访，每天有1名事务局领导在区退役服务中心接访；坚持落实领导带班接访和约访制度，各级接待退役军人要突出做好政策解释和矛盾化解工作，及时回应退役军人的诉求。</w:t>
      </w:r>
    </w:p>
    <w:p w14:paraId="5EC2FEA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 xml:space="preserve"> 绩效指标：退役军人来访接待率达到100％，信访接待、答复、满意率达到95％以上；</w:t>
      </w:r>
    </w:p>
    <w:p w14:paraId="7C3857F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完成情况：每年至少接访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5次，保障我区退役军人事务上访“零登记”，群众满意度95%以上，预算执行率99.51%，绩效评分98分。</w:t>
      </w:r>
    </w:p>
    <w:p w14:paraId="62EFB7E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绩效目标：落实好中央、省、市区退役军人政策，在加持原则的基础上，充分考虑退役军人的实际困难，将政策最大化的惠及广大退役军人，在窗口单位实行退役军人和现役军人优先政策，坚持好为退役军人送喜报和悬挂光荣牌工作。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慰问不少于5个驻藁部队，每年两次走访慰问各类优抚对象，使其感受党和国家的关怀。</w:t>
      </w:r>
    </w:p>
    <w:p w14:paraId="571B307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 xml:space="preserve"> 绩效指标：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慰问不少于5个驻藁部队，每年两次走访慰问各类优抚对象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、悬挂光荣牌、送喜报覆盖率达到100％；保障入住光荣院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5位老人基本生活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；烈士陵园每年开展少于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1次烈士公祭活动，营造红色基地教育氛围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；落实保障军休干部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26人，遗属14人、无军籍职工3人、</w:t>
      </w:r>
      <w:bookmarkStart w:id="2" w:name="OLE_LINK3"/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逐月领取退役金军人</w:t>
      </w:r>
      <w:bookmarkEnd w:id="2"/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1人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政治生活待遇。</w:t>
      </w:r>
    </w:p>
    <w:p w14:paraId="4E7BA7B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完成情况：慰问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5个部队，走访慰问优抚对象，举办3次烈士公祭活动，营造双拥氛围，保障军休干部遗属无军籍职工及逐月领取退役金军人44人，预算执行率达到95%以上，服务对象满意度95%以上，绩效评分100分。</w:t>
      </w:r>
    </w:p>
    <w:p w14:paraId="1D438C2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绩效目标：大力推行符合政策退役军人“阳光安置”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,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对安置方法、安置程序、岗位设置、福利待遇等问题进行系统研究，针对档案评分、考试得分、次序排列、岗位公示、选岗过程、移交落岗等6个安置环节，全程实行“四个透明”，暨：成绩透明、排名透明、公示透明、选岗透明。为了把安置政策落到实处，不晃虚枪，按照退役军人移交安置“三明确、两落实、一公示”的思路，即任务明确、对象明确、岗位明确，做到“人员编制落实、工资待遇落实”，“社会公示及时”的办法，提前做好各种准备工作，真正做到“公开、公平、公正”。及时拨付待安置期间生活补助及医疗保险补助等。</w:t>
      </w:r>
    </w:p>
    <w:p w14:paraId="2600EB4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绩效指标：符合条件退役军人安置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人数不超过50人，安置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率达到95％，及时拨付生活补助及保险补助；</w:t>
      </w:r>
    </w:p>
    <w:p w14:paraId="18C9759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完成情况：安置退役军人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42人，逐月发放待安置期间生活费及缴纳医疗保险，安置率达到100%，预算执行率为100%，退役士兵满意度95%以上，绩效评分100分。</w:t>
      </w:r>
    </w:p>
    <w:p w14:paraId="0BC81D7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right="0" w:firstLine="640" w:firstLineChars="200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四、评价结论和评价等级</w:t>
      </w:r>
    </w:p>
    <w:p w14:paraId="59A721F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我部门全年项目包括</w:t>
      </w:r>
      <w:r>
        <w:rPr>
          <w:rFonts w:hint="eastAsia" w:ascii="仿宋" w:hAnsi="仿宋" w:eastAsia="仿宋" w:cs="仿宋"/>
          <w:color w:val="auto"/>
          <w:sz w:val="32"/>
          <w:szCs w:val="32"/>
          <w:highlight w:val="none"/>
          <w:lang w:val="en-US" w:eastAsia="zh-CN"/>
        </w:rPr>
        <w:t>71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项，其总体绩效目标为</w:t>
      </w:r>
      <w:r>
        <w:rPr>
          <w:rFonts w:hint="eastAsia" w:ascii="Times New Roman" w:hAnsi="Times New Roman" w:eastAsia="仿宋" w:cs="Times New Roman"/>
          <w:sz w:val="32"/>
          <w:szCs w:val="32"/>
        </w:rPr>
        <w:t>建立健全各级退役军人</w:t>
      </w:r>
      <w:r>
        <w:rPr>
          <w:rFonts w:hint="eastAsia" w:ascii="Times New Roman" w:hAnsi="Times New Roman" w:eastAsia="仿宋" w:cs="Times New Roman"/>
          <w:sz w:val="32"/>
          <w:szCs w:val="32"/>
          <w:lang w:eastAsia="zh-CN"/>
        </w:rPr>
        <w:t>就业、退役军人信息保障、党员管理</w:t>
      </w:r>
      <w:r>
        <w:rPr>
          <w:rFonts w:hint="eastAsia" w:ascii="Times New Roman" w:hAnsi="Times New Roman" w:eastAsia="仿宋" w:cs="Times New Roman"/>
          <w:sz w:val="32"/>
          <w:szCs w:val="32"/>
        </w:rPr>
        <w:t>台账</w:t>
      </w:r>
      <w:r>
        <w:rPr>
          <w:rFonts w:hint="eastAsia" w:ascii="Times New Roman" w:hAnsi="Times New Roman" w:eastAsia="仿宋" w:cs="Times New Roman"/>
          <w:sz w:val="32"/>
          <w:szCs w:val="32"/>
          <w:lang w:eastAsia="zh-CN"/>
        </w:rPr>
        <w:t>等</w:t>
      </w:r>
      <w:r>
        <w:rPr>
          <w:rFonts w:hint="eastAsia" w:ascii="Times New Roman" w:hAnsi="Times New Roman" w:eastAsia="仿宋" w:cs="Times New Roman"/>
          <w:sz w:val="32"/>
          <w:szCs w:val="32"/>
        </w:rPr>
        <w:t>；突出做好来访接待，权益保障工作，退役军人信访接待稳步推进</w:t>
      </w:r>
      <w:r>
        <w:rPr>
          <w:rFonts w:hint="eastAsia" w:ascii="Times New Roman" w:hAnsi="Times New Roman" w:eastAsia="仿宋" w:cs="Times New Roman"/>
          <w:sz w:val="32"/>
          <w:szCs w:val="32"/>
          <w:lang w:eastAsia="zh-CN"/>
        </w:rPr>
        <w:t>，争取达到零上访</w:t>
      </w:r>
      <w:r>
        <w:rPr>
          <w:rFonts w:hint="eastAsia" w:ascii="Times New Roman" w:hAnsi="Times New Roman" w:eastAsia="仿宋" w:cs="Times New Roman"/>
          <w:sz w:val="32"/>
          <w:szCs w:val="32"/>
        </w:rPr>
        <w:t>，加大政策欠账</w:t>
      </w:r>
      <w:r>
        <w:rPr>
          <w:rFonts w:hint="eastAsia" w:ascii="Times New Roman" w:hAnsi="Times New Roman" w:eastAsia="仿宋" w:cs="Times New Roman"/>
          <w:sz w:val="32"/>
          <w:szCs w:val="32"/>
          <w:lang w:eastAsia="zh-CN"/>
        </w:rPr>
        <w:t>保障</w:t>
      </w:r>
      <w:r>
        <w:rPr>
          <w:rFonts w:hint="eastAsia" w:ascii="Times New Roman" w:hAnsi="Times New Roman" w:eastAsia="仿宋" w:cs="Times New Roman"/>
          <w:sz w:val="32"/>
          <w:szCs w:val="32"/>
        </w:rPr>
        <w:t>工作，保障退役军人合法权益；做好退役军人就业创业工作，</w:t>
      </w:r>
      <w:r>
        <w:rPr>
          <w:rFonts w:hint="eastAsia" w:ascii="Times New Roman" w:hAnsi="Times New Roman" w:eastAsia="仿宋" w:cs="Times New Roman"/>
          <w:sz w:val="32"/>
          <w:szCs w:val="32"/>
          <w:lang w:eastAsia="zh-CN"/>
        </w:rPr>
        <w:t>保障不超过</w:t>
      </w:r>
      <w:r>
        <w:rPr>
          <w:rFonts w:hint="eastAsia" w:ascii="Times New Roman" w:hAnsi="Times New Roman" w:eastAsia="仿宋" w:cs="Times New Roman"/>
          <w:sz w:val="32"/>
          <w:szCs w:val="32"/>
          <w:lang w:val="en-US" w:eastAsia="zh-CN"/>
        </w:rPr>
        <w:t>150人进行职业技能教育培训，培训合格率达到95%以上；</w:t>
      </w:r>
      <w:r>
        <w:rPr>
          <w:rFonts w:hint="eastAsia" w:ascii="Times New Roman" w:hAnsi="Times New Roman" w:eastAsia="仿宋" w:cs="Times New Roman"/>
          <w:sz w:val="32"/>
          <w:szCs w:val="32"/>
        </w:rPr>
        <w:t>救助困难退役军人；推行“阳光安置”政策</w:t>
      </w:r>
      <w:r>
        <w:rPr>
          <w:rFonts w:hint="eastAsia" w:ascii="Times New Roman" w:hAnsi="Times New Roman" w:eastAsia="仿宋" w:cs="Times New Roman"/>
          <w:sz w:val="32"/>
          <w:szCs w:val="32"/>
          <w:lang w:eastAsia="zh-CN"/>
        </w:rPr>
        <w:t>安置率达到</w:t>
      </w:r>
      <w:r>
        <w:rPr>
          <w:rFonts w:hint="eastAsia" w:ascii="Times New Roman" w:hAnsi="Times New Roman" w:eastAsia="仿宋" w:cs="Times New Roman"/>
          <w:sz w:val="32"/>
          <w:szCs w:val="32"/>
          <w:lang w:val="en-US" w:eastAsia="zh-CN"/>
        </w:rPr>
        <w:t>95%以上</w:t>
      </w:r>
      <w:r>
        <w:rPr>
          <w:rFonts w:hint="eastAsia" w:ascii="Times New Roman" w:hAnsi="Times New Roman" w:eastAsia="仿宋" w:cs="Times New Roman"/>
          <w:sz w:val="32"/>
          <w:szCs w:val="32"/>
        </w:rPr>
        <w:t>。推进光荣院，烈士陵园环境提升，</w:t>
      </w:r>
      <w:r>
        <w:rPr>
          <w:rFonts w:hint="eastAsia" w:ascii="Times New Roman" w:hAnsi="Times New Roman" w:eastAsia="仿宋" w:cs="Times New Roman"/>
          <w:sz w:val="32"/>
          <w:szCs w:val="32"/>
          <w:lang w:eastAsia="zh-CN"/>
        </w:rPr>
        <w:t>“两节”对各类优抚对象、驻藁部队走访慰问，解决退役军人生活困难，</w:t>
      </w:r>
      <w:r>
        <w:rPr>
          <w:rFonts w:hint="eastAsia" w:ascii="Times New Roman" w:hAnsi="Times New Roman" w:eastAsia="仿宋" w:cs="Times New Roman"/>
          <w:sz w:val="32"/>
          <w:szCs w:val="32"/>
        </w:rPr>
        <w:t>营造拥军优属的社会氛围。</w:t>
      </w:r>
      <w:r>
        <w:rPr>
          <w:rFonts w:hint="eastAsia" w:ascii="Times New Roman" w:hAnsi="Times New Roman" w:eastAsia="仿宋" w:cs="Times New Roman"/>
          <w:sz w:val="32"/>
          <w:szCs w:val="32"/>
          <w:lang w:eastAsia="zh-CN"/>
        </w:rPr>
        <w:t>数量指标为全区优抚对象人数及符合相关政策退役军人人数，已全部保障，质量指标为资金应发放额占总金额比例，此项目标已达成，资金全额发放，所占比例</w:t>
      </w:r>
      <w:r>
        <w:rPr>
          <w:rFonts w:hint="eastAsia" w:ascii="Times New Roman" w:hAnsi="Times New Roman" w:eastAsia="仿宋" w:cs="Times New Roman"/>
          <w:sz w:val="32"/>
          <w:szCs w:val="32"/>
          <w:lang w:val="en-US" w:eastAsia="zh-CN"/>
        </w:rPr>
        <w:t>100%，时效指标为资金发放时间，已全在时间节点内全部发放，成本指标为预算金额数，小于等于全年预算数，严格控制成本，社会效益指标为保障退役军人合法权益，营造爱国拥军社会氛围，此项目标完成率100%，服务对象满意度达到90%以上。部门综合得分</w:t>
      </w:r>
      <w:r>
        <w:rPr>
          <w:rFonts w:hint="eastAsia" w:eastAsia="仿宋" w:cs="Times New Roman"/>
          <w:sz w:val="32"/>
          <w:szCs w:val="32"/>
          <w:lang w:val="en-US" w:eastAsia="zh-CN"/>
        </w:rPr>
        <w:t>99.07</w:t>
      </w:r>
      <w:r>
        <w:rPr>
          <w:rFonts w:hint="eastAsia" w:ascii="Times New Roman" w:hAnsi="Times New Roman" w:eastAsia="仿宋" w:cs="Times New Roman"/>
          <w:sz w:val="32"/>
          <w:szCs w:val="32"/>
          <w:lang w:val="en-US" w:eastAsia="zh-CN"/>
        </w:rPr>
        <w:t>分，评价等级优秀。</w:t>
      </w:r>
    </w:p>
    <w:p w14:paraId="143A593E">
      <w:pPr>
        <w:keepNext w:val="0"/>
        <w:keepLines w:val="0"/>
        <w:pageBreakBefore w:val="0"/>
        <w:widowControl w:val="0"/>
        <w:numPr>
          <w:ilvl w:val="0"/>
          <w:numId w:val="3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right="0" w:firstLine="640" w:firstLineChars="200"/>
        <w:textAlignment w:val="auto"/>
        <w:outlineLvl w:val="9"/>
        <w:rPr>
          <w:rFonts w:hint="eastAsia"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存在的问题及改进措施</w:t>
      </w:r>
    </w:p>
    <w:p w14:paraId="7D0277F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（一）存在的主要问题</w:t>
      </w:r>
    </w:p>
    <w:p w14:paraId="134D18C1"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目前，我部门无存在问题。下一步工作将继续健全绩效自评制度，落实相关政策，与各科室及时沟通，掌握绩效自评最新工作进程，严格按照时间节点上报。并根据相关业务要求，及时调整项目设立，优化资金用途，提高资金利用率</w:t>
      </w:r>
      <w:r>
        <w:rPr>
          <w:rFonts w:hint="eastAsia" w:ascii="仿宋" w:hAnsi="仿宋" w:eastAsia="仿宋" w:cs="仿宋"/>
          <w:sz w:val="32"/>
          <w:szCs w:val="32"/>
        </w:rPr>
        <w:t>。</w:t>
      </w:r>
    </w:p>
    <w:p w14:paraId="4462242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（二）针对问题提出具体的改进措施或建议</w:t>
      </w:r>
    </w:p>
    <w:p w14:paraId="277138B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无</w:t>
      </w:r>
    </w:p>
    <w:sectPr>
      <w:headerReference r:id="rId3" w:type="default"/>
      <w:footerReference r:id="rId4" w:type="default"/>
      <w:pgSz w:w="11906" w:h="16838"/>
      <w:pgMar w:top="2098" w:right="1474" w:bottom="1984" w:left="1587" w:header="851" w:footer="1701" w:gutter="0"/>
      <w:pgNumType w:fmt="numberInDash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  <w:embedRegular r:id="rId1" w:fontKey="{9983E435-9AE5-42BE-9227-58FE912A1FFB}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2" w:fontKey="{5D0F68C9-A28F-4931-AF6E-7031466F06CB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仿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方正书宋_GBK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方正小标宋_GBK">
    <w:altName w:val="微软雅黑"/>
    <w:panose1 w:val="02000000000000000000"/>
    <w:charset w:val="86"/>
    <w:family w:val="auto"/>
    <w:pitch w:val="default"/>
    <w:sig w:usb0="00000000" w:usb1="00000000" w:usb2="00000000" w:usb3="00000000" w:csb0="00040000" w:csb1="00000000"/>
    <w:embedRegular r:id="rId3" w:fontKey="{D2E9628C-FEC5-48F7-BDEC-29C76C9EB066}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  <w:embedRegular r:id="rId4" w:fontKey="{EBE57DD7-57E3-4840-BA46-5726D504AB17}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5" w:fontKey="{26A987B7-CFC3-421F-9A44-4E767D0097B5}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6" w:fontKey="{F3715985-AC0C-4517-8A6C-FC3835A5ECB1}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7" w:fontKey="{94501F9A-8385-427D-9430-7DA37A160D9B}"/>
  </w:font>
  <w:font w:name="国标宋体">
    <w:altName w:val="宋体"/>
    <w:panose1 w:val="02000500000000000000"/>
    <w:charset w:val="86"/>
    <w:family w:val="auto"/>
    <w:pitch w:val="default"/>
    <w:sig w:usb0="00000000" w:usb1="00000000" w:usb2="00000000" w:usb3="00000000" w:csb0="00060007" w:csb1="00000000"/>
    <w:embedRegular r:id="rId8" w:fontKey="{B28D07F2-D811-4547-81A7-38041A95CC6B}"/>
  </w:font>
  <w:font w:name="KSOFE44F9426">
    <w:panose1 w:val="02010609060101010101"/>
    <w:charset w:val="86"/>
    <w:family w:val="auto"/>
    <w:pitch w:val="default"/>
    <w:sig w:usb0="00000001" w:usb1="00000000" w:usb2="00000000" w:usb3="00000000" w:csb0="00040001" w:csb1="00000000"/>
  </w:font>
  <w:font w:name="WPSEMBED1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FD343CD">
    <w:r>
      <w:rPr>
        <w:sz w:val="21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67EF1C2E">
                          <w:pPr>
                            <w:pStyle w:val="5"/>
                            <w:rPr>
                              <w:rFonts w:hint="eastAsia" w:ascii="国标宋体" w:hAnsi="国标宋体" w:eastAsia="国标宋体" w:cs="国标宋体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="国标宋体" w:hAnsi="国标宋体" w:eastAsia="国标宋体" w:cs="国标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国标宋体" w:hAnsi="国标宋体" w:eastAsia="国标宋体" w:cs="国标宋体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国标宋体" w:hAnsi="国标宋体" w:eastAsia="国标宋体" w:cs="国标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国标宋体" w:hAnsi="国标宋体" w:eastAsia="国标宋体" w:cs="国标宋体"/>
                              <w:sz w:val="28"/>
                              <w:szCs w:val="28"/>
                            </w:rPr>
                            <w:t>- 1 -</w:t>
                          </w:r>
                          <w:r>
                            <w:rPr>
                              <w:rFonts w:hint="eastAsia" w:ascii="国标宋体" w:hAnsi="国标宋体" w:eastAsia="国标宋体" w:cs="国标宋体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67EF1C2E">
                    <w:pPr>
                      <w:pStyle w:val="5"/>
                      <w:rPr>
                        <w:rFonts w:hint="eastAsia" w:ascii="国标宋体" w:hAnsi="国标宋体" w:eastAsia="国标宋体" w:cs="国标宋体"/>
                        <w:sz w:val="28"/>
                        <w:szCs w:val="28"/>
                      </w:rPr>
                    </w:pPr>
                    <w:r>
                      <w:rPr>
                        <w:rFonts w:hint="eastAsia" w:ascii="国标宋体" w:hAnsi="国标宋体" w:eastAsia="国标宋体" w:cs="国标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国标宋体" w:hAnsi="国标宋体" w:eastAsia="国标宋体" w:cs="国标宋体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国标宋体" w:hAnsi="国标宋体" w:eastAsia="国标宋体" w:cs="国标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国标宋体" w:hAnsi="国标宋体" w:eastAsia="国标宋体" w:cs="国标宋体"/>
                        <w:sz w:val="28"/>
                        <w:szCs w:val="28"/>
                      </w:rPr>
                      <w:t>- 1 -</w:t>
                    </w:r>
                    <w:r>
                      <w:rPr>
                        <w:rFonts w:hint="eastAsia" w:ascii="国标宋体" w:hAnsi="国标宋体" w:eastAsia="国标宋体" w:cs="国标宋体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08BE73B">
    <w:pPr>
      <w:pStyle w:val="6"/>
      <w:pBdr>
        <w:bottom w:val="none" w:color="auto" w:sz="0" w:space="1"/>
      </w:pBd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98E0822F"/>
    <w:multiLevelType w:val="singleLevel"/>
    <w:tmpl w:val="98E0822F"/>
    <w:lvl w:ilvl="0" w:tentative="0">
      <w:start w:val="2"/>
      <w:numFmt w:val="chineseCounting"/>
      <w:suff w:val="nothing"/>
      <w:lvlText w:val="%1、"/>
      <w:lvlJc w:val="left"/>
      <w:rPr>
        <w:rFonts w:hint="eastAsia"/>
      </w:rPr>
    </w:lvl>
  </w:abstractNum>
  <w:abstractNum w:abstractNumId="1">
    <w:nsid w:val="E81CB2B3"/>
    <w:multiLevelType w:val="singleLevel"/>
    <w:tmpl w:val="E81CB2B3"/>
    <w:lvl w:ilvl="0" w:tentative="0">
      <w:start w:val="2"/>
      <w:numFmt w:val="chineseCounting"/>
      <w:suff w:val="nothing"/>
      <w:lvlText w:val="（%1）"/>
      <w:lvlJc w:val="left"/>
      <w:rPr>
        <w:rFonts w:hint="eastAsia"/>
      </w:rPr>
    </w:lvl>
  </w:abstractNum>
  <w:abstractNum w:abstractNumId="2">
    <w:nsid w:val="330718AF"/>
    <w:multiLevelType w:val="singleLevel"/>
    <w:tmpl w:val="330718AF"/>
    <w:lvl w:ilvl="0" w:tentative="0">
      <w:start w:val="5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saveSubsetFonts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ulTrailSpace/>
    <w:doNotExpandShiftReturn/>
    <w:adjustLineHeightInTable/>
    <w:useFELayout/>
    <w:compatSetting w:name="compatibilityMode" w:uri="http://schemas.microsoft.com/office/word" w:val="14"/>
  </w:compat>
  <w:docVars>
    <w:docVar w:name="commondata" w:val="eyJoZGlkIjoiNGE2ZDVhYjFkNzNmZjA0ZTExM2M2ODcxZGVjNWRjNGEifQ=="/>
  </w:docVars>
  <w:rsids>
    <w:rsidRoot w:val="00000000"/>
    <w:rsid w:val="02B1196D"/>
    <w:rsid w:val="134F6B82"/>
    <w:rsid w:val="13955CCA"/>
    <w:rsid w:val="1EE235B8"/>
    <w:rsid w:val="27EF5A03"/>
    <w:rsid w:val="2FE353D3"/>
    <w:rsid w:val="33D5397B"/>
    <w:rsid w:val="3DDE37D0"/>
    <w:rsid w:val="3FFFD1B0"/>
    <w:rsid w:val="5366C1BB"/>
    <w:rsid w:val="58B8456C"/>
    <w:rsid w:val="5CFEBA53"/>
    <w:rsid w:val="5E2FC5CB"/>
    <w:rsid w:val="67F39597"/>
    <w:rsid w:val="69206851"/>
    <w:rsid w:val="6BA83149"/>
    <w:rsid w:val="6BAD0692"/>
    <w:rsid w:val="796C4B79"/>
    <w:rsid w:val="7A2633D5"/>
    <w:rsid w:val="7C7B0145"/>
    <w:rsid w:val="BB8F3284"/>
    <w:rsid w:val="BF67F3AE"/>
    <w:rsid w:val="D6D9CE45"/>
    <w:rsid w:val="DFF756FC"/>
    <w:rsid w:val="E5F21BF3"/>
    <w:rsid w:val="EFFE328E"/>
    <w:rsid w:val="F39982A8"/>
    <w:rsid w:val="F8FE090C"/>
    <w:rsid w:val="F9BE4E02"/>
    <w:rsid w:val="FEDFBD95"/>
    <w:rsid w:val="FF7D6198"/>
    <w:rsid w:val="FFF9E569"/>
    <w:rsid w:val="FFFDE4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Arial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link w:val="9"/>
    <w:qFormat/>
    <w:uiPriority w:val="0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3">
    <w:name w:val="heading 2"/>
    <w:basedOn w:val="1"/>
    <w:next w:val="1"/>
    <w:link w:val="10"/>
    <w:qFormat/>
    <w:uiPriority w:val="0"/>
    <w:pPr>
      <w:keepNext/>
      <w:keepLines/>
      <w:spacing w:before="260" w:after="260" w:line="415" w:lineRule="auto"/>
      <w:outlineLvl w:val="1"/>
    </w:pPr>
    <w:rPr>
      <w:rFonts w:ascii="Times New Roman" w:hAnsi="Times New Roman" w:eastAsia="黑体"/>
      <w:b/>
      <w:bCs/>
      <w:sz w:val="32"/>
      <w:szCs w:val="32"/>
    </w:rPr>
  </w:style>
  <w:style w:type="paragraph" w:styleId="4">
    <w:name w:val="heading 3"/>
    <w:basedOn w:val="1"/>
    <w:next w:val="1"/>
    <w:link w:val="11"/>
    <w:qFormat/>
    <w:uiPriority w:val="0"/>
    <w:pPr>
      <w:keepNext/>
      <w:keepLines/>
      <w:spacing w:before="260" w:after="260" w:line="415" w:lineRule="auto"/>
      <w:outlineLvl w:val="2"/>
    </w:pPr>
    <w:rPr>
      <w:b/>
      <w:bCs/>
      <w:sz w:val="32"/>
      <w:szCs w:val="32"/>
    </w:rPr>
  </w:style>
  <w:style w:type="character" w:default="1" w:styleId="8">
    <w:name w:val="Default Paragraph Font"/>
    <w:qFormat/>
    <w:uiPriority w:val="0"/>
  </w:style>
  <w:style w:type="table" w:default="1" w:styleId="7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9">
    <w:name w:val="heading 1 Char"/>
    <w:basedOn w:val="8"/>
    <w:link w:val="2"/>
    <w:qFormat/>
    <w:uiPriority w:val="0"/>
    <w:rPr>
      <w:rFonts w:ascii="Times New Roman" w:hAnsi="Times New Roman" w:eastAsia="宋体" w:cs="Times New Roman"/>
      <w:b/>
      <w:bCs/>
      <w:kern w:val="44"/>
      <w:sz w:val="44"/>
      <w:szCs w:val="44"/>
      <w:lang w:val="en-US" w:eastAsia="zh-CN" w:bidi="ar-SA"/>
    </w:rPr>
  </w:style>
  <w:style w:type="character" w:customStyle="1" w:styleId="10">
    <w:name w:val="heading 2 Char"/>
    <w:basedOn w:val="8"/>
    <w:link w:val="3"/>
    <w:qFormat/>
    <w:uiPriority w:val="0"/>
    <w:rPr>
      <w:rFonts w:ascii="Times New Roman" w:hAnsi="Times New Roman" w:eastAsia="黑体" w:cs="Times New Roman"/>
      <w:b/>
      <w:bCs/>
      <w:kern w:val="2"/>
      <w:sz w:val="32"/>
      <w:szCs w:val="32"/>
      <w:lang w:val="en-US" w:eastAsia="zh-CN" w:bidi="ar-SA"/>
    </w:rPr>
  </w:style>
  <w:style w:type="character" w:customStyle="1" w:styleId="11">
    <w:name w:val="heading 3 Char"/>
    <w:basedOn w:val="8"/>
    <w:link w:val="4"/>
    <w:qFormat/>
    <w:uiPriority w:val="0"/>
    <w:rPr>
      <w:rFonts w:ascii="Times New Roman" w:hAnsi="Times New Roman" w:eastAsia="宋体" w:cs="Times New Roman"/>
      <w:b/>
      <w:bCs/>
      <w:kern w:val="2"/>
      <w:sz w:val="32"/>
      <w:szCs w:val="32"/>
      <w:lang w:val="en-US" w:eastAsia="zh-CN" w:bidi="ar-SA"/>
    </w:rPr>
  </w:style>
  <w:style w:type="paragraph" w:customStyle="1" w:styleId="12">
    <w:name w:val="插入文本样式-插入部门职责文件"/>
    <w:basedOn w:val="1"/>
    <w:qFormat/>
    <w:uiPriority w:val="0"/>
    <w:pPr>
      <w:spacing w:before="0" w:after="0" w:line="500" w:lineRule="exact"/>
      <w:ind w:firstLine="560"/>
      <w:jc w:val="left"/>
      <w:outlineLvl w:val="9"/>
    </w:pPr>
    <w:rPr>
      <w:rFonts w:ascii="Times New Roman" w:hAnsi="Times New Roman" w:eastAsia="方正仿宋_GBK" w:cs="Times New Roman"/>
      <w:sz w:val="28"/>
    </w:rPr>
  </w:style>
  <w:style w:type="paragraph" w:customStyle="1" w:styleId="13">
    <w:name w:val="单元格样式1"/>
    <w:basedOn w:val="1"/>
    <w:qFormat/>
    <w:uiPriority w:val="0"/>
    <w:pPr>
      <w:spacing w:before="0" w:after="0"/>
      <w:ind w:firstLine="0"/>
      <w:jc w:val="center"/>
      <w:outlineLvl w:val="9"/>
    </w:pPr>
    <w:rPr>
      <w:rFonts w:ascii="方正书宋_GBK" w:hAnsi="方正书宋_GBK" w:eastAsia="方正书宋_GBK" w:cs="方正书宋_GBK"/>
      <w:b/>
      <w:sz w:val="21"/>
    </w:rPr>
  </w:style>
  <w:style w:type="paragraph" w:customStyle="1" w:styleId="14">
    <w:name w:val="单元格样式2"/>
    <w:basedOn w:val="1"/>
    <w:qFormat/>
    <w:uiPriority w:val="0"/>
    <w:pPr>
      <w:spacing w:before="0" w:after="0"/>
      <w:ind w:firstLine="0"/>
      <w:jc w:val="left"/>
      <w:outlineLvl w:val="9"/>
    </w:pPr>
    <w:rPr>
      <w:rFonts w:ascii="方正书宋_GBK" w:hAnsi="方正书宋_GBK" w:eastAsia="方正书宋_GBK" w:cs="方正书宋_GBK"/>
      <w:sz w:val="21"/>
    </w:rPr>
  </w:style>
  <w:style w:type="paragraph" w:customStyle="1" w:styleId="15">
    <w:name w:val="单元格样式3"/>
    <w:basedOn w:val="1"/>
    <w:qFormat/>
    <w:uiPriority w:val="0"/>
    <w:pPr>
      <w:spacing w:before="0" w:after="0"/>
      <w:ind w:firstLine="0"/>
      <w:jc w:val="center"/>
      <w:outlineLvl w:val="9"/>
    </w:pPr>
    <w:rPr>
      <w:rFonts w:ascii="方正书宋_GBK" w:hAnsi="方正书宋_GBK" w:eastAsia="方正书宋_GBK" w:cs="方正书宋_GBK"/>
      <w:sz w:val="21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7" Type="http://schemas.openxmlformats.org/officeDocument/2006/relationships/font" Target="fonts/font7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​​">
  <a:themeElements>
    <a:clrScheme name="Office 主题​​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 主题​​">
      <a:majorFont>
        <a:latin typeface=""/>
        <a:ea typeface=""/>
        <a:cs typeface=""/>
      </a:majorFont>
      <a:minorFont>
        <a:latin typeface=""/>
        <a:ea typeface=""/>
        <a:cs typeface=""/>
      </a:minorFont>
    </a:fontScheme>
    <a:fmtScheme name="Office 主题​​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1"/>
        </a:gradFill>
      </a:fillStyleLst>
      <a:lnStyleLst>
        <a:ln w="9525" cap="flat" cmpd="sng">
          <a:solidFill>
            <a:schemeClr val="phClr">
              <a:shade val="95000"/>
              <a:satMod val="105000"/>
            </a:schemeClr>
          </a:solidFill>
          <a:prstDash val="solid"/>
          <a:round/>
        </a:ln>
        <a:ln w="25400" cap="flat" cmpd="sng">
          <a:solidFill>
            <a:schemeClr val="phClr"/>
          </a:solidFill>
          <a:prstDash val="solid"/>
          <a:round/>
        </a:ln>
        <a:ln w="38100" cap="flat" cmpd="sng">
          <a:solidFill>
            <a:schemeClr val="phClr"/>
          </a:solidFill>
          <a:prstDash val="solid"/>
          <a:round/>
        </a:ln>
      </a:lnStyleLst>
      <a:effectStyleLst>
        <a:effectStyle>
          <a:effectLst>
            <a:outerShdw blurRad="40000" dist="20000" dir="5400000" rotWithShape="0">
              <a:srgbClr val="000000">
                <a:alpha val="37647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4509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4509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50000" r="50000" b="50000"/>
          </a:path>
          <a:tileRect/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  <a:tileRect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Normal.eit</Template>
  <Company>Lenovo</Company>
  <Pages>8</Pages>
  <Words>3621</Words>
  <Characters>3741</Characters>
  <Lines>0</Lines>
  <Paragraphs>31</Paragraphs>
  <TotalTime>3</TotalTime>
  <ScaleCrop>false</ScaleCrop>
  <LinksUpToDate>false</LinksUpToDate>
  <CharactersWithSpaces>3744</CharactersWithSpaces>
  <Application>WPS Office_12.1.0.26375_F1E327BC-269C-435d-A152-05C5408002CA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2019-11-15T08:58:00Z</dcterms:created>
  <dc:creator>user</dc:creator>
  <cp:lastModifiedBy>13323011735</cp:lastModifiedBy>
  <cp:lastPrinted>2021-02-25T13:43:00Z</cp:lastPrinted>
  <dcterms:modified xsi:type="dcterms:W3CDTF">2026-05-27T09:13:52Z</dcterms:modified>
  <dc:title>附件2： </dc:title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ICV">
    <vt:lpwstr>28C64EFCB758481798A31117B3E7B5E3</vt:lpwstr>
  </property>
  <property fmtid="{D5CDD505-2E9C-101B-9397-08002B2CF9AE}" pid="4" name="KSOTemplateDocerSaveRecord">
    <vt:lpwstr>eyJoZGlkIjoiZTNhMzhmNjU3NDU2YjNiYWExNDJlM2Y4YTNjMzYyNWIiLCJ1c2VySWQiOiIxNTUwMjQwMDk2In0=</vt:lpwstr>
  </property>
</Properties>
</file>