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36146">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14:paraId="009FB2BA">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巡察办部门</w:t>
      </w:r>
    </w:p>
    <w:p w14:paraId="41D5C79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14:paraId="5DBEE324">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5B69A4A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0A8B40A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BF24C3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615B559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中共石家庄市藁城区委巡察工作领导小组办公室单位性质为行政单位，经费形式为财政拨款，主要</w:t>
      </w:r>
      <w:r>
        <w:rPr>
          <w:rFonts w:hint="eastAsia" w:ascii="仿宋_GB2312" w:hAnsi="仿宋_GB2312" w:eastAsia="仿宋_GB2312" w:cs="仿宋_GB2312"/>
          <w:sz w:val="32"/>
          <w:szCs w:val="32"/>
          <w:lang w:val="en-US" w:eastAsia="zh-CN"/>
        </w:rPr>
        <w:t>职责为：贯彻落实党中央和省委、市委及区委、区委巡察工作领导小组的决策部署，向省委、市委巡视工作领导小组办公室和区委巡察工作领导小组报告工作情况；统筹、协调、指导开展巡察工作；承担政策研究、制度建设等工作；对区委、区委巡察工作领导小组决定的事项进行督办，会同区委巡察组对巡察整改工作进行专项检查；配合有关部门对巡察工作人员进行培训、考核监督和管理；完成省委、市委巡视工作领导小组办公室和区委巡察工作领导小组交办的其他任务。</w:t>
      </w:r>
    </w:p>
    <w:p w14:paraId="7EE0584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6E06E722">
      <w:pPr>
        <w:keepNext w:val="0"/>
        <w:keepLines w:val="0"/>
        <w:pageBreakBefore w:val="0"/>
        <w:widowControl w:val="0"/>
        <w:kinsoku/>
        <w:wordWrap/>
        <w:overflowPunct/>
        <w:topLinePunct w:val="0"/>
        <w:autoSpaceDE/>
        <w:autoSpaceDN/>
        <w:bidi w:val="0"/>
        <w:adjustRightInd w:val="0"/>
        <w:snapToGrid w:val="0"/>
        <w:spacing w:line="560" w:lineRule="exact"/>
        <w:ind w:left="0" w:right="0"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年共有巡视巡察专项工作经费</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个项</w:t>
      </w:r>
      <w:r>
        <w:rPr>
          <w:rFonts w:hint="eastAsia" w:ascii="仿宋_GB2312" w:hAnsi="仿宋_GB2312" w:eastAsia="仿宋_GB2312" w:cs="仿宋_GB2312"/>
          <w:sz w:val="32"/>
          <w:szCs w:val="32"/>
          <w:lang w:val="en-US" w:eastAsia="zh-CN"/>
        </w:rPr>
        <w:t>目，为本级财政预算资金，</w:t>
      </w:r>
      <w:r>
        <w:rPr>
          <w:rFonts w:hint="eastAsia" w:ascii="仿宋_GB2312" w:hAnsi="仿宋_GB2312" w:eastAsia="仿宋_GB2312" w:cs="仿宋_GB2312"/>
          <w:sz w:val="32"/>
          <w:szCs w:val="32"/>
        </w:rPr>
        <w:t>预算资金共计</w:t>
      </w:r>
      <w:r>
        <w:rPr>
          <w:rFonts w:hint="eastAsia" w:ascii="仿宋_GB2312" w:hAnsi="仿宋_GB2312" w:eastAsia="仿宋_GB2312" w:cs="仿宋_GB2312"/>
          <w:sz w:val="32"/>
          <w:szCs w:val="32"/>
          <w:lang w:val="en-US" w:eastAsia="zh-CN"/>
        </w:rPr>
        <w:t>13.75985</w:t>
      </w:r>
      <w:r>
        <w:rPr>
          <w:rFonts w:hint="eastAsia" w:ascii="仿宋_GB2312" w:hAnsi="仿宋_GB2312" w:eastAsia="仿宋_GB2312" w:cs="仿宋_GB2312"/>
          <w:sz w:val="32"/>
          <w:szCs w:val="32"/>
        </w:rPr>
        <w:t>万元，实际到位资金</w:t>
      </w:r>
      <w:r>
        <w:rPr>
          <w:rFonts w:hint="eastAsia" w:ascii="仿宋_GB2312" w:hAnsi="仿宋_GB2312" w:eastAsia="仿宋_GB2312" w:cs="仿宋_GB2312"/>
          <w:sz w:val="32"/>
          <w:szCs w:val="32"/>
          <w:lang w:val="en-US" w:eastAsia="zh-CN"/>
        </w:rPr>
        <w:t>13.75985</w:t>
      </w:r>
      <w:r>
        <w:rPr>
          <w:rFonts w:hint="eastAsia" w:ascii="仿宋_GB2312" w:hAnsi="仿宋_GB2312" w:eastAsia="仿宋_GB2312" w:cs="仿宋_GB2312"/>
          <w:sz w:val="32"/>
          <w:szCs w:val="32"/>
        </w:rPr>
        <w:t>万元，资金到位率100%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应到位资金</w:t>
      </w:r>
      <w:r>
        <w:rPr>
          <w:rFonts w:hint="eastAsia" w:ascii="仿宋_GB2312" w:hAnsi="仿宋_GB2312" w:eastAsia="仿宋_GB2312" w:cs="仿宋_GB2312"/>
          <w:sz w:val="32"/>
          <w:szCs w:val="32"/>
          <w:lang w:val="en-US" w:eastAsia="zh-CN"/>
        </w:rPr>
        <w:t>13.75985</w:t>
      </w:r>
      <w:r>
        <w:rPr>
          <w:rFonts w:hint="eastAsia" w:ascii="仿宋_GB2312" w:hAnsi="仿宋_GB2312" w:eastAsia="仿宋_GB2312" w:cs="仿宋_GB2312"/>
          <w:sz w:val="32"/>
          <w:szCs w:val="32"/>
        </w:rPr>
        <w:t>万元，及时到位资金</w:t>
      </w:r>
      <w:r>
        <w:rPr>
          <w:rFonts w:hint="eastAsia" w:ascii="仿宋_GB2312" w:hAnsi="仿宋_GB2312" w:eastAsia="仿宋_GB2312" w:cs="仿宋_GB2312"/>
          <w:sz w:val="32"/>
          <w:szCs w:val="32"/>
          <w:lang w:val="en-US" w:eastAsia="zh-CN"/>
        </w:rPr>
        <w:t>13.75985</w:t>
      </w:r>
      <w:r>
        <w:rPr>
          <w:rFonts w:hint="eastAsia" w:ascii="仿宋_GB2312" w:hAnsi="仿宋_GB2312" w:eastAsia="仿宋_GB2312" w:cs="仿宋_GB2312"/>
          <w:sz w:val="32"/>
          <w:szCs w:val="32"/>
        </w:rPr>
        <w:t>万元，到位及时率100%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实际执行资金13.75985万元，结余0万元，结余资金上缴财政</w:t>
      </w:r>
      <w:bookmarkStart w:id="0" w:name="_GoBack"/>
      <w:bookmarkEnd w:id="0"/>
      <w:r>
        <w:rPr>
          <w:rFonts w:hint="eastAsia" w:ascii="仿宋_GB2312" w:hAnsi="仿宋_GB2312" w:eastAsia="仿宋_GB2312" w:cs="仿宋_GB2312"/>
          <w:sz w:val="32"/>
          <w:szCs w:val="32"/>
          <w:lang w:val="en-US" w:eastAsia="zh-CN"/>
        </w:rPr>
        <w:t>。</w:t>
      </w:r>
    </w:p>
    <w:p w14:paraId="3FF6F55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6F0C484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根据项目执行情况和项目绩效情况，</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个项目完成了年度绩效</w:t>
      </w:r>
      <w:r>
        <w:rPr>
          <w:rFonts w:hint="eastAsia" w:ascii="仿宋_GB2312" w:hAnsi="仿宋_GB2312" w:eastAsia="仿宋_GB2312" w:cs="仿宋_GB2312"/>
          <w:sz w:val="32"/>
          <w:szCs w:val="32"/>
          <w:lang w:val="en-US" w:eastAsia="zh-CN"/>
        </w:rPr>
        <w:t>测评</w:t>
      </w:r>
      <w:r>
        <w:rPr>
          <w:rFonts w:hint="eastAsia" w:ascii="仿宋_GB2312" w:hAnsi="仿宋_GB2312" w:eastAsia="仿宋_GB2312" w:cs="仿宋_GB2312"/>
          <w:sz w:val="32"/>
          <w:szCs w:val="32"/>
          <w:lang w:eastAsia="zh-CN"/>
        </w:rPr>
        <w:t>，综合评分为100分。项目综合绩效评价为优秀。</w:t>
      </w:r>
    </w:p>
    <w:p w14:paraId="6428DC04">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424941A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1CA4DB44">
      <w:pPr>
        <w:snapToGrid w:val="0"/>
        <w:spacing w:line="560" w:lineRule="exact"/>
        <w:ind w:firstLine="643" w:firstLineChars="200"/>
        <w:rPr>
          <w:rFonts w:hint="eastAsia" w:ascii="仿宋_GB2312" w:hAnsi="仿宋_GB2312" w:eastAsia="仿宋_GB2312" w:cs="仿宋_GB2312"/>
          <w:sz w:val="32"/>
          <w:szCs w:val="32"/>
          <w:lang w:eastAsia="zh-CN"/>
        </w:rPr>
      </w:pPr>
      <w:r>
        <w:rPr>
          <w:rFonts w:hint="eastAsia" w:ascii="仿宋" w:hAnsi="仿宋" w:eastAsia="仿宋" w:cs="仿宋"/>
          <w:b/>
          <w:bCs/>
          <w:sz w:val="32"/>
          <w:szCs w:val="32"/>
        </w:rPr>
        <w:t>自评的组织工作:</w:t>
      </w:r>
      <w:r>
        <w:rPr>
          <w:rFonts w:hint="eastAsia" w:ascii="仿宋_GB2312" w:hAnsi="仿宋_GB2312" w:eastAsia="仿宋_GB2312" w:cs="仿宋_GB2312"/>
          <w:sz w:val="32"/>
          <w:szCs w:val="32"/>
          <w:lang w:eastAsia="zh-CN"/>
        </w:rPr>
        <w:t>绩效评价工作由单位负责人牵头抓总负责推进并</w:t>
      </w:r>
      <w:r>
        <w:rPr>
          <w:rFonts w:hint="eastAsia" w:ascii="仿宋_GB2312" w:hAnsi="仿宋_GB2312" w:eastAsia="仿宋_GB2312" w:cs="仿宋_GB2312"/>
          <w:sz w:val="32"/>
          <w:szCs w:val="32"/>
          <w:lang w:val="en-US" w:eastAsia="zh-CN"/>
        </w:rPr>
        <w:t>由巡察办主任</w:t>
      </w:r>
      <w:r>
        <w:rPr>
          <w:rFonts w:hint="eastAsia" w:ascii="仿宋_GB2312" w:hAnsi="仿宋_GB2312" w:eastAsia="仿宋_GB2312" w:cs="仿宋_GB2312"/>
          <w:sz w:val="32"/>
          <w:szCs w:val="32"/>
          <w:lang w:eastAsia="zh-CN"/>
        </w:rPr>
        <w:t>、2名</w:t>
      </w:r>
      <w:r>
        <w:rPr>
          <w:rFonts w:hint="eastAsia" w:ascii="仿宋_GB2312" w:hAnsi="仿宋_GB2312" w:eastAsia="仿宋_GB2312" w:cs="仿宋_GB2312"/>
          <w:sz w:val="32"/>
          <w:szCs w:val="32"/>
          <w:lang w:val="en-US" w:eastAsia="zh-CN"/>
        </w:rPr>
        <w:t>办公室</w:t>
      </w:r>
      <w:r>
        <w:rPr>
          <w:rFonts w:hint="eastAsia" w:ascii="仿宋_GB2312" w:hAnsi="仿宋_GB2312" w:eastAsia="仿宋_GB2312" w:cs="仿宋_GB2312"/>
          <w:sz w:val="32"/>
          <w:szCs w:val="32"/>
          <w:lang w:eastAsia="zh-CN"/>
        </w:rPr>
        <w:t>工作人员组成测评工作小组。</w:t>
      </w:r>
    </w:p>
    <w:p w14:paraId="5B44336C">
      <w:pPr>
        <w:snapToGrid w:val="0"/>
        <w:spacing w:line="560" w:lineRule="exact"/>
        <w:ind w:firstLine="643" w:firstLineChars="200"/>
        <w:rPr>
          <w:rFonts w:hint="eastAsia" w:ascii="仿宋_GB2312" w:hAnsi="仿宋_GB2312" w:eastAsia="仿宋_GB2312" w:cs="仿宋_GB2312"/>
          <w:sz w:val="32"/>
          <w:szCs w:val="32"/>
          <w:lang w:eastAsia="zh-CN"/>
        </w:rPr>
      </w:pPr>
      <w:r>
        <w:rPr>
          <w:rFonts w:hint="eastAsia" w:ascii="仿宋" w:hAnsi="仿宋" w:eastAsia="仿宋" w:cs="仿宋"/>
          <w:b/>
          <w:bCs/>
          <w:sz w:val="32"/>
          <w:szCs w:val="32"/>
        </w:rPr>
        <w:t>建立绩效评价指标体系：</w:t>
      </w:r>
      <w:r>
        <w:rPr>
          <w:rFonts w:hint="eastAsia" w:ascii="仿宋_GB2312" w:hAnsi="仿宋_GB2312" w:eastAsia="仿宋_GB2312" w:cs="仿宋_GB2312"/>
          <w:sz w:val="32"/>
          <w:szCs w:val="32"/>
          <w:lang w:eastAsia="zh-CN"/>
        </w:rPr>
        <w:t>在开展预算自评工作时，针对具体绩效评价对象的特点，设计能够体现项目特点绩效评价指标体系。绩效指标权重由各部门根据评价对象实际情况确定，总分设定为100分。原则上一级指标权重统一设置为：产出指标40分（包含数量、质量、时效、成本）、预算执行率指标10分、效益指标40分（包含经济效益、社会效益、生态效益、可持续影响）、满意度指标10分。如某一类指标未设定，其分值可合理调整至其他指标。若被评价项目不门整体支出绩效目标实现情况及指标分析涉及服务对象满意度内容或因服务对象满意度获取难度较大、成本较高而未能获取，则服务对象满意度的10分调入效益考核事项。</w:t>
      </w:r>
    </w:p>
    <w:p w14:paraId="62A227C6">
      <w:pPr>
        <w:keepNext w:val="0"/>
        <w:keepLines w:val="0"/>
        <w:pageBreakBefore w:val="0"/>
        <w:widowControl w:val="0"/>
        <w:numPr>
          <w:ilvl w:val="0"/>
          <w:numId w:val="1"/>
        </w:numPr>
        <w:kinsoku/>
        <w:wordWrap/>
        <w:overflowPunct/>
        <w:topLinePunct w:val="0"/>
        <w:autoSpaceDE/>
        <w:autoSpaceDN/>
        <w:bidi w:val="0"/>
        <w:spacing w:line="560" w:lineRule="exact"/>
        <w:ind w:left="0" w:leftChars="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三级指标所占权重应当根据指标重要程度、项目实施阶段等因素综合确定，准确反映预算项目的产出和效果。同类评价对象的指标权重设置应当基本一致，便于评价结果相互比较。</w:t>
      </w:r>
    </w:p>
    <w:p w14:paraId="416C2E9C">
      <w:pPr>
        <w:keepNext w:val="0"/>
        <w:keepLines w:val="0"/>
        <w:pageBreakBefore w:val="0"/>
        <w:widowControl w:val="0"/>
        <w:numPr>
          <w:ilvl w:val="0"/>
          <w:numId w:val="0"/>
        </w:numPr>
        <w:kinsoku/>
        <w:wordWrap/>
        <w:overflowPunct/>
        <w:topLinePunct w:val="0"/>
        <w:autoSpaceDE/>
        <w:autoSpaceDN/>
        <w:bidi w:val="0"/>
        <w:spacing w:line="560" w:lineRule="exact"/>
        <w:ind w:left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6C146427">
      <w:pPr>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评价工作由单位负责人统一布置安排，共分三个阶段进行。第一阶段，筹备资料阶段;第二阶段，集中测评阶段，绩效测评小组成员按照绩效评价指标体系以及提供材料进行测评打分;第三阶段，汇总生成报告阶段，根据对测评结果进行汇总审核并撰写自评报告。</w:t>
      </w:r>
    </w:p>
    <w:p w14:paraId="0280E88D">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30911F4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0CED542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根据项目执行情况和项目绩效情况，</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个项目完成了年度绩效项目，综合评分为100分。项目综合绩效评价为优秀。</w:t>
      </w:r>
    </w:p>
    <w:p w14:paraId="2F66632C">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1354F37C">
      <w:pPr>
        <w:pStyle w:val="12"/>
        <w:rPr>
          <w:rFonts w:hint="eastAsia" w:ascii="仿宋_GB2312" w:hAnsi="仿宋_GB2312" w:eastAsia="仿宋_GB2312" w:cs="仿宋_GB2312"/>
          <w:b w:val="0"/>
          <w:bCs w:val="0"/>
          <w:sz w:val="32"/>
          <w:szCs w:val="32"/>
          <w:highlight w:val="none"/>
          <w:lang w:val="en-US" w:eastAsia="zh-CN"/>
        </w:rPr>
      </w:pPr>
      <w:r>
        <w:rPr>
          <w:rFonts w:hint="eastAsia" w:ascii="仿宋_GB2312" w:hAnsi="仿宋_GB2312" w:eastAsia="仿宋_GB2312" w:cs="仿宋_GB2312"/>
          <w:b w:val="0"/>
          <w:bCs w:val="0"/>
          <w:sz w:val="32"/>
          <w:szCs w:val="32"/>
          <w:highlight w:val="none"/>
          <w:lang w:val="en-US" w:eastAsia="zh-CN"/>
        </w:rPr>
        <w:t>1.深化上下联动工作格局</w:t>
      </w:r>
    </w:p>
    <w:p w14:paraId="59DAF38D">
      <w:pPr>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绩效目标：</w:t>
      </w:r>
      <w:r>
        <w:rPr>
          <w:rFonts w:hint="eastAsia" w:ascii="仿宋_GB2312" w:hAnsi="仿宋_GB2312" w:eastAsia="仿宋_GB2312" w:cs="仿宋_GB2312"/>
          <w:sz w:val="32"/>
          <w:szCs w:val="32"/>
          <w:lang w:val="en-US" w:eastAsia="zh-CN"/>
        </w:rPr>
        <w:t>全面落实党中央和省委、市委关于巡视巡察上下联动决策部署要求，加强组织领导，完善工作机制，强化监督指导，提高规范化水平</w:t>
      </w:r>
    </w:p>
    <w:p w14:paraId="3C6E1B33">
      <w:pPr>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绩效指标：监督检查党内法规政策、国家法律法规、党风廉政建设“两个责任”等落实执行情况；贯彻落实上级纪委和区委有关部署，开展常态化全覆盖巡察；做好市委</w:t>
      </w:r>
      <w:r>
        <w:rPr>
          <w:rFonts w:hint="eastAsia" w:ascii="仿宋_GB2312" w:hAnsi="仿宋_GB2312" w:eastAsia="仿宋_GB2312" w:cs="仿宋_GB2312"/>
          <w:sz w:val="32"/>
          <w:szCs w:val="32"/>
          <w:lang w:val="en-US" w:eastAsia="zh-CN"/>
        </w:rPr>
        <w:t>提级</w:t>
      </w:r>
      <w:r>
        <w:rPr>
          <w:rFonts w:hint="eastAsia" w:ascii="仿宋_GB2312" w:hAnsi="仿宋_GB2312" w:eastAsia="仿宋_GB2312" w:cs="仿宋_GB2312"/>
          <w:sz w:val="32"/>
          <w:szCs w:val="32"/>
          <w:lang w:eastAsia="zh-CN"/>
        </w:rPr>
        <w:t>巡</w:t>
      </w:r>
      <w:r>
        <w:rPr>
          <w:rFonts w:hint="eastAsia" w:ascii="仿宋_GB2312" w:hAnsi="仿宋_GB2312" w:eastAsia="仿宋_GB2312" w:cs="仿宋_GB2312"/>
          <w:sz w:val="32"/>
          <w:szCs w:val="32"/>
          <w:lang w:val="en-US" w:eastAsia="zh-CN"/>
        </w:rPr>
        <w:t>察</w:t>
      </w:r>
      <w:r>
        <w:rPr>
          <w:rFonts w:hint="eastAsia" w:ascii="仿宋_GB2312" w:hAnsi="仿宋_GB2312" w:eastAsia="仿宋_GB2312" w:cs="仿宋_GB2312"/>
          <w:sz w:val="32"/>
          <w:szCs w:val="32"/>
          <w:lang w:eastAsia="zh-CN"/>
        </w:rPr>
        <w:t>服务保障工作。</w:t>
      </w:r>
    </w:p>
    <w:p w14:paraId="62386AB8">
      <w:pPr>
        <w:pStyle w:val="12"/>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2.细化巡察工作提升巡察质量</w:t>
      </w:r>
    </w:p>
    <w:p w14:paraId="6732DB5D">
      <w:pPr>
        <w:snapToGrid w:val="0"/>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绩效目标：</w:t>
      </w:r>
      <w:r>
        <w:rPr>
          <w:rFonts w:hint="eastAsia" w:ascii="仿宋_GB2312" w:hAnsi="仿宋_GB2312" w:eastAsia="仿宋_GB2312" w:cs="仿宋_GB2312"/>
          <w:sz w:val="32"/>
          <w:szCs w:val="32"/>
          <w:lang w:val="en-US" w:eastAsia="zh-CN"/>
        </w:rPr>
        <w:t>把握基层实际，细化监督内容，因地制宜、分类施策，完成对58个区直单位（部门），12个乡镇，1个国企以及219个村（社区）巡察全覆盖。</w:t>
      </w:r>
    </w:p>
    <w:p w14:paraId="771B92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绩效指标:</w:t>
      </w:r>
      <w:r>
        <w:rPr>
          <w:rFonts w:hint="eastAsia" w:ascii="仿宋_GB2312" w:hAnsi="仿宋_GB2312" w:eastAsia="仿宋_GB2312" w:cs="仿宋_GB2312"/>
          <w:sz w:val="32"/>
          <w:szCs w:val="32"/>
          <w:lang w:val="en-US" w:eastAsia="zh-CN"/>
        </w:rPr>
        <w:t>坚持稳中求进，把握工作节奏，对标中央、省委巡视和市委巡察任务安排，实行板块轮动、分类推进，高质量完成三届区委巡察全覆盖任务。</w:t>
      </w:r>
    </w:p>
    <w:p w14:paraId="3A850462">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7750430E">
      <w:pPr>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根据项目执行情况和项目绩效情况，运用绩效目标表的评价指标体系和评分标准，项目综合整体评分为100分，综合绩效评价等级为优秀。</w:t>
      </w:r>
    </w:p>
    <w:p w14:paraId="37744A88">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CE669E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6F74C8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无</w:t>
      </w:r>
    </w:p>
    <w:p w14:paraId="3852613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Cs/>
          <w:sz w:val="32"/>
          <w:szCs w:val="32"/>
        </w:rPr>
        <w:t>（二）针对问题提出具体的改进措施或建议</w:t>
      </w:r>
    </w:p>
    <w:p w14:paraId="372548F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无</w:t>
      </w: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E0DD09C-DA34-4A6F-B591-7FA50A6A6EE4}"/>
  </w:font>
  <w:font w:name="黑体">
    <w:panose1 w:val="02010609060101010101"/>
    <w:charset w:val="86"/>
    <w:family w:val="auto"/>
    <w:pitch w:val="default"/>
    <w:sig w:usb0="800002BF" w:usb1="38CF7CFA" w:usb2="00000016" w:usb3="00000000" w:csb0="00040001" w:csb1="00000000"/>
    <w:embedRegular r:id="rId2" w:fontKey="{E0BA91F0-EC26-4A05-B237-02C90B36BEF5}"/>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script"/>
    <w:pitch w:val="default"/>
    <w:sig w:usb0="A00002BF" w:usb1="38CF7CFA" w:usb2="00082016" w:usb3="00000000" w:csb0="00040001" w:csb1="00000000"/>
  </w:font>
  <w:font w:name="方正小标宋简体">
    <w:panose1 w:val="02010601030101010101"/>
    <w:charset w:val="86"/>
    <w:family w:val="auto"/>
    <w:pitch w:val="default"/>
    <w:sig w:usb0="00000001" w:usb1="080E0000" w:usb2="00000000" w:usb3="00000000" w:csb0="00040000" w:csb1="00000000"/>
  </w:font>
  <w:font w:name="方正小标宋_GBK">
    <w:altName w:val="微软雅黑"/>
    <w:panose1 w:val="03000509000000000000"/>
    <w:charset w:val="86"/>
    <w:family w:val="auto"/>
    <w:pitch w:val="default"/>
    <w:sig w:usb0="00000001" w:usb1="080E0000" w:usb2="00000000" w:usb3="00000000" w:csb0="00040000" w:csb1="00000000"/>
    <w:embedRegular r:id="rId3" w:fontKey="{7255992F-2C7E-43ED-AB07-049CB8CF6A12}"/>
  </w:font>
  <w:font w:name="仿宋_GB2312">
    <w:altName w:val="仿宋"/>
    <w:panose1 w:val="02010609030101010101"/>
    <w:charset w:val="86"/>
    <w:family w:val="auto"/>
    <w:pitch w:val="default"/>
    <w:sig w:usb0="00000001" w:usb1="080E0000" w:usb2="00000000" w:usb3="00000000" w:csb0="00040000" w:csb1="00000000"/>
    <w:embedRegular r:id="rId4" w:fontKey="{F23AA0A5-9A88-45E5-B5F3-B0AD9EBD9741}"/>
  </w:font>
  <w:font w:name="楷体_GB2312">
    <w:altName w:val="楷体"/>
    <w:panose1 w:val="02010609030101010101"/>
    <w:charset w:val="86"/>
    <w:family w:val="auto"/>
    <w:pitch w:val="default"/>
    <w:sig w:usb0="00000001" w:usb1="080E0000" w:usb2="00000000" w:usb3="00000000" w:csb0="00040000" w:csb1="00000000"/>
    <w:embedRegular r:id="rId5" w:fontKey="{41733A52-9D28-4EE4-AF05-6516BD980879}"/>
  </w:font>
  <w:font w:name="仿宋">
    <w:panose1 w:val="02010609060101010101"/>
    <w:charset w:val="86"/>
    <w:family w:val="auto"/>
    <w:pitch w:val="default"/>
    <w:sig w:usb0="800002BF" w:usb1="38CF7CFA" w:usb2="00000016" w:usb3="00000000" w:csb0="00040001" w:csb1="00000000"/>
    <w:embedRegular r:id="rId6" w:fontKey="{BD93CB14-E403-4611-821A-824D34E162FB}"/>
  </w:font>
  <w:font w:name="楷体">
    <w:panose1 w:val="02010609060101010101"/>
    <w:charset w:val="86"/>
    <w:family w:val="modern"/>
    <w:pitch w:val="default"/>
    <w:sig w:usb0="800002BF" w:usb1="38CF7CFA" w:usb2="00000016" w:usb3="00000000" w:csb0="00040001" w:csb1="00000000"/>
    <w:embedRegular r:id="rId7" w:fontKey="{B3B92639-4F78-47B1-A60D-9F44ED51BFCA}"/>
  </w:font>
  <w:font w:name="国标宋体">
    <w:altName w:val="宋体"/>
    <w:panose1 w:val="02000500000000000000"/>
    <w:charset w:val="86"/>
    <w:family w:val="auto"/>
    <w:pitch w:val="default"/>
    <w:sig w:usb0="00000000" w:usb1="00000000" w:usb2="00000000" w:usb3="00000000" w:csb0="00060007" w:csb1="00000000"/>
    <w:embedRegular r:id="rId8" w:fontKey="{9DE8688A-FC97-4A67-96E4-FDB4BBB9DC57}"/>
  </w:font>
  <w:font w:name="WPSEMBED1">
    <w:panose1 w:val="03000509000000000000"/>
    <w:charset w:val="86"/>
    <w:family w:val="auto"/>
    <w:pitch w:val="default"/>
    <w:sig w:usb0="00000001" w:usb1="080E0000" w:usb2="00000000" w:usb3="00000000" w:csb0="00040000" w:csb1="00000000"/>
  </w:font>
  <w:font w:name="WPSEMBED3">
    <w:panose1 w:val="02010609030101010101"/>
    <w:charset w:val="86"/>
    <w:family w:val="auto"/>
    <w:pitch w:val="default"/>
    <w:sig w:usb0="00000001" w:usb1="080E0000" w:usb2="00000000" w:usb3="00000000" w:csb0="00040000" w:csb1="00000000"/>
  </w:font>
  <w:font w:name="WPSEMBED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940F4C">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AEF6B16">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79787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2B1196D"/>
    <w:rsid w:val="134F6B82"/>
    <w:rsid w:val="13955CCA"/>
    <w:rsid w:val="23FE6C7B"/>
    <w:rsid w:val="27EF5A03"/>
    <w:rsid w:val="2FE353D3"/>
    <w:rsid w:val="3DDE37D0"/>
    <w:rsid w:val="3FFFD1B0"/>
    <w:rsid w:val="5366C1BB"/>
    <w:rsid w:val="58B8456C"/>
    <w:rsid w:val="5CFEBA53"/>
    <w:rsid w:val="5E2FC5CB"/>
    <w:rsid w:val="67F39597"/>
    <w:rsid w:val="6915262B"/>
    <w:rsid w:val="69206851"/>
    <w:rsid w:val="796C4B79"/>
    <w:rsid w:val="7C7B0145"/>
    <w:rsid w:val="BB8F3284"/>
    <w:rsid w:val="BF67F3AE"/>
    <w:rsid w:val="D6D9CE45"/>
    <w:rsid w:val="DFF756FC"/>
    <w:rsid w:val="E5F21BF3"/>
    <w:rsid w:val="EFFE328E"/>
    <w:rsid w:val="F39982A8"/>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 w:type="paragraph" w:customStyle="1" w:styleId="1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4</Pages>
  <Words>1652</Words>
  <Characters>1724</Characters>
  <Lines>0</Lines>
  <Paragraphs>31</Paragraphs>
  <TotalTime>4</TotalTime>
  <ScaleCrop>false</ScaleCrop>
  <LinksUpToDate>false</LinksUpToDate>
  <CharactersWithSpaces>1724</CharactersWithSpaces>
  <Application>WPS Office_12.1.0.26375_F1E327BC-269C-435d-A152-05C5408002CA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2019-11-15T08:58:00Z</dcterms:created>
  <dc:creator>user</dc:creator>
  <cp:lastModifiedBy>13323011735</cp:lastModifiedBy>
  <cp:lastPrinted>2021-02-25T13:43:00Z</cp:lastPrinted>
  <dcterms:modified xsi:type="dcterms:W3CDTF">2026-05-19T03:01:16Z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28C64EFCB758481798A31117B3E7B5E3</vt:lpwstr>
  </property>
  <property fmtid="{D5CDD505-2E9C-101B-9397-08002B2CF9AE}" pid="4" name="KSOTemplateDocerSaveRecord">
    <vt:lpwstr>eyJoZGlkIjoiZTNhMzhmNjU3NDU2YjNiYWExNDJlM2Y4YTNjMzYyNWIiLCJ1c2VySWQiOiIxNTUwMjQwMDk2In0=</vt:lpwstr>
  </property>
</Properties>
</file>