
<file path=[Content_Types].xml><?xml version="1.0" encoding="utf-8"?>
<Types xmlns="http://schemas.openxmlformats.org/package/2006/content-types">
  <Default Extension="xml" ContentType="application/xml"/>
  <Default Extension="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docProps/custom.xml" ContentType="application/vnd.openxmlformats-officedocument.custom-properties+xml"/>
</Types>
</file>

<file path=_rels/.rels><?xml version="1.0" encoding="UTF-8" standalone="yes"?><Relationships xmlns="http://schemas.openxmlformats.org/package/2006/relationships"><Relationship Id="rId3" Type="http://schemas.openxmlformats.org/officeDocument/2006/relationships/custom-properties" Target="docProps/custom.xml" /><Relationship Id="rId2" Type="http://schemas.openxmlformats.org/officeDocument/2006/relationships/extended-properties" Target="docProps/app.xml" /><Relationship Id="rId1" Type="http://schemas.openxmlformats.org/package/2006/relationships/metadata/core-properties" Target="docProps/core.xml" /><Relationship Id="rId0" Type="http://schemas.openxmlformats.org/officeDocument/2006/relationships/officeDocument" Target="word/document.xml" /></Relationships>
</file>

<file path=word/document.xml><?xml version="1.0" encoding="utf-8"?>
<w:document xmlns:wps="http://schemas.microsoft.com/office/word/2010/wordprocessingShape" xmlns:r="http://schemas.openxmlformats.org/officeDocument/2006/relationships" xmlns:wpg="http://schemas.microsoft.com/office/word/2010/wordprocessingGroup" xmlns:wp="http://schemas.openxmlformats.org/drawingml/2006/wordprocessingDrawing" xmlns:w15="http://schemas.microsoft.com/office/word/2012/wordml" xmlns:wne="http://schemas.microsoft.com/office/word/2006/wordml" xmlns:w14="http://schemas.microsoft.com/office/word/2010/wordml" xmlns:v="urn:schemas-microsoft-com:vml" xmlns:wp14="http://schemas.microsoft.com/office/word/2010/wordprocessingDrawing" xmlns:w10="urn:schemas-microsoft-com:office:word" xmlns:wpi="http://schemas.microsoft.com/office/word/2010/wordprocessingInk" xmlns:m="http://schemas.openxmlformats.org/officeDocument/2006/math" xmlns:wpsCustomData="http://www.wps.cn/officeDocument/2013/wpsCustomData" xmlns:w="http://schemas.openxmlformats.org/wordprocessingml/2006/main" xmlns:o="urn:schemas-microsoft-com:office:office" xmlns:mc="http://schemas.openxmlformats.org/markup-compatibility/2006" xmlns:wpc="http://schemas.microsoft.com/office/word/2010/wordprocessingCanvas" mc:Ignorable="w14 w15 wp14">
  <w:body>
    <w:p w14:paraId="2E8693BA">
      <w:pPr>
        <w:widowControl w:val="0"/>
        <w:keepNext w:val="0"/>
        <w:keepLines w:val="0"/>
        <w:pageBreakBefore w:val="0"/>
        <w:wordWrap w:val="1"/>
        <w:overflowPunct w:val="1"/>
        <w:topLinePunct w:val="0"/>
        <w:kinsoku w:val="1"/>
        <w:autoSpaceDE w:val="1"/>
        <w:autoSpaceDN w:val="1"/>
        <w:bidi w:val="0"/>
        <w:adjustRightInd w:val="1"/>
        <w:snapToGrid w:val="1"/>
        <w:jc w:val="center"/>
        <w:spacing w:line="600" w:lineRule="exact"/>
        <w:rPr>
          <w:sz w:val="44"/>
          <w:szCs w:val="44"/>
          <w:rFonts w:ascii="方正小标宋简体" w:hAnsi="方正小标宋简体" w:eastAsia="方正小标宋简体" w:cs="方正小标宋简体" w:hint="eastAsia"/>
        </w:rPr>
      </w:pPr>
      <w:r>
        <w:rPr>
          <w:sz w:val="44"/>
          <w:szCs w:val="44"/>
          <w:rFonts w:ascii="方正小标宋简体" w:hAnsi="方正小标宋简体" w:eastAsia="方正小标宋简体" w:cs="方正小标宋简体" w:hint="eastAsia"/>
        </w:rPr>
        <w:t>石家庄市藁城区农村供水价格收费机制</w:t>
      </w:r>
    </w:p>
    <w:p w14:paraId="0A35E17A">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rFonts w:ascii="仿宋_GB2312" w:hAnsi="仿宋_GB2312" w:eastAsia="仿宋_GB2312" w:cs="仿宋_GB2312" w:hint="eastAsia"/>
        </w:rPr>
        <w:t xml:space="preserve">              （试行）</w:t>
      </w:r>
    </w:p>
    <w:p w14:paraId="51DE2B46">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为加快推进农村安全供水运营工作，保障农村水费收缴工作 依法依规开展，依照《中华人民共和国供水条例》《河北省农村供水用水管理办法》、《石家庄 市藁城区农村饮水安全运行管理办法》等有关规定，参照正定、鹿泉、高邑等县区的成功经验和现行收费方法，结合实际制定本机制：</w:t>
      </w:r>
    </w:p>
    <w:p w14:paraId="2D4599D4">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黑体" w:hAnsi="黑体" w:eastAsia="黑体" w:cs="黑体" w:hint="eastAsia"/>
        </w:rPr>
      </w:pPr>
      <w:r>
        <w:rPr>
          <w:sz w:val="32"/>
          <w:szCs w:val="32"/>
          <w:rFonts w:ascii="黑体" w:hAnsi="黑体" w:eastAsia="黑体" w:cs="黑体" w:hint="eastAsia"/>
        </w:rPr>
        <w:t>一、定价原则</w:t>
      </w:r>
    </w:p>
    <w:p w14:paraId="2E0168F7">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藁城区城区、农村供水所用水源为南水北调水，依托新建南水北调地表水厂二期项目和藁城区城乡供水水源置换工程已构建城乡一体化格局。按照“同水源、 同水质、同水价、同服务”的原则，农村水价不另行制定，执行现行水价，3.2元/吨，水资源税0.1元/吨。</w:t>
      </w:r>
    </w:p>
    <w:p w14:paraId="6ECB46BB">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黑体" w:hAnsi="黑体" w:eastAsia="黑体" w:cs="黑体" w:hint="eastAsia"/>
        </w:rPr>
      </w:pPr>
      <w:r>
        <w:rPr>
          <w:sz w:val="32"/>
          <w:szCs w:val="32"/>
          <w:rFonts w:ascii="黑体" w:hAnsi="黑体" w:eastAsia="黑体" w:cs="黑体" w:hint="eastAsia"/>
        </w:rPr>
        <w:t>二、农村供水水费收缴</w:t>
      </w:r>
    </w:p>
    <w:p w14:paraId="79BC48D0">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充分考虑农村实际情况和农民的承受能力，2026年以2.4元/吨(含税)的标准，依托智慧水务和人工抄表相结合，按每月农村居民用水计量数据，采用预付费方式收取水费，以后每年递增0.2元/吨，到2031年调整至和城区一致。 2026年—2031年期间，区政府根据运行情况，按照成本运行的原则，适当补贴。通过逐年递增的方式，逐步培养农村居民有偿用水、节约用水意识。</w:t>
      </w:r>
    </w:p>
    <w:p w14:paraId="3173A23D">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黑体" w:hAnsi="黑体" w:eastAsia="黑体" w:cs="黑体" w:hint="eastAsia"/>
        </w:rPr>
      </w:pPr>
      <w:r>
        <w:rPr>
          <w:sz w:val="32"/>
          <w:szCs w:val="32"/>
          <w:rFonts w:ascii="黑体" w:hAnsi="黑体" w:eastAsia="黑体" w:cs="黑体" w:hint="eastAsia"/>
        </w:rPr>
        <w:t>三、</w:t>
      </w:r>
      <w:r>
        <w:rPr>
          <w:sz w:val="32"/>
          <w:lang w:val="en-US" w:eastAsia="zh-CN"/>
          <w:szCs w:val="32"/>
          <w:rFonts w:ascii="黑体" w:hAnsi="黑体" w:eastAsia="黑体" w:cs="黑体" w:hint="eastAsia"/>
        </w:rPr>
        <w:t>水费收缴奖惩</w:t>
      </w:r>
      <w:r>
        <w:rPr>
          <w:sz w:val="32"/>
          <w:szCs w:val="32"/>
          <w:rFonts w:ascii="黑体" w:hAnsi="黑体" w:eastAsia="黑体" w:cs="黑体" w:hint="eastAsia"/>
        </w:rPr>
        <w:t>机制</w:t>
      </w:r>
    </w:p>
    <w:p w14:paraId="3DBAE441">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(一)为了鼓励镇村的工作积极性，支持镇村的管护行为，按月从水费中计提奖补资金。按实际收取水费折算水量，依据水费收缴率，给予镇村奖补，用于对供水设施的日常管护。</w:t>
      </w:r>
    </w:p>
    <w:p w14:paraId="78D53E4F">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水费收缴率85%以上每吨0.5元，80%—85%每吨0.4元，75%—80%每吨0.3元，60%—75%每吨0.2元，60%—50%每吨0.1元，50%以下不奖补。</w:t>
      </w:r>
    </w:p>
    <w:p w14:paraId="01E43D57">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p>
    <w:p w14:paraId="8B682F05">
      <w:pPr>
        <w:widowControl w:val="0"/>
        <w:keepNext w:val="0"/>
        <w:keepLines w:val="0"/>
        <w:pageBreakBefore w:val="0"/>
        <w:wordWrap w:val="1"/>
        <w:overflowPunct w:val="1"/>
        <w:topLinePunct w:val="0"/>
        <w:autoSpaceDE w:val="1"/>
        <w:autoSpaceDN w:val="1"/>
        <w:bidi w:val="0"/>
        <w:adjustRightInd w:val="1"/>
        <w:snapToGrid w:val="1"/>
        <w:spacing w:line="600" w:lineRule="exact"/>
        <w:ind w:firstLine="640" w:firstLineChars="200"/>
        <w:rPr>
          <w:sz w:val="32"/>
          <w:rFonts w:ascii="仿宋_GB2312" w:hAnsi="仿宋_GB2312" w:eastAsia="仿宋_GB2312" w:cs="仿宋_GB2312" w:hint="eastAsia"/>
        </w:rPr>
      </w:pPr>
      <w:r>
        <w:rPr>
          <w:sz w:val="32"/>
          <w:rFonts w:ascii="仿宋_GB2312" w:hAnsi="仿宋_GB2312" w:eastAsia="仿宋_GB2312" w:cs="仿宋_GB2312" w:hint="eastAsia"/>
        </w:rPr>
        <w:t>（二）严格管控管网漏损率</w:t>
      </w:r>
    </w:p>
    <w:p w14:paraId="50F1BFDD">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各乡镇要组织所辖村，做好节水宣传和用水管理，努力把漏损率控制在20%以内。漏损率按河北清源水利工程有限公司（以下简称清源水利）统计数，所有供水村进行排名。后五名的，限期整改，整改不力的全区通报，追究镇、村相关责任人责任。</w:t>
      </w:r>
    </w:p>
    <w:p w14:paraId="49A57DEF">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bookmarkStart w:id="0" w:name="_GoBack"/>
      <w:bookmarkEnd w:id="0"/>
    </w:p>
    <w:p w14:paraId="08F601E0">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rPr>
          <w:sz w:val="32"/>
          <w:szCs w:val="32"/>
          <w:rFonts w:ascii="仿宋_GB2312" w:hAnsi="仿宋_GB2312" w:eastAsia="仿宋_GB2312" w:cs="仿宋_GB2312" w:hint="eastAsia"/>
        </w:rPr>
      </w:pPr>
    </w:p>
    <w:p w14:paraId="2CF6809B">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lang w:val="en-US" w:eastAsia="zh-CN"/>
          <w:szCs w:val="32"/>
          <w:rFonts w:ascii="黑体" w:hAnsi="黑体" w:eastAsia="黑体" w:cs="黑体" w:hint="default"/>
        </w:rPr>
      </w:pPr>
      <w:r>
        <w:rPr>
          <w:sz w:val="32"/>
          <w:lang w:val="en-US" w:eastAsia="zh-CN"/>
          <w:szCs w:val="32"/>
          <w:rFonts w:ascii="黑体" w:hAnsi="黑体" w:eastAsia="黑体" w:cs="黑体" w:hint="eastAsia"/>
        </w:rPr>
        <w:t>四、实行三级管理制度，加强用水管理及违规处理</w:t>
      </w:r>
    </w:p>
    <w:p w14:paraId="3C1F8936">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集中供水工程实行“三级”管理制度：第一级为地表水厂厂区工程及入村总表以上管网及附属设施（包含入户水表），产权归政府或其指定主体所有，由清源水利负责维修养护；第二级为入村总水表至分户水表以上管网和配套设施，政府投资部分产权归政府，使用权归村集体所有，由村委会维修管护；第三级为分户水表以下供水设施，政府投资部分产权归政府，使用权归农户，由农户负责维修管护。</w:t>
      </w:r>
    </w:p>
    <w:p w14:paraId="37BEA879">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农村原饮用水自备井产权归村集体或其他产权人所有，各乡镇组织，按照应急备用水源井的要求进行封存、维护。使用权、管理权统一归清源水利，按照应急备用水源井的要求依法依规管理使用。维护保养、电费等费用由清源水利承担。</w:t>
      </w:r>
    </w:p>
    <w:p w14:paraId="7364A472">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lang w:val="en-US" w:eastAsia="zh-CN"/>
          <w:szCs w:val="32"/>
          <w:rFonts w:ascii="仿宋_GB2312" w:hAnsi="仿宋_GB2312" w:eastAsia="仿宋_GB2312" w:cs="仿宋_GB2312" w:hint="eastAsia"/>
        </w:rPr>
      </w:pPr>
      <w:r>
        <w:rPr>
          <w:sz w:val="32"/>
          <w:szCs w:val="32"/>
          <w:rFonts w:ascii="仿宋_GB2312" w:hAnsi="仿宋_GB2312" w:eastAsia="仿宋_GB2312" w:cs="仿宋_GB2312" w:hint="eastAsia"/>
        </w:rPr>
        <w:t>对因管网管护不到位、人为损坏、私接管网等行为造成管网漏损、水资源浪费的，严厉追究相关主体责任，涉嫌违法的，移交相关部门依法处理。</w:t>
      </w:r>
    </w:p>
    <w:p w14:paraId="4718A21A">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lang w:val="en-US" w:eastAsia="zh-CN"/>
          <w:szCs w:val="32"/>
          <w:rFonts w:ascii="黑体" w:hAnsi="黑体" w:eastAsia="黑体" w:cs="黑体" w:hint="default"/>
        </w:rPr>
      </w:pPr>
      <w:r>
        <w:rPr>
          <w:sz w:val="32"/>
          <w:lang w:val="en-US" w:eastAsia="zh-CN"/>
          <w:szCs w:val="32"/>
          <w:rFonts w:ascii="黑体" w:hAnsi="黑体" w:eastAsia="黑体" w:cs="黑体" w:hint="eastAsia"/>
        </w:rPr>
        <w:t xml:space="preserve">五、进一步加强宣传和引导 </w:t>
      </w:r>
    </w:p>
    <w:p w14:paraId="67F23119">
      <w:pPr>
        <w:widowControl w:val="0"/>
        <w:keepNext w:val="0"/>
        <w:keepLines w:val="0"/>
        <w:pageBreakBefore w:val="0"/>
        <w:wordWrap w:val="1"/>
        <w:overflowPunct w:val="1"/>
        <w:topLinePunct w:val="0"/>
        <w:kinsoku w:val="1"/>
        <w:autoSpaceDE w:val="1"/>
        <w:autoSpaceDN w:val="1"/>
        <w:bidi w:val="0"/>
        <w:adjustRightInd w:val="1"/>
        <w:snapToGrid w:val="1"/>
        <w:numPr>
          <w:ilvl w:val="0"/>
          <w:numId w:val="0"/>
        </w:numPr>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农村居民供水实行预缴费制度，各职能部门、各乡镇、各村要积极面向农村居民，宣传农村饮用水相关方针政策，持续加大节水宣传力度，通过多形式、多渠道普及节水常识，引导村民切实转变传统用水观念，摒弃粗放用水、无偿用水的旧习惯，牢固树立有偿用水、节约用水、科学用水的意识，不断提高广大农村居民对水资源及农村居民饮用水相关法律法规的认知水平，从思想根源上消除随意浪费水资源现象，共同营造惜水、爱水、节水的良好用水环境。</w:t>
      </w:r>
    </w:p>
    <w:sectPr>
      <w:docGrid w:type="lines" w:linePitch="312" w:charSpace="0"/>
      <w:pgSz w:w="11906" w:h="16838"/>
      <w:pgMar w:top="2098" w:right="1474" w:bottom="1757" w:left="1587" w:header="851" w:footer="992" w:gutter="0"/>
      <w:cols w:space="425" w:num="1"/>
    </w:sectPr>
  </w:body>
</w:document>
</file>

<file path=word/fontTable.xml><?xml version="1.0" encoding="utf-8"?>
<w:fonts xmlns:w="http://schemas.openxmlformats.org/wordprocessingml/2006/main" xmlns:w14="http://schemas.microsoft.com/office/word/2010/wordml" xmlns:r="http://schemas.openxmlformats.org/officeDocument/2006/relationships" xmlns:mc="http://schemas.openxmlformats.org/markup-compatibility/2006"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egoe UI Emoji">
    <w:panose1 w:val="020B0502040204020203"/>
    <w:charset w:val="00"/>
    <w:family w:val="auto"/>
    <w:pitch w:val="default"/>
    <w:sig w:usb0="00000001" w:usb1="02000000" w:usb2="00000000" w:usb3="00000000" w:csb0="00000001" w:csb1="00000000"/>
  </w:font>
</w:fonts>
</file>

<file path=word/settings.xml><?xml version="1.0" encoding="utf-8"?>
<w:settings xmlns:w14="http://schemas.microsoft.com/office/word/2010/wordml" xmlns:r="http://schemas.openxmlformats.org/officeDocument/2006/relationships" xmlns:sl="http://schemas.openxmlformats.org/schemaLibrary/2006/main" xmlns:v="urn:schemas-microsoft-com:vml" xmlns:wpsCustomData="http://www.wps.cn/officeDocument/2013/wpsCustomData" xmlns:w10="urn:schemas-microsoft-com:office:word" xmlns:o="urn:schemas-microsoft-com:office:office" xmlns:w="http://schemas.openxmlformats.org/wordprocessingml/2006/main" xmlns:m="http://schemas.openxmlformats.org/officeDocument/2006/math" xmlns:mc="http://schemas.openxmlformats.org/markup-compatibility/2006" mc:Ignorable="w14">
  <w:bordersDoNotSurroundHeader/>
  <w:bordersDoNotSurroundFooter/>
  <w:defaultTabStop w:val="420"/>
  <w:drawingGridVerticalSpacing w:val="156"/>
  <w:displayHorizontalDrawingGridEvery w:val="1"/>
  <w:displayVerticalDrawingGridEvery w:val="1"/>
  <w:characterSpacingControl w:val="compressPunctuation"/>
  <w:zoom w:percent="90"/>
  <w:compat>
    <w:spaceForUL/>
    <w:balanceSingleByteDoubleByteWidth/>
    <w:doNotLeaveBackslashAlone/>
    <w:ulTrailSpace/>
    <w:doNotExpandShiftReturn/>
    <w:adjustLineHeightInTable/>
    <w:useFELayout/>
    <w:compatSetting w:val="14" w:uri="http://schemas.microsoft.com/office/word" w:name="compatibilityMode"/>
    <w:compatSetting w:val="1" w:uri="http://schemas.microsoft.com/office/word" w:name="overrideTableStyleFontSizeAndJustification"/>
    <w:compatSetting w:val="1" w:uri="http://schemas.microsoft.com/office/word" w:name="enableOpenTypeFeatures"/>
    <w:compatSetting w:val="1" w:uri="http://schemas.microsoft.com/office/word" w:name="doNotFlipMirrorIndents"/>
  </w:compat>
  <w:rsids>
    <w:rsidRoot w:val="3FBF7261"/>
    <w:rsid w:val="040000C7"/>
    <w:rsid w:val="1C756EBE"/>
    <w:rsid w:val="24BC4371"/>
    <w:rsid w:val="261361BF"/>
    <w:rsid w:val="30446459"/>
    <w:rsid w:val="3D347EBE"/>
    <w:rsid w:val="3FBF7261"/>
    <w:rsid w:val="409475F1"/>
    <w:rsid w:val="46454EEA"/>
  </w:rsids>
  <m:mathPr>
    <m:mathFont val="Cambria Math"/>
    <m:brkBin val="before"/>
    <m:brkBinSub val="--"/>
    <m:smallFrac val="0"/>
    <m:dispDef/>
    <m:lMargin val="0"/>
    <m:rMargin val="0"/>
    <m:defJc val="centerGroup"/>
    <m:wrapIndent val="1440"/>
    <m:intLim val="subSup"/>
    <m:naryLim val="undOvr"/>
  </m:mathPr>
  <w:themeFontLang w:eastAsia="zh-CN" w:val="en-US"/>
  <w:clrSchemeMapping w:bg1="lt1" w:t1="dark1" w:bg2="lt2" w:t2="dark2" w:accent1="accent1" w:accent2="accent2" w:accent3="accent3" w:accent4="accent4" w:accent5="accent5" w:accent6="accent6" w:hyperlink="hyperlink" w:followedHyperlink="followedHyperlink" tx1="dk1" tx2="dk2"/>
  <w:decimalSymbol/>
  <w:listSeparator/>
</w:settings>
</file>

<file path=word/styles.xml><?xml version="1.0" encoding="utf-8"?>
<w:styles xmlns:wpsCustomData="http://www.wps.cn/officeDocument/2013/wpsCustomData" xmlns:w10="urn:schemas-microsoft-com:office:word" xmlns:w14="http://schemas.microsoft.com/office/word/2010/wordml" xmlns:r="http://schemas.openxmlformats.org/officeDocument/2006/relationships" xmlns:o="urn:schemas-microsoft-com:office:office" xmlns:w="http://schemas.openxmlformats.org/wordprocessingml/2006/main" xmlns:sl="http://schemas.openxmlformats.org/schemaLibrary/2006/main" xmlns:v="urn:schemas-microsoft-com:vml" xmlns:m="http://schemas.openxmlformats.org/officeDocument/2006/math" xmlns:mc="http://schemas.openxmlformats.org/markup-compatibility/2006" mc:Ignorable="w14">
  <w:docDefaults>
    <w:rPrDefault>
      <w:rPr>
        <w:rFonts w:ascii="Times New Roman" w:hAnsi="Times New Roman" w:eastAsia="宋体" w:cs="Times New Roman"/>
      </w:rPr>
    </w:rPrDefault>
    <w:pPrDefault/>
  </w:docDefaults>
  <w:latentStyles w:defLockedState="0" w:defSemiHidden="1" w:defUnhideWhenUsed="1" w:defQFormat="0" w:defUIPriority="99" w:count="260">
    <w:lsdException w:name="Balloon Text" w:semiHidden="0" w:unhideWhenUsed="0"/>
    <w:lsdException w:name="Block Text" w:semiHidden="0" w:unhideWhenUsed="0"/>
    <w:lsdException w:name="Body Text" w:unhideWhenUsed="0"/>
    <w:lsdException w:name="Body Text 2" w:semiHidden="0" w:unhideWhenUsed="0"/>
    <w:lsdException w:name="Body Text 3" w:semiHidden="0" w:unhideWhenUsed="0"/>
    <w:lsdException w:name="Body Text First Indent" w:semiHidden="0" w:unhideWhenUsed="0"/>
    <w:lsdException w:name="Body Text First Indent 2" w:semiHidden="0" w:unhideWhenUsed="0"/>
    <w:lsdException w:name="Body Text Indent" w:semiHidden="0" w:unhideWhenUsed="0"/>
    <w:lsdException w:name="Body Text Indent 2" w:semiHidden="0" w:unhideWhenUsed="0"/>
    <w:lsdException w:name="Body Text Indent 3" w:semiHidden="0" w:unhideWhenUsed="0"/>
    <w:lsdException w:name="Closing" w:semiHidden="0" w:unhideWhenUsed="0"/>
    <w:lsdException w:name="Colorful Grid" w:semiHidden="0" w:unhideWhenUsed="0"/>
    <w:lsdException w:name="Colorful Grid Accent 1" w:semiHidden="0" w:unhideWhenUsed="0"/>
    <w:lsdException w:name="Colorful Grid Accent 2" w:semiHidden="0" w:unhideWhenUsed="0"/>
    <w:lsdException w:name="Colorful Grid Accent 3" w:semiHidden="0" w:unhideWhenUsed="0"/>
    <w:lsdException w:name="Colorful Grid Accent 4" w:semiHidden="0" w:unhideWhenUsed="0"/>
    <w:lsdException w:name="Colorful Grid Accent 5" w:semiHidden="0" w:unhideWhenUsed="0"/>
    <w:lsdException w:name="Colorful Grid Accent 6" w:semiHidden="0" w:unhideWhenUsed="0"/>
    <w:lsdException w:name="Colorful List" w:semiHidden="0" w:unhideWhenUsed="0"/>
    <w:lsdException w:name="Colorful List Accent 1" w:semiHidden="0" w:unhideWhenUsed="0"/>
    <w:lsdException w:name="Colorful List Accent 2" w:semiHidden="0" w:unhideWhenUsed="0"/>
    <w:lsdException w:name="Colorful List Accent 3" w:semiHidden="0" w:unhideWhenUsed="0"/>
    <w:lsdException w:name="Colorful List Accent 4" w:semiHidden="0" w:unhideWhenUsed="0"/>
    <w:lsdException w:name="Colorful List Accent 5" w:semiHidden="0" w:unhideWhenUsed="0"/>
    <w:lsdException w:name="Colorful List Accent 6" w:semiHidden="0" w:unhideWhenUsed="0"/>
    <w:lsdException w:name="Colorful Shading" w:semiHidden="0" w:unhideWhenUsed="0"/>
    <w:lsdException w:name="Colorful Shading Accent 1" w:semiHidden="0" w:unhideWhenUsed="0"/>
    <w:lsdException w:name="Colorful Shading Accent 2" w:semiHidden="0" w:unhideWhenUsed="0"/>
    <w:lsdException w:name="Colorful Shading Accent 3" w:semiHidden="0" w:unhideWhenUsed="0"/>
    <w:lsdException w:name="Colorful Shading Accent 4" w:semiHidden="0" w:unhideWhenUsed="0"/>
    <w:lsdException w:name="Colorful Shading Accent 5" w:semiHidden="0" w:unhideWhenUsed="0"/>
    <w:lsdException w:name="Colorful Shading Accent 6" w:semiHidden="0" w:unhideWhenUsed="0"/>
    <w:lsdException w:name="Dark List" w:semiHidden="0" w:unhideWhenUsed="0"/>
    <w:lsdException w:name="Dark List Accent 1" w:semiHidden="0" w:unhideWhenUsed="0"/>
    <w:lsdException w:name="Dark List Accent 2" w:semiHidden="0" w:unhideWhenUsed="0"/>
    <w:lsdException w:name="Dark List Accent 3" w:semiHidden="0" w:unhideWhenUsed="0"/>
    <w:lsdException w:name="Dark List Accent 4" w:semiHidden="0" w:unhideWhenUsed="0"/>
    <w:lsdException w:name="Dark List Accent 5" w:semiHidden="0" w:unhideWhenUsed="0"/>
    <w:lsdException w:name="Dark List Accent 6" w:semiHidden="0" w:unhideWhenUsed="0"/>
    <w:lsdException w:name="Date" w:semiHidden="0" w:unhideWhenUsed="0"/>
    <w:lsdException w:name="Default Paragraph Font" w:unhideWhenUsed="0"/>
    <w:lsdException w:name="Document Map" w:semiHidden="0" w:unhideWhenUsed="0"/>
    <w:lsdException w:name="E-mail Signature" w:semiHidden="0" w:unhideWhenUsed="0"/>
    <w:lsdException w:name="Emphasis" w:semiHidden="0" w:unhideWhenUsed="0"/>
    <w:lsdException w:name="FollowedHyperlink" w:semiHidden="0" w:unhideWhenUsed="0"/>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Hyperlink" w:semiHidden="0" w:unhideWhenUsed="0"/>
    <w:lsdException w:name="Light Grid" w:semiHidden="0" w:unhideWhenUsed="0"/>
    <w:lsdException w:name="Light Grid Accent 1" w:semiHidden="0" w:unhideWhenUsed="0"/>
    <w:lsdException w:name="Light Grid Accent 2" w:semiHidden="0" w:unhideWhenUsed="0"/>
    <w:lsdException w:name="Light Grid Accent 3" w:semiHidden="0" w:unhideWhenUsed="0"/>
    <w:lsdException w:name="Light Grid Accent 4" w:semiHidden="0" w:unhideWhenUsed="0"/>
    <w:lsdException w:name="Light Grid Accent 5" w:semiHidden="0" w:unhideWhenUsed="0"/>
    <w:lsdException w:name="Light Grid Accent 6" w:semiHidden="0" w:unhideWhenUsed="0"/>
    <w:lsdException w:name="Light List" w:semiHidden="0" w:unhideWhenUsed="0"/>
    <w:lsdException w:name="Light List Accent 1" w:semiHidden="0" w:unhideWhenUsed="0"/>
    <w:lsdException w:name="Light List Accent 2" w:semiHidden="0" w:unhideWhenUsed="0"/>
    <w:lsdException w:name="Light List Accent 3" w:semiHidden="0" w:unhideWhenUsed="0"/>
    <w:lsdException w:name="Light List Accent 4" w:semiHidden="0" w:unhideWhenUsed="0"/>
    <w:lsdException w:name="Light List Accent 5" w:semiHidden="0" w:unhideWhenUsed="0"/>
    <w:lsdException w:name="Light List Accent 6" w:semiHidden="0" w:unhideWhenUsed="0"/>
    <w:lsdException w:name="Light Shading" w:semiHidden="0" w:unhideWhenUsed="0"/>
    <w:lsdException w:name="Light Shading Accent 1" w:semiHidden="0" w:unhideWhenUsed="0"/>
    <w:lsdException w:name="Light Shading Accent 2" w:semiHidden="0" w:unhideWhenUsed="0"/>
    <w:lsdException w:name="Light Shading Accent 3" w:semiHidden="0" w:unhideWhenUsed="0"/>
    <w:lsdException w:name="Light Shading Accent 4" w:semiHidden="0" w:unhideWhenUsed="0"/>
    <w:lsdException w:name="Light Shading Accent 5" w:semiHidden="0" w:unhideWhenUsed="0"/>
    <w:lsdException w:name="Light Shading Accent 6" w:semiHidden="0" w:unhideWhenUsed="0"/>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List Number"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Medium Grid 1" w:semiHidden="0" w:unhideWhenUsed="0"/>
    <w:lsdException w:name="Medium Grid 1 Accent 1" w:semiHidden="0" w:unhideWhenUsed="0"/>
    <w:lsdException w:name="Medium Grid 1 Accent 2" w:semiHidden="0" w:unhideWhenUsed="0"/>
    <w:lsdException w:name="Medium Grid 1 Accent 3" w:semiHidden="0" w:unhideWhenUsed="0"/>
    <w:lsdException w:name="Medium Grid 1 Accent 4" w:semiHidden="0" w:unhideWhenUsed="0"/>
    <w:lsdException w:name="Medium Grid 1 Accent 5" w:semiHidden="0" w:unhideWhenUsed="0"/>
    <w:lsdException w:name="Medium Grid 1 Accent 6" w:semiHidden="0" w:unhideWhenUsed="0"/>
    <w:lsdException w:name="Medium Grid 2" w:semiHidden="0" w:unhideWhenUsed="0"/>
    <w:lsdException w:name="Medium Grid 2 Accent 1" w:semiHidden="0" w:unhideWhenUsed="0"/>
    <w:lsdException w:name="Medium Grid 2 Accent 2" w:semiHidden="0" w:unhideWhenUsed="0"/>
    <w:lsdException w:name="Medium Grid 2 Accent 3" w:semiHidden="0" w:unhideWhenUsed="0"/>
    <w:lsdException w:name="Medium Grid 2 Accent 4" w:semiHidden="0" w:unhideWhenUsed="0"/>
    <w:lsdException w:name="Medium Grid 2 Accent 5" w:semiHidden="0" w:unhideWhenUsed="0"/>
    <w:lsdException w:name="Medium Grid 2 Accent 6" w:semiHidden="0" w:unhideWhenUsed="0"/>
    <w:lsdException w:name="Medium Grid 3" w:semiHidden="0" w:unhideWhenUsed="0"/>
    <w:lsdException w:name="Medium Grid 3 Accent 1" w:semiHidden="0" w:unhideWhenUsed="0"/>
    <w:lsdException w:name="Medium Grid 3 Accent 2" w:semiHidden="0" w:unhideWhenUsed="0"/>
    <w:lsdException w:name="Medium Grid 3 Accent 3" w:semiHidden="0" w:unhideWhenUsed="0"/>
    <w:lsdException w:name="Medium Grid 3 Accent 4" w:semiHidden="0" w:unhideWhenUsed="0"/>
    <w:lsdException w:name="Medium Grid 3 Accent 5" w:semiHidden="0" w:unhideWhenUsed="0"/>
    <w:lsdException w:name="Medium Grid 3 Accent 6" w:semiHidden="0" w:unhideWhenUsed="0"/>
    <w:lsdException w:name="Medium List 1" w:semiHidden="0" w:unhideWhenUsed="0"/>
    <w:lsdException w:name="Medium List 1 Accent 1" w:semiHidden="0" w:unhideWhenUsed="0"/>
    <w:lsdException w:name="Medium List 1 Accent 2" w:semiHidden="0" w:unhideWhenUsed="0"/>
    <w:lsdException w:name="Medium List 1 Accent 3" w:semiHidden="0" w:unhideWhenUsed="0"/>
    <w:lsdException w:name="Medium List 1 Accent 4" w:semiHidden="0" w:unhideWhenUsed="0"/>
    <w:lsdException w:name="Medium List 1 Accent 5" w:semiHidden="0" w:unhideWhenUsed="0"/>
    <w:lsdException w:name="Medium List 1 Accent 6" w:semiHidden="0" w:unhideWhenUsed="0"/>
    <w:lsdException w:name="Medium List 2" w:semiHidden="0" w:unhideWhenUsed="0"/>
    <w:lsdException w:name="Medium List 2 Accent 1" w:semiHidden="0" w:unhideWhenUsed="0"/>
    <w:lsdException w:name="Medium List 2 Accent 2" w:semiHidden="0" w:unhideWhenUsed="0"/>
    <w:lsdException w:name="Medium List 2 Accent 3" w:semiHidden="0" w:unhideWhenUsed="0"/>
    <w:lsdException w:name="Medium List 2 Accent 4" w:semiHidden="0" w:unhideWhenUsed="0"/>
    <w:lsdException w:name="Medium List 2 Accent 5" w:semiHidden="0" w:unhideWhenUsed="0"/>
    <w:lsdException w:name="Medium List 2 Accent 6" w:semiHidden="0" w:unhideWhenUsed="0"/>
    <w:lsdException w:name="Medium Shading 1" w:semiHidden="0" w:unhideWhenUsed="0"/>
    <w:lsdException w:name="Medium Shading 1 Accent 1" w:semiHidden="0" w:unhideWhenUsed="0"/>
    <w:lsdException w:name="Medium Shading 1 Accent 2" w:semiHidden="0" w:unhideWhenUsed="0"/>
    <w:lsdException w:name="Medium Shading 1 Accent 3" w:semiHidden="0" w:unhideWhenUsed="0"/>
    <w:lsdException w:name="Medium Shading 1 Accent 4" w:semiHidden="0" w:unhideWhenUsed="0"/>
    <w:lsdException w:name="Medium Shading 1 Accent 5" w:semiHidden="0" w:unhideWhenUsed="0"/>
    <w:lsdException w:name="Medium Shading 1 Accent 6" w:semiHidden="0" w:unhideWhenUsed="0"/>
    <w:lsdException w:name="Medium Shading 2" w:semiHidden="0" w:unhideWhenUsed="0"/>
    <w:lsdException w:name="Medium Shading 2 Accent 1" w:semiHidden="0" w:unhideWhenUsed="0"/>
    <w:lsdException w:name="Medium Shading 2 Accent 2" w:semiHidden="0" w:unhideWhenUsed="0"/>
    <w:lsdException w:name="Medium Shading 2 Accent 3" w:semiHidden="0" w:unhideWhenUsed="0"/>
    <w:lsdException w:name="Medium Shading 2 Accent 4" w:semiHidden="0" w:unhideWhenUsed="0"/>
    <w:lsdException w:name="Medium Shading 2 Accent 5" w:semiHidden="0" w:unhideWhenUsed="0"/>
    <w:lsdException w:name="Medium Shading 2 Accent 6" w:semiHidden="0" w:unhideWhenUsed="0"/>
    <w:lsdException w:name="Message Header" w:semiHidden="0" w:unhideWhenUsed="0"/>
    <w:lsdException w:name="Normal" w:unhideWhenUsed="0"/>
    <w:lsdException w:name="Normal (Web)" w:semiHidden="0" w:unhideWhenUsed="0"/>
    <w:lsdException w:name="Normal Indent" w:semiHidden="0" w:unhideWhenUsed="0"/>
    <w:lsdException w:name="Normal Table" w:unhideWhenUsed="0"/>
    <w:lsdException w:name="Note Heading" w:semiHidden="0" w:unhideWhenUsed="0"/>
    <w:lsdException w:name="Plain Text" w:semiHidden="0" w:unhideWhenUsed="0"/>
    <w:lsdException w:name="Salutation" w:semiHidden="0" w:unhideWhenUsed="0"/>
    <w:lsdException w:name="Signature" w:semiHidden="0" w:unhideWhenUsed="0"/>
    <w:lsdException w:name="Strong" w:semiHidden="0" w:unhideWhenUsed="0"/>
    <w:lsdException w:name="Subtitle" w:semiHidden="0" w:unhideWhenUsed="0"/>
    <w:lsdException w:name="Table 3D effects 1" w:semiHidden="0" w:unhideWhenUsed="0"/>
    <w:lsdException w:name="Table 3D effects 2" w:semiHidden="0" w:unhideWhenUsed="0"/>
    <w:lsdException w:name="Table 3D effects 3" w:semiHidden="0" w:unhideWhenUsed="0"/>
    <w:lsdException w:name="Table Classic 1" w:semiHidden="0" w:unhideWhenUsed="0"/>
    <w:lsdException w:name="Table Classic 2" w:semiHidden="0" w:unhideWhenUsed="0"/>
    <w:lsdException w:name="Table Classic 3" w:semiHidden="0" w:unhideWhenUsed="0"/>
    <w:lsdException w:name="Table Classic 4" w:semiHidden="0" w:unhideWhenUsed="0"/>
    <w:lsdException w:name="Table Colorful 1" w:semiHidden="0" w:unhideWhenUsed="0"/>
    <w:lsdException w:name="Table Colorful 2" w:semiHidden="0" w:unhideWhenUsed="0"/>
    <w:lsdException w:name="Table Colorful 3" w:semiHidden="0" w:unhideWhenUsed="0"/>
    <w:lsdException w:name="Table Columns 1" w:semiHidden="0" w:unhideWhenUsed="0"/>
    <w:lsdException w:name="Table Columns 2" w:semiHidden="0" w:unhideWhenUsed="0"/>
    <w:lsdException w:name="Table Columns 3" w:semiHidden="0" w:unhideWhenUsed="0"/>
    <w:lsdException w:name="Table Columns 4" w:semiHidden="0" w:unhideWhenUsed="0"/>
    <w:lsdException w:name="Table Columns 5" w:semiHidden="0" w:unhideWhenUsed="0"/>
    <w:lsdException w:name="Table Contemporary" w:semiHidden="0" w:unhideWhenUsed="0"/>
    <w:lsdException w:name="Table Elegant" w:semiHidden="0" w:unhideWhenUsed="0"/>
    <w:lsdException w:name="Table Grid" w:semiHidden="0" w:unhideWhenUsed="0"/>
    <w:lsdException w:name="Table Grid 1" w:semiHidden="0" w:unhideWhenUsed="0"/>
    <w:lsdException w:name="Table Grid 2" w:semiHidden="0" w:unhideWhenUsed="0"/>
    <w:lsdException w:name="Table Grid 3" w:semiHidden="0" w:unhideWhenUsed="0"/>
    <w:lsdException w:name="Table Grid 4" w:semiHidden="0" w:unhideWhenUsed="0"/>
    <w:lsdException w:name="Table Grid 5" w:semiHidden="0" w:unhideWhenUsed="0"/>
    <w:lsdException w:name="Table Grid 6" w:semiHidden="0" w:unhideWhenUsed="0"/>
    <w:lsdException w:name="Table Grid 7" w:semiHidden="0" w:unhideWhenUsed="0"/>
    <w:lsdException w:name="Table Grid 8" w:semiHidden="0" w:unhideWhenUsed="0"/>
    <w:lsdException w:name="Table List 1" w:semiHidden="0" w:unhideWhenUsed="0"/>
    <w:lsdException w:name="Table List 2" w:semiHidden="0" w:unhideWhenUsed="0"/>
    <w:lsdException w:name="Table List 3" w:semiHidden="0" w:unhideWhenUsed="0"/>
    <w:lsdException w:name="Table List 4" w:semiHidden="0" w:unhideWhenUsed="0"/>
    <w:lsdException w:name="Table List 5" w:semiHidden="0" w:unhideWhenUsed="0"/>
    <w:lsdException w:name="Table List 6" w:semiHidden="0" w:unhideWhenUsed="0"/>
    <w:lsdException w:name="Table List 7" w:semiHidden="0" w:unhideWhenUsed="0"/>
    <w:lsdException w:name="Table List 8" w:semiHidden="0" w:unhideWhenUsed="0"/>
    <w:lsdException w:name="Table Professional" w:semiHidden="0" w:unhideWhenUsed="0"/>
    <w:lsdException w:name="Table Simple 1" w:semiHidden="0" w:unhideWhenUsed="0"/>
    <w:lsdException w:name="Table Simple 2" w:semiHidden="0" w:unhideWhenUsed="0"/>
    <w:lsdException w:name="Table Simple 3" w:semiHidden="0" w:unhideWhenUsed="0"/>
    <w:lsdException w:name="Table Subtle 1" w:semiHidden="0" w:unhideWhenUsed="0"/>
    <w:lsdException w:name="Table Subtle 2" w:semiHidden="0" w:unhideWhenUsed="0"/>
    <w:lsdException w:name="Table Theme" w:semiHidden="0" w:unhideWhenUsed="0"/>
    <w:lsdException w:name="Table Web 1" w:semiHidden="0" w:unhideWhenUsed="0"/>
    <w:lsdException w:name="Table Web 2" w:semiHidden="0" w:unhideWhenUsed="0"/>
    <w:lsdException w:name="Table Web 3" w:semiHidden="0" w:unhideWhenUsed="0"/>
    <w:lsdException w:name="Title" w:semiHidden="0" w:unhideWhenUsed="0"/>
    <w:lsdException w:name="annotation reference" w:semiHidden="0" w:unhideWhenUsed="0"/>
    <w:lsdException w:name="annotation subject" w:semiHidden="0" w:unhideWhenUsed="0"/>
    <w:lsdException w:name="annotation text" w:semiHidden="0" w:unhideWhenUsed="0"/>
    <w:lsdException w:name="caption"/>
    <w:lsdException w:name="endnote reference" w:semiHidden="0" w:unhideWhenUsed="0"/>
    <w:lsdException w:name="endnote text" w:semiHidden="0" w:unhideWhenUsed="0"/>
    <w:lsdException w:name="envelope address" w:semiHidden="0" w:unhideWhenUsed="0"/>
    <w:lsdException w:name="envelope return" w:semiHidden="0" w:unhideWhenUsed="0"/>
    <w:lsdException w:name="footer" w:semiHidden="0" w:unhideWhenUsed="0"/>
    <w:lsdException w:name="footnote reference" w:semiHidden="0" w:unhideWhenUsed="0"/>
    <w:lsdException w:name="footnote text" w:semiHidden="0" w:unhideWhenUsed="0"/>
    <w:lsdException w:name="header" w:semiHidden="0" w:unhideWhenUsed="0"/>
    <w:lsdException w:name="heading 1" w:semiHidden="0" w:unhideWhenUsed="0"/>
    <w:lsdException w:name="heading 2"/>
    <w:lsdException w:name="heading 3"/>
    <w:lsdException w:name="heading 4"/>
    <w:lsdException w:name="heading 5"/>
    <w:lsdException w:name="heading 6"/>
    <w:lsdException w:name="heading 7"/>
    <w:lsdException w:name="heading 8"/>
    <w:lsdException w:name="heading 9"/>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index heading" w:semiHidden="0" w:unhideWhenUsed="0"/>
    <w:lsdException w:name="line number" w:semiHidden="0" w:unhideWhenUsed="0"/>
    <w:lsdException w:name="macro" w:semiHidden="0" w:unhideWhenUsed="0"/>
    <w:lsdException w:name="page number" w:semiHidden="0" w:unhideWhenUsed="0"/>
    <w:lsdException w:name="table of authorities" w:semiHidden="0" w:unhideWhenUsed="0"/>
    <w:lsdException w:name="table of figures" w:semiHidden="0" w:unhideWhenUsed="0"/>
    <w:lsdException w:name="toa heading"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atentStyles>
  <w:style w:type="paragraph" w:styleId="1" w:default="1">
    <w:name w:val="Normal"/>
    <w:uiPriority w:val="0"/>
    <w:semiHidden/>
    <w:qFormat/>
    <w:pPr>
      <w:widowControl w:val="0"/>
      <w:jc w:val="both"/>
    </w:pPr>
    <w:rPr>
      <w:sz w:val="21"/>
      <w:lang w:val="en-US" w:eastAsia="zh-CN" w:bidi="ar-SA"/>
      <w:kern w:val="2"/>
      <w:szCs w:val="24"/>
      <w:rFonts w:asciiTheme="minorHAnsi" w:hAnsiTheme="minorHAnsi" w:eastAsiaTheme="minorEastAsia" w:cstheme="minorBidi"/>
    </w:rPr>
  </w:style>
  <w:style w:type="character" w:styleId="3" w:default="1">
    <w:name w:val="Default Paragraph Font"/>
    <w:uiPriority w:val="0"/>
    <w:semiHidden/>
    <w:qFormat/>
  </w:style>
  <w:style w:type="table" w:styleId="2" w:default="1">
    <w:name w:val="Normal Table"/>
    <w:uiPriority w:val="0"/>
    <w:semiHidden/>
    <w:qFormat/>
    <w:tblPr>
      <w:tblCellMar>
        <w:top w:type="dxa" w:w="0.000000"/>
        <w:bottom w:type="dxa" w:w="0.000000"/>
        <w:left w:type="dxa" w:w="108.000000"/>
        <w:right w:type="dxa" w:w="108.000000"/>
      </w:tblCellMar>
    </w:tblPr>
  </w:style>
</w:styles>
</file>

<file path=word/_rels/document.xml.rels><?xml version="1.0" encoding="UTF-8" standalone="yes"?><Relationships xmlns="http://schemas.openxmlformats.org/package/2006/relationships"><Relationship Id="rId3" Type="http://schemas.openxmlformats.org/officeDocument/2006/relationships/theme" Target="theme/theme1.xml" /><Relationship Id="rId2" Type="http://schemas.openxmlformats.org/officeDocument/2006/relationships/fontTable" Target="fontTable.xml" /><Relationship Id="rId1" Type="http://schemas.openxmlformats.org/officeDocument/2006/relationships/settings" Target="settings.xml" /><Relationship Id="rId0" Type="http://schemas.openxmlformats.org/officeDocument/2006/relationships/styles" Target="styles.xml" /></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panose=""/>
        <a:ea typeface=""/>
        <a:cs typeface=""/>
        <a:font script="Viet" typeface="Times New Roman"/>
        <a:font script="Tibt" typeface="Microsoft Himalaya"/>
        <a:font script="Laoo" typeface="DokChampa"/>
        <a:font script="Geor" typeface="Sylfaen"/>
        <a:font script="Sinh" typeface="Iskoola Pota"/>
        <a:font script="Hebr" typeface="Times New Roman"/>
        <a:font script="Cher" typeface="Plantagenet Cherokee"/>
        <a:font script="Mlym" typeface="Kartika"/>
        <a:font script="Hang" typeface="맑은 고딕"/>
        <a:font script="Mong" typeface="Mongolian Baiti"/>
        <a:font script="Telu" typeface="Gautami"/>
        <a:font script="Deva" typeface="Mangal"/>
        <a:font script="Orya" typeface="Kalinga"/>
        <a:font script="Cans" typeface="Euphemia"/>
        <a:font script="Khmr" typeface="MoolBoran"/>
        <a:font script="Syrc" typeface="Estrangelo Edessa"/>
        <a:font script="Gujr" typeface="Shruti"/>
        <a:font script="Thai" typeface="Angsana New"/>
        <a:font script="Uigh" typeface="Microsoft Uighur"/>
        <a:font script="Beng" typeface="Vrinda"/>
        <a:font script="Hans" typeface="宋体"/>
        <a:font script="Guru" typeface="Raavi"/>
        <a:font script="Yiii" typeface="Microsoft Yi Baiti"/>
        <a:font script="Jpan" typeface="ＭＳ ゴシック"/>
        <a:font script="Thaa" typeface="MV Boli"/>
        <a:font script="Ethi" typeface="Nyala"/>
        <a:font script="Taml" typeface="Latha"/>
        <a:font script="Knda" typeface="Tunga"/>
        <a:font script="Arab" typeface="Times New Roman"/>
        <a:font script="Hant" typeface="新細明體"/>
      </a:majorFont>
      <a:minorFont>
        <a:latin typeface="Calibri" panose=""/>
        <a:ea typeface=""/>
        <a:cs typeface=""/>
        <a:font script="Viet" typeface="Arial"/>
        <a:font script="Tibt" typeface="Microsoft Himalaya"/>
        <a:font script="Laoo" typeface="DokChampa"/>
        <a:font script="Geor" typeface="Sylfaen"/>
        <a:font script="Sinh" typeface="Iskoola Pota"/>
        <a:font script="Hebr" typeface="Arial"/>
        <a:font script="Cher" typeface="Plantagenet Cherokee"/>
        <a:font script="Mlym" typeface="Kartika"/>
        <a:font script="Hang" typeface="맑은 고딕"/>
        <a:font script="Mong" typeface="Mongolian Baiti"/>
        <a:font script="Telu" typeface="Gautami"/>
        <a:font script="Deva" typeface="Mangal"/>
        <a:font script="Orya" typeface="Kalinga"/>
        <a:font script="Cans" typeface="Euphemia"/>
        <a:font script="Khmr" typeface="DaunPenh"/>
        <a:font script="Syrc" typeface="Estrangelo Edessa"/>
        <a:font script="Gujr" typeface="Shruti"/>
        <a:font script="Thai" typeface="Cordia New"/>
        <a:font script="Uigh" typeface="Microsoft Uighur"/>
        <a:font script="Beng" typeface="Vrinda"/>
        <a:font script="Hans" typeface="宋体"/>
        <a:font script="Guru" typeface="Raavi"/>
        <a:font script="Yiii" typeface="Microsoft Yi Baiti"/>
        <a:font script="Jpan" typeface="ＭＳ 明朝"/>
        <a:font script="Thaa" typeface="MV Boli"/>
        <a:font script="Ethi" typeface="Nyala"/>
        <a:font script="Taml" typeface="Latha"/>
        <a:font script="Knda" typeface="Tunga"/>
        <a:font script="Arab" typeface="Arial"/>
        <a:font script="Hant" typeface="新細明體"/>
      </a:minorFont>
    </a:fontScheme>
    <a:fmtScheme name="WPS">
      <a:fillStyleLst>
        <a:solidFill>
          <a:schemeClr val="phClr"/>
        </a:solidFill>
        <a:gradFill rotWithShape="0">
          <a:gsLst>
            <a:gs pos="0">
              <a:schemeClr val="phClr">
                <a:lumOff val="17500"/>
              </a:schemeClr>
            </a:gs>
            <a:gs pos="100000">
              <a:schemeClr val="phClr"/>
            </a:gs>
          </a:gsLst>
          <a:lin ang="2700000" scaled="0"/>
        </a:gradFill>
        <a:gradFill rotWithShape="0">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prstDash val="solid"/>
          <a:miter lim="800000"/>
        </a:ln>
      </a:lnStyleLst>
      <a:effectStyleLst>
        <a:effectStyle>
          <a:effectLst>
            <a:outerShdw blurRad="101600" dist="50800" dir="5400000" algn="ctr" rotWithShape="0">
              <a:schemeClr val="phClr">
                <a:alpha val="60000"/>
              </a:schemeClr>
            </a:outerShdw>
          </a:effectLst>
        </a:effectStyle>
        <a:effectStyle>
          <a:effectLst>
            <a:reflection a:dist="25400" a:dir="5400000" a:sy="-100000" a:endA="300" a:endPos="40000" a:stA="50000" a:algn="bl"/>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vt="http://schemas.openxmlformats.org/officeDocument/2006/docPropsVTypes" xmlns="http://schemas.openxmlformats.org/officeDocument/2006/extended-properties">
  <Template>Normal.dotm</Template>
  <TotalTime>91</TotalTime>
  <Pages>4</Pages>
  <Words>1427</Words>
  <Characters>1470</Characters>
  <Application>WPS Office_12.1.0.25225_F1E327BC-269C-435d-A152-05C5408002CA</Application>
  <DocSecurity>0</DocSecurity>
  <Lines>0</Lines>
  <Paragraphs>0</Paragraphs>
  <ScaleCrop>false</ScaleCrop>
  <Company/>
  <LinksUpToDate>false</LinksUpToDate>
  <CharactersWithSpaces>1478</CharactersWithSpaces>
  <SharedDoc>false</SharedDoc>
  <HyperlinksChanged>false</HyperlinksChanged>
</Properties>
</file>

<file path=docProps/core.xml><?xml version="1.0" encoding="utf-8"?>
<cp:coreProperties xmlns:xsi="http://www.w3.org/2001/XMLSchema-instance" xmlns:dcmitype="http://purl.org/dc/dcmitype/" xmlns:dc="http://purl.org/dc/elements/1.1/" xmlns:dcterms="http://purl.org/dc/terms/" xmlns:cp="http://schemas.openxmlformats.org/package/2006/metadata/core-properties">
  <dc:title/>
  <dc:subject/>
  <dc:creator>M</dc:creator>
  <cp:keywords/>
  <dc:description/>
  <cp:lastModifiedBy>M</cp:lastModifiedBy>
  <cp:revision>1</cp:revision>
  <dcterms:created xsi:type="dcterms:W3CDTF">2026-03-31T00:52:00Z</dcterms:created>
  <dcterms:modified xsi:type="dcterms:W3CDTF">2026-04-01T03:45:23Z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2052-12.1.0.25225</vt:lpwstr>
  </property>
  <property fmtid="{D5CDD505-2E9C-101B-9397-08002B2CF9AE}" pid="3" name="ICV">
    <vt:lpwstr>F58D7275B38B4E069F5A67D11988E1C4_11</vt:lpwstr>
  </property>
  <property fmtid="{D5CDD505-2E9C-101B-9397-08002B2CF9AE}" pid="4" name="KSOTemplateDocerSaveRecord">
    <vt:lpwstr>eyJoZGlkIjoiY2M1NmFkZmIzYzE2Yzk4NzNlYTg2ZTUwNDRlYzE5NjYiLCJ1c2VySWQiOiI1MDAwNzI4OTMifQ==</vt:lpwstr>
  </property>
</Properties>
</file>

<file path=tbak/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8693B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石家庄市藁城区农村供水价格收费机制</w:t>
      </w:r>
    </w:p>
    <w:p w14:paraId="0A35E17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14:paraId="51DE2B4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为加快推进农村安全供水运营工作，保障农村水费收缴工作 依法依规开展，按照《河北省农村供水用水管理办法》、《石家庄 市城市供水用水管理条例》等有关文件规定，参照栾城、鹿泉等县区的成功经验和现行收费情况，结合实际制定藁城区农村供水 价格收费机制：</w:t>
      </w:r>
    </w:p>
    <w:p w14:paraId="2D4599D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一、定价原则</w:t>
      </w:r>
    </w:p>
    <w:p w14:paraId="2E0168F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石家庄市周边县、市(区),所用原水都来自“南水北调”地表水。当前，藁城区城区、乡镇依托地表水厂二期项目和城乡 生活水源置换工程已具备城乡一体化供水条件。按照“同水源、 同水质、同水价、同服务”的标准，农村水价不另行制定。执行现行水价。农村居民饮用水价格定为3.6元/吨(含税费0.4元)。</w:t>
      </w:r>
    </w:p>
    <w:p w14:paraId="6ECB46B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二、农村供水价格</w:t>
      </w:r>
    </w:p>
    <w:p w14:paraId="79BC48D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充分考虑农村的实际情况和农民的承受能力，农村供水第一年以2.0元/吨(含税费0.4元)的价格向农村居民供水，以后每年递增0.2元/吨，直到调整至3.6元/吨(含税费0.4元)。 过渡期区财政根据供水公司运行情况，适当补贴。通过逐年增加的方式，逐步培养农村居民有偿用水、节约用水意识。</w:t>
      </w:r>
    </w:p>
    <w:p w14:paraId="3173A23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w:t>
      </w:r>
      <w:r>
        <w:rPr>
          <w:rFonts w:hint="eastAsia" w:ascii="黑体" w:hAnsi="黑体" w:eastAsia="黑体" w:cs="黑体"/>
          <w:sz w:val="32"/>
          <w:szCs w:val="32"/>
          <w:lang w:val="en-US" w:eastAsia="zh-CN"/>
        </w:rPr>
        <w:t>水费收缴奖惩</w:t>
      </w:r>
      <w:r>
        <w:rPr>
          <w:rFonts w:hint="eastAsia" w:ascii="黑体" w:hAnsi="黑体" w:eastAsia="黑体" w:cs="黑体"/>
          <w:sz w:val="32"/>
          <w:szCs w:val="32"/>
        </w:rPr>
        <w:t>机制</w:t>
      </w:r>
    </w:p>
    <w:p w14:paraId="3DBAE44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(一)明确15%为供水公司可承担的正常管网漏损范围，超出该范围的漏损量，由镇、村两级按职责承担相应管控责任。</w:t>
      </w:r>
    </w:p>
    <w:p w14:paraId="669881A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奖励费用实行按月核算、按季兑现，专项用于村内管网及水表设施维护维修、水费催缴、供水设施日常巡检、漏损排查等工作，由村集体专款专用，乡镇主管部门负责监督资金使用情况，具体奖励标准如下：</w:t>
      </w:r>
    </w:p>
    <w:p w14:paraId="78D53E4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漏损率控制在15%（含）以内：按每吨0.5元执行全额奖励，全额拨付专项费用，鼓励村集体加大供水设施精细化管护力度。</w:t>
      </w:r>
    </w:p>
    <w:p w14:paraId="01E43D5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漏损率在15%-25%（含）之间：按每吨0.3元执行奖励，拨付相应比例专项费用，要求村集体针对性开展管网漏损排查，及时整改微小漏损点位。</w:t>
      </w:r>
    </w:p>
    <w:p w14:paraId="50F1BFD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漏损率在25%-30%（含）之间：按每吨0.1元执行梯度奖励，仅拨付基础运维费用，专项用于村内供水管网漏损整改、计量设施校验维护等专项工作，村集体需提交漏损整改计划及推进台账。</w:t>
      </w:r>
    </w:p>
    <w:p w14:paraId="49A57DE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(二)漏损率超过30%的，启动分级处罚管控措施，具体规定如下：</w:t>
      </w:r>
      <w:bookmarkStart w:id="0" w:name="_GoBack"/>
      <w:bookmarkEnd w:id="0"/>
    </w:p>
    <w:p w14:paraId="0F8AF08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立即取消当期全部奖励费用，停止拨付该行政村当月村内管网运维及水费收缴相关专项费用。由乡镇人民政府牵头，联合区水务主管部门、供水公司启动专项核查处置机制，查明漏损超标原因，明确镇、村两级漏损管控主体责任，形成核查报告并下达整改通知书。</w:t>
      </w:r>
    </w:p>
    <w:p w14:paraId="08F601E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责令村级在15个工作日内完成供水管网全面排查、漏损点位定位及整改，同步完成村内所有计量水表的校验、维修或更换，整改期间核减该村后续管网运维相关工作费用，核减比例根据漏损超标程度确定。</w:t>
      </w:r>
    </w:p>
    <w:p w14:paraId="15C2251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整改完成后，由村集体提出验收申请，经供水公司及乡镇主管部门现场验收合格后，方可恢复对应奖励费用计提；验收不合格的，责令限期二次整改，整改期限不得超过10个工作日。</w:t>
      </w:r>
    </w:p>
    <w:p w14:paraId="5775433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对未按要求完成整改、漏损问题反复出现（年度内累计3次及以上漏损率超30%）的行政村，由区级行业主管部门对乡镇分管负责人、村主要负责人进行约谈问责，纳入年度农村供水工作考核负面清单。</w:t>
      </w:r>
    </w:p>
    <w:p w14:paraId="2CF6809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四、用水管理及违规处理</w:t>
      </w:r>
    </w:p>
    <w:p w14:paraId="3C1F893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水工程为政府投资兴建的集中供水工程，实行“三级”管理体系：第一级为水厂厂区工程及入村村口总表以上管网，产权归政府或其指定主体所有，由供水公司负责管理；第二级为村内入户水表以上户外管网，政府投资部分产权归政府，使用权归村集体所有，由村集体、用水户协会或其他组织管理维护；第三级为入户水表(含水表)以下供水设施，政府投资部分产权归政府，使用权归农户，由农户负责管理维护。</w:t>
      </w:r>
    </w:p>
    <w:p w14:paraId="37BEA87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农村涉及水源置换管网，产权归政府或其指定主体所有，所在村享有使用权，维护费用由使用村承担。农村原饮用水自备井产权归村集体所有，使用权、维护保养、维修管理等归供水公司负责。</w:t>
      </w:r>
    </w:p>
    <w:p w14:paraId="7364A47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依据《河北省农村供水用水管理办法》《石家庄市藁城区农村饮水安全运行管理办法》相关规定，结合我区农村供水三级管网分级管理实际，对因管网管护不到位、人为损坏、私接管网等行为造成管网漏损、水资源浪费的，将根据漏损程度及整改落实情况，对相应责任主体采取经济处罚、扣减年度农村供水管护专项经费等处理措施；造成管网严重漏损、影响正常供水的，依法追究相关单位及人员责任，涉嫌违法的，移交相关部门依法处理。</w:t>
      </w:r>
    </w:p>
    <w:p w14:paraId="4718A21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五、农村节水宣传 </w:t>
      </w:r>
    </w:p>
    <w:p w14:paraId="67F23119">
      <w:pPr>
        <w:keepNext w:val="0"/>
        <w:keepLines w:val="0"/>
        <w:pageBreakBefore w:val="0"/>
        <w:widowControl w:val="0"/>
        <w:numPr>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供水公司向农村居民供水实行预缴费制度，各职能部门、各乡镇、各村要积极面向农村居民，宣传农村饮用水相关方针政策，持续加大节水宣传力度，通过多形式、多渠道普及节水常识与用水规范，引导村民切实转变传统用水观念，摒弃粗放用水、无偿用水的旧习惯，牢固树立有偿用水、节约用水、科学用水的意识，不断提高广大农村居民对水资源及农村居民饮用水相关法律法规的认知水平，从思想根源上消除随意浪费水资源现象，共同营造惜水、爱水、节水的良好用水环境。</w:t>
      </w:r>
    </w:p>
    <w:sectPr>
      <w:pgSz w:w="11906" w:h="16838"/>
      <w:pgMar w:top="2098" w:right="1474" w:bottom="1757" w:left="1587" w:header="851" w:footer="992" w:gutter="0"/>
      <w:cols w:space="425" w:num="1"/>
      <w:docGrid w:type="lines" w:linePitch="312" w:charSpace="0"/>
    </w:sectPr>
  </w:body>
</w:document>
</file>

<file path=tbak/document1.xml><?xml version="1.0" encoding="utf-8"?>
<w:document xmlns:wpc="http://schemas.microsoft.com/office/word/2010/wordprocessingCanvas" xmlns:mc="http://schemas.openxmlformats.org/markup-compatibility/2006" xmlns:o="urn:schemas-microsoft-com:office:office" xmlns:w="http://schemas.openxmlformats.org/wordprocessingml/2006/main" xmlns:wpsCustomData="http://www.wps.cn/officeDocument/2013/wpsCustomData" xmlns:m="http://schemas.openxmlformats.org/officeDocument/2006/math" xmlns:wp14="http://schemas.microsoft.com/office/word/2010/wordprocessingDrawing" xmlns:v="urn:schemas-microsoft-com:vml" xmlns:w14="http://schemas.microsoft.com/office/word/2010/wordml" xmlns:wpi="http://schemas.microsoft.com/office/word/2010/wordprocessingInk" xmlns:w10="urn:schemas-microsoft-com:office:word" xmlns:wne="http://schemas.microsoft.com/office/word/2006/wordml" xmlns:w15="http://schemas.microsoft.com/office/word/2012/wordml" xmlns:wp="http://schemas.openxmlformats.org/drawingml/2006/wordprocessingDrawing" xmlns:wpg="http://schemas.microsoft.com/office/word/2010/wordprocessingGroup" xmlns:r="http://schemas.openxmlformats.org/officeDocument/2006/relationships" xmlns:wps="http://schemas.microsoft.com/office/word/2010/wordprocessingShape" mc:Ignorable="w14 w15 wp14">
  <w:body>
    <w:p w14:paraId="2E8693BA">
      <w:pPr>
        <w:widowControl w:val="0"/>
        <w:keepNext w:val="0"/>
        <w:keepLines w:val="0"/>
        <w:pageBreakBefore w:val="0"/>
        <w:wordWrap w:val="1"/>
        <w:overflowPunct w:val="1"/>
        <w:topLinePunct w:val="0"/>
        <w:kinsoku w:val="1"/>
        <w:autoSpaceDE w:val="1"/>
        <w:autoSpaceDN w:val="1"/>
        <w:bidi w:val="0"/>
        <w:adjustRightInd w:val="1"/>
        <w:snapToGrid w:val="1"/>
        <w:jc w:val="center"/>
        <w:spacing w:line="600" w:lineRule="exact"/>
        <w:rPr>
          <w:sz w:val="44"/>
          <w:szCs w:val="44"/>
          <w:rFonts w:ascii="方正小标宋简体" w:hAnsi="方正小标宋简体" w:eastAsia="方正小标宋简体" w:cs="方正小标宋简体" w:hint="eastAsia"/>
        </w:rPr>
      </w:pPr>
      <w:r>
        <w:rPr>
          <w:sz w:val="44"/>
          <w:szCs w:val="44"/>
          <w:rFonts w:ascii="方正小标宋简体" w:hAnsi="方正小标宋简体" w:eastAsia="方正小标宋简体" w:cs="方正小标宋简体" w:hint="eastAsia"/>
        </w:rPr>
        <w:t>石家庄市藁城区农村供水价格收费机制</w:t>
      </w:r>
    </w:p>
    <w:p w14:paraId="0A35E17A">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rFonts w:ascii="仿宋_GB2312" w:hAnsi="仿宋_GB2312" w:eastAsia="仿宋_GB2312" w:cs="仿宋_GB2312" w:hint="eastAsia"/>
        </w:rPr>
        <w:t xml:space="preserve">              （试行）</w:t>
      </w:r>
    </w:p>
    <w:p w14:paraId="51DE2B46">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为加快推进农村安全供水运营工作，保障农村水费收缴工作 依法依规开展，依照《中华人民共和国供水条例》《河北省农村供水用水管理办法》、《石家庄 市藁城区农村饮水安全运行管理办法》等有关规定，参照正定、鹿泉、高邑等县区的成功经验和现行收费方法，结合实际制定本机制：</w:t>
      </w:r>
    </w:p>
    <w:p w14:paraId="2D4599D4">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黑体" w:hAnsi="黑体" w:eastAsia="黑体" w:cs="黑体" w:hint="eastAsia"/>
        </w:rPr>
      </w:pPr>
      <w:r>
        <w:rPr>
          <w:sz w:val="32"/>
          <w:szCs w:val="32"/>
          <w:rFonts w:ascii="黑体" w:hAnsi="黑体" w:eastAsia="黑体" w:cs="黑体" w:hint="eastAsia"/>
        </w:rPr>
        <w:t>一、定价原则</w:t>
      </w:r>
    </w:p>
    <w:p w14:paraId="2E0168F7">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藁城区城区、农村供水所用水源为南水北调水，依托新建地表水厂二期项目和城乡 供水水源置换工程已构建城乡一体化格局。按照“同水源、 同水质、同水价、同服务”的原则，农村水价不另行制定，执行现行水价，3.6元/吨(含税费0.4元)。</w:t>
      </w:r>
    </w:p>
    <w:p w14:paraId="6ECB46BB">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黑体" w:hAnsi="黑体" w:eastAsia="黑体" w:cs="黑体" w:hint="eastAsia"/>
        </w:rPr>
      </w:pPr>
      <w:r>
        <w:rPr>
          <w:sz w:val="32"/>
          <w:szCs w:val="32"/>
          <w:rFonts w:ascii="黑体" w:hAnsi="黑体" w:eastAsia="黑体" w:cs="黑体" w:hint="eastAsia"/>
        </w:rPr>
        <w:t>二、农村供水水费收缴</w:t>
      </w:r>
    </w:p>
    <w:p w14:paraId="79BC48D0">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充分考虑农村实际情况和农民的承受能力，2026年以2.4元/吨(含税费)的标准，依托智慧水务和人工超表相结合，按每月农村居民用水计量数据收取水费，每年递增0.2元/吨，到2032年调整至和城区一致。 过渡期区财政根据供水公司运行情况，按照成本运行的原则，适当补贴。通过逐年递增的方式，逐步培养农村居民有偿用水、节约用水意识。</w:t>
      </w:r>
    </w:p>
    <w:p w14:paraId="3173A23D">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黑体" w:hAnsi="黑体" w:eastAsia="黑体" w:cs="黑体" w:hint="eastAsia"/>
        </w:rPr>
      </w:pPr>
      <w:r>
        <w:rPr>
          <w:sz w:val="32"/>
          <w:szCs w:val="32"/>
          <w:rFonts w:ascii="黑体" w:hAnsi="黑体" w:eastAsia="黑体" w:cs="黑体" w:hint="eastAsia"/>
        </w:rPr>
        <w:t>三、</w:t>
      </w:r>
      <w:r>
        <w:rPr>
          <w:sz w:val="32"/>
          <w:lang w:val="en-US" w:eastAsia="zh-CN"/>
          <w:szCs w:val="32"/>
          <w:rFonts w:ascii="黑体" w:hAnsi="黑体" w:eastAsia="黑体" w:cs="黑体" w:hint="eastAsia"/>
        </w:rPr>
        <w:t>水费收缴奖惩</w:t>
      </w:r>
      <w:r>
        <w:rPr>
          <w:sz w:val="32"/>
          <w:szCs w:val="32"/>
          <w:rFonts w:ascii="黑体" w:hAnsi="黑体" w:eastAsia="黑体" w:cs="黑体" w:hint="eastAsia"/>
        </w:rPr>
        <w:t>机制</w:t>
      </w:r>
    </w:p>
    <w:p w14:paraId="3DBAE441">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(一)为了鼓励镇村的工作积极性，支持镇村的管护行为，按月从水费中计提奖补资金，用于镇村对供水设施的日常管护。</w:t>
      </w:r>
    </w:p>
    <w:p w14:paraId="78D53E4F">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水费收缴率85%以上：按实际收取水费折算用水量，每吨执行0.5元奖励，作为镇村管护经费。</w:t>
      </w:r>
    </w:p>
    <w:p w14:paraId="01E43D57">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收缴率在75%-85%之间，按实际收取水费折算水量，每吨执行0.3元奖励，作为镇村管护经费；收缴率在60%—75%之间，按实际收取水费折算水量，每吨执行0.2元，作为镇村管护经费；收缴率低于60%，按实际收取水费折算水量，每吨执行0.1元作为镇村管护经费。</w:t>
      </w:r>
    </w:p>
    <w:p w14:paraId="8B682F05">
      <w:pPr>
        <w:widowControl w:val="0"/>
        <w:keepNext w:val="0"/>
        <w:keepLines w:val="0"/>
        <w:pageBreakBefore w:val="0"/>
        <w:wordWrap w:val="1"/>
        <w:overflowPunct w:val="1"/>
        <w:topLinePunct w:val="0"/>
        <w:autoSpaceDE w:val="1"/>
        <w:autoSpaceDN w:val="1"/>
        <w:bidi w:val="0"/>
        <w:adjustRightInd w:val="1"/>
        <w:snapToGrid w:val="1"/>
        <w:spacing w:line="600" w:lineRule="exact"/>
        <w:ind w:firstLine="640" w:firstLineChars="200"/>
        <w:rPr>
          <w:sz w:val="32"/>
          <w:rFonts w:ascii="仿宋_GB2312" w:hAnsi="仿宋_GB2312" w:eastAsia="仿宋_GB2312" w:cs="仿宋_GB2312" w:hint="eastAsia"/>
        </w:rPr>
      </w:pPr>
      <w:r>
        <w:rPr>
          <w:sz w:val="32"/>
          <w:rFonts w:ascii="仿宋_GB2312" w:hAnsi="仿宋_GB2312" w:eastAsia="仿宋_GB2312" w:cs="仿宋_GB2312" w:hint="eastAsia"/>
        </w:rPr>
        <w:t>（二）严格管控管网漏损率</w:t>
      </w:r>
    </w:p>
    <w:p w14:paraId="50F1BFDD">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各乡镇要组织所辖村，做好节水宣传和用水管理，努力把漏损率控制在20%以内。漏损率按河北清源水利工程有限公司（以下简称清源水利）统计数，全区进行排名。后五名的，限期整改，整改不力的全区通报，追究镇、村相关责任人责任。</w:t>
      </w:r>
    </w:p>
    <w:p w14:paraId="49A57DEF">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bookmarkStart w:id="0" w:name="_GoBack"/>
      <w:bookmarkEnd w:id="0"/>
    </w:p>
    <w:p w14:paraId="08F601E0">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rPr>
          <w:sz w:val="32"/>
          <w:szCs w:val="32"/>
          <w:rFonts w:ascii="仿宋_GB2312" w:hAnsi="仿宋_GB2312" w:eastAsia="仿宋_GB2312" w:cs="仿宋_GB2312" w:hint="eastAsia"/>
        </w:rPr>
      </w:pPr>
    </w:p>
    <w:p w14:paraId="2CF6809B">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lang w:val="en-US" w:eastAsia="zh-CN"/>
          <w:szCs w:val="32"/>
          <w:rFonts w:ascii="黑体" w:hAnsi="黑体" w:eastAsia="黑体" w:cs="黑体" w:hint="default"/>
        </w:rPr>
      </w:pPr>
      <w:r>
        <w:rPr>
          <w:sz w:val="32"/>
          <w:lang w:val="en-US" w:eastAsia="zh-CN"/>
          <w:szCs w:val="32"/>
          <w:rFonts w:ascii="黑体" w:hAnsi="黑体" w:eastAsia="黑体" w:cs="黑体" w:hint="eastAsia"/>
        </w:rPr>
        <w:t>四、实行三级管理制度，加强用水管理及违规处理</w:t>
      </w:r>
    </w:p>
    <w:p w14:paraId="3C1F8936">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集中供水工程实行“三级”管理制度：第一级为地表水厂厂区工程及入村总表以上管网及附属设施（包含入户水表），产权归政府或其指定主体所有，由清源水利负责维修养护；第二级为村内分户水表以上管网和配套设施，政府投资部分产权归政府，使用权归村集体所有，由村委会维修管护；第三级为分户水表以下供水设施，政府投资部分产权归政府，使用权归农户，由农户负责维修管护。</w:t>
      </w:r>
    </w:p>
    <w:p w14:paraId="37BEA879">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农村原饮用水自备井产权归村集体或其他产权人所有，各乡镇组织，按照应急备用水源井的要求进行封存。使用权、管理权统一归清源水利，按照应急备用水源井的要求依法依规使用。维护保养、电费等费用由清源水利承担。</w:t>
      </w:r>
    </w:p>
    <w:p w14:paraId="7364A472">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lang w:val="en-US" w:eastAsia="zh-CN"/>
          <w:szCs w:val="32"/>
          <w:rFonts w:ascii="仿宋_GB2312" w:hAnsi="仿宋_GB2312" w:eastAsia="仿宋_GB2312" w:cs="仿宋_GB2312" w:hint="eastAsia"/>
        </w:rPr>
      </w:pPr>
      <w:r>
        <w:rPr>
          <w:sz w:val="32"/>
          <w:szCs w:val="32"/>
          <w:rFonts w:ascii="仿宋_GB2312" w:hAnsi="仿宋_GB2312" w:eastAsia="仿宋_GB2312" w:cs="仿宋_GB2312" w:hint="eastAsia"/>
        </w:rPr>
        <w:t>对因管网管护不到位、人为损坏、私接管网等行为造成管网漏损、水资源浪费的，严厉追究相关主体责任，涉嫌违法的，移交相关部门依法处理。</w:t>
      </w:r>
    </w:p>
    <w:p w14:paraId="4718A21A">
      <w:pPr>
        <w:widowControl w:val="0"/>
        <w:keepNext w:val="0"/>
        <w:keepLines w:val="0"/>
        <w:pageBreakBefore w:val="0"/>
        <w:wordWrap w:val="1"/>
        <w:overflowPunct w:val="1"/>
        <w:topLinePunct w:val="0"/>
        <w:kinsoku w:val="1"/>
        <w:autoSpaceDE w:val="1"/>
        <w:autoSpaceDN w:val="1"/>
        <w:bidi w:val="0"/>
        <w:adjustRightInd w:val="1"/>
        <w:snapToGrid w:val="1"/>
        <w:spacing w:line="600" w:lineRule="exact"/>
        <w:ind w:firstLine="640" w:firstLineChars="200"/>
        <w:rPr>
          <w:sz w:val="32"/>
          <w:lang w:val="en-US" w:eastAsia="zh-CN"/>
          <w:szCs w:val="32"/>
          <w:rFonts w:ascii="黑体" w:hAnsi="黑体" w:eastAsia="黑体" w:cs="黑体" w:hint="default"/>
        </w:rPr>
      </w:pPr>
      <w:r>
        <w:rPr>
          <w:sz w:val="32"/>
          <w:lang w:val="en-US" w:eastAsia="zh-CN"/>
          <w:szCs w:val="32"/>
          <w:rFonts w:ascii="黑体" w:hAnsi="黑体" w:eastAsia="黑体" w:cs="黑体" w:hint="eastAsia"/>
        </w:rPr>
        <w:t xml:space="preserve">五、进一步加强宣传和引导 </w:t>
      </w:r>
    </w:p>
    <w:p w14:paraId="67F23119">
      <w:pPr>
        <w:widowControl w:val="0"/>
        <w:keepNext w:val="0"/>
        <w:keepLines w:val="0"/>
        <w:pageBreakBefore w:val="0"/>
        <w:wordWrap w:val="1"/>
        <w:overflowPunct w:val="1"/>
        <w:topLinePunct w:val="0"/>
        <w:kinsoku w:val="1"/>
        <w:autoSpaceDE w:val="1"/>
        <w:autoSpaceDN w:val="1"/>
        <w:bidi w:val="0"/>
        <w:adjustRightInd w:val="1"/>
        <w:snapToGrid w:val="1"/>
        <w:numPr>
          <w:ilvl w:val="0"/>
          <w:numId w:val="0"/>
        </w:numPr>
        <w:spacing w:line="600" w:lineRule="exact"/>
        <w:ind w:firstLine="640" w:firstLineChars="200"/>
        <w:rPr>
          <w:sz w:val="32"/>
          <w:szCs w:val="32"/>
          <w:rFonts w:ascii="仿宋_GB2312" w:hAnsi="仿宋_GB2312" w:eastAsia="仿宋_GB2312" w:cs="仿宋_GB2312" w:hint="eastAsia"/>
        </w:rPr>
      </w:pPr>
      <w:r>
        <w:rPr>
          <w:sz w:val="32"/>
          <w:szCs w:val="32"/>
          <w:rFonts w:ascii="仿宋_GB2312" w:hAnsi="仿宋_GB2312" w:eastAsia="仿宋_GB2312" w:cs="仿宋_GB2312" w:hint="eastAsia"/>
        </w:rPr>
        <w:t>农村居民供水实行预缴费制度，各职能部门、各乡镇、各村要积极面向农村居民，宣传农村饮用水相关方针政策，持续加大节水宣传力度，通过多形式、多渠道普及节水常识，引导村民切实转变传统用水观念，摒弃粗放用水、无偿用水的旧习惯，牢固树立有偿用水、节约用水、科学用水的意识，不断提高广大农村居民对水资源及农村居民饮用水相关法律法规的认知水平，从思想根源上消除随意浪费水资源现象，共同营造惜水、爱水、节水的良好用水环境。</w:t>
      </w:r>
    </w:p>
    <w:sectPr>
      <w:docGrid w:type="lines" w:linePitch="312" w:charSpace="0"/>
      <w:pgSz w:w="11906" w:h="16838"/>
      <w:pgMar w:top="2098" w:right="1474" w:bottom="1757" w:left="1587" w:header="851" w:footer="992" w:gutter="0"/>
      <w:cols w:space="425" w:num="1"/>
    </w:sectPr>
  </w:body>
</w:document>
</file>

<file path=tbak/modified.xml>Mon Apr 13 16:44:42 2026
save:Mon Apr 13 17:03:48 2026

</file>