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C2B680">
      <w:pPr>
        <w:pStyle w:val="4"/>
        <w:bidi w:val="0"/>
        <w:jc w:val="center"/>
        <w:rPr>
          <w:rFonts w:hint="eastAsia" w:ascii="方正小标宋简体" w:hAnsi="方正小标宋简体" w:eastAsia="方正小标宋简体" w:cs="方正小标宋简体"/>
          <w:b w:val="0"/>
          <w:bCs/>
        </w:rPr>
      </w:pPr>
      <w:r>
        <w:rPr>
          <w:rFonts w:hint="eastAsia" w:ascii="方正小标宋简体" w:hAnsi="方正小标宋简体" w:eastAsia="方正小标宋简体" w:cs="方正小标宋简体"/>
          <w:b w:val="0"/>
          <w:bCs/>
          <w:lang w:val="en-US" w:eastAsia="zh-CN"/>
        </w:rPr>
        <w:t>藁城区交通运输局</w:t>
      </w:r>
      <w:r>
        <w:rPr>
          <w:rFonts w:hint="eastAsia" w:ascii="方正小标宋简体" w:hAnsi="方正小标宋简体" w:eastAsia="方正小标宋简体" w:cs="方正小标宋简体"/>
          <w:b w:val="0"/>
          <w:bCs/>
        </w:rPr>
        <w:t>包容免罚清单</w:t>
      </w:r>
    </w:p>
    <w:p w14:paraId="69E7A1C4">
      <w:pPr>
        <w:autoSpaceDE w:val="0"/>
        <w:autoSpaceDN w:val="0"/>
        <w:spacing w:before="190" w:after="0" w:line="240" w:lineRule="auto"/>
        <w:ind w:left="218" w:right="0" w:firstLine="0"/>
        <w:jc w:val="left"/>
        <w:rPr>
          <w:rFonts w:hint="eastAsia" w:ascii="仿宋_GB2312" w:hAnsi="仿宋_GB2312" w:eastAsia="仿宋_GB2312" w:cs="仿宋_GB2312"/>
          <w:spacing w:val="-10"/>
          <w:kern w:val="0"/>
          <w:sz w:val="32"/>
          <w:szCs w:val="22"/>
          <w:lang w:val="en-US" w:eastAsia="zh-CN"/>
        </w:rPr>
      </w:pPr>
      <w:r>
        <w:rPr>
          <w:rFonts w:hint="eastAsia" w:ascii="仿宋_GB2312" w:hAnsi="仿宋_GB2312" w:eastAsia="仿宋_GB2312" w:cs="仿宋_GB2312"/>
          <w:spacing w:val="-4"/>
          <w:kern w:val="0"/>
          <w:sz w:val="32"/>
          <w:szCs w:val="22"/>
        </w:rPr>
        <w:t>藁城区</w:t>
      </w:r>
      <w:r>
        <w:rPr>
          <w:rFonts w:hint="eastAsia" w:ascii="仿宋_GB2312" w:hAnsi="仿宋_GB2312" w:eastAsia="仿宋_GB2312" w:cs="仿宋_GB2312"/>
          <w:spacing w:val="-4"/>
          <w:kern w:val="0"/>
          <w:sz w:val="32"/>
          <w:szCs w:val="22"/>
          <w:lang w:val="en-US" w:eastAsia="zh-CN"/>
        </w:rPr>
        <w:t>交通运输局</w:t>
      </w:r>
      <w:r>
        <w:rPr>
          <w:rFonts w:hint="eastAsia" w:ascii="仿宋_GB2312" w:hAnsi="仿宋_GB2312" w:eastAsia="仿宋_GB2312" w:cs="仿宋_GB2312"/>
          <w:spacing w:val="-4"/>
          <w:kern w:val="0"/>
          <w:sz w:val="32"/>
          <w:szCs w:val="22"/>
          <w:lang w:eastAsia="zh-CN"/>
        </w:rPr>
        <w:t>（</w:t>
      </w:r>
      <w:r>
        <w:rPr>
          <w:rFonts w:hint="eastAsia" w:ascii="仿宋_GB2312" w:hAnsi="仿宋_GB2312" w:eastAsia="仿宋_GB2312" w:cs="仿宋_GB2312"/>
          <w:spacing w:val="-4"/>
          <w:kern w:val="0"/>
          <w:sz w:val="32"/>
          <w:szCs w:val="22"/>
          <w:lang w:val="en-US" w:eastAsia="zh-CN"/>
        </w:rPr>
        <w:t>盖章）</w:t>
      </w:r>
      <w:r>
        <w:rPr>
          <w:rFonts w:hint="eastAsia" w:ascii="仿宋_GB2312" w:hAnsi="仿宋_GB2312" w:eastAsia="仿宋_GB2312" w:cs="仿宋_GB2312"/>
          <w:spacing w:val="-10"/>
          <w:kern w:val="0"/>
          <w:sz w:val="32"/>
          <w:szCs w:val="22"/>
          <w:lang w:eastAsia="zh-CN"/>
        </w:rPr>
        <w:t>（</w:t>
      </w:r>
      <w:r>
        <w:rPr>
          <w:rFonts w:hint="eastAsia" w:ascii="仿宋_GB2312" w:hAnsi="仿宋_GB2312" w:eastAsia="仿宋_GB2312" w:cs="仿宋_GB2312"/>
          <w:spacing w:val="-10"/>
          <w:kern w:val="0"/>
          <w:sz w:val="32"/>
          <w:szCs w:val="22"/>
          <w:lang w:val="en-US" w:eastAsia="zh-CN"/>
        </w:rPr>
        <w:t>共23项）</w:t>
      </w:r>
    </w:p>
    <w:p w14:paraId="7AB3438C">
      <w:pPr>
        <w:autoSpaceDE w:val="0"/>
        <w:autoSpaceDN w:val="0"/>
        <w:spacing w:before="190" w:after="0" w:line="240" w:lineRule="auto"/>
        <w:ind w:left="218" w:right="0" w:firstLine="0"/>
        <w:jc w:val="left"/>
        <w:rPr>
          <w:rFonts w:ascii="微软雅黑" w:hAnsi="宋体" w:eastAsia="宋体" w:cs="宋体"/>
          <w:sz w:val="5"/>
          <w:szCs w:val="22"/>
          <w:lang w:val="en-US" w:eastAsia="zh-CN" w:bidi="ar-SA"/>
        </w:rPr>
      </w:pPr>
      <w:r>
        <w:rPr>
          <w:rFonts w:ascii="方正书宋_GBK" w:hAnsi="方正书宋_GBK" w:eastAsia="方正书宋_GBK" w:cs="方正书宋_GBK"/>
          <w:b w:val="0"/>
          <w:bCs w:val="0"/>
          <w:color w:val="000000"/>
          <w:sz w:val="28"/>
          <w:szCs w:val="28"/>
        </w:rPr>
        <w:t>(一)交通运输领域轻微违法行为依法免予处罚高频事项清单（试行）</w:t>
      </w:r>
    </w:p>
    <w:tbl>
      <w:tblPr>
        <w:tblStyle w:val="5"/>
        <w:tblW w:w="14643" w:type="dxa"/>
        <w:tblInd w:w="1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56"/>
        <w:gridCol w:w="2584"/>
        <w:gridCol w:w="6870"/>
        <w:gridCol w:w="1215"/>
        <w:gridCol w:w="3218"/>
      </w:tblGrid>
      <w:tr w14:paraId="270060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756" w:type="dxa"/>
          </w:tcPr>
          <w:p w14:paraId="53FA1648">
            <w:pPr>
              <w:widowControl w:val="0"/>
              <w:autoSpaceDE w:val="0"/>
              <w:autoSpaceDN w:val="0"/>
              <w:spacing w:before="127" w:after="0" w:line="240" w:lineRule="auto"/>
              <w:ind w:left="96" w:right="89"/>
              <w:jc w:val="center"/>
              <w:rPr>
                <w:rFonts w:ascii="宋体" w:hAnsi="宋体" w:eastAsia="宋体" w:cs="宋体"/>
                <w:sz w:val="24"/>
                <w:szCs w:val="22"/>
                <w:lang w:val="en-US" w:eastAsia="zh-CN" w:bidi="ar-SA"/>
              </w:rPr>
            </w:pPr>
            <w:r>
              <w:rPr>
                <w:rFonts w:ascii="宋体" w:hAnsi="宋体" w:eastAsia="宋体" w:cs="宋体"/>
                <w:spacing w:val="-5"/>
                <w:sz w:val="24"/>
                <w:szCs w:val="22"/>
                <w:lang w:val="en-US" w:eastAsia="zh-CN" w:bidi="ar-SA"/>
              </w:rPr>
              <w:t>序号</w:t>
            </w:r>
          </w:p>
        </w:tc>
        <w:tc>
          <w:tcPr>
            <w:tcW w:w="2584" w:type="dxa"/>
          </w:tcPr>
          <w:p w14:paraId="766AFE5D">
            <w:pPr>
              <w:widowControl w:val="0"/>
              <w:autoSpaceDE w:val="0"/>
              <w:autoSpaceDN w:val="0"/>
              <w:spacing w:before="127" w:after="0" w:line="240" w:lineRule="auto"/>
              <w:ind w:left="127" w:right="119"/>
              <w:jc w:val="center"/>
              <w:rPr>
                <w:rFonts w:ascii="宋体" w:hAnsi="宋体" w:eastAsia="宋体" w:cs="宋体"/>
                <w:sz w:val="24"/>
                <w:szCs w:val="22"/>
                <w:lang w:val="en-US" w:eastAsia="zh-CN" w:bidi="ar-SA"/>
              </w:rPr>
            </w:pPr>
            <w:r>
              <w:rPr>
                <w:rFonts w:ascii="宋体" w:hAnsi="宋体" w:eastAsia="宋体" w:cs="宋体"/>
                <w:spacing w:val="-3"/>
                <w:sz w:val="24"/>
                <w:szCs w:val="22"/>
                <w:lang w:val="en-US" w:eastAsia="zh-CN" w:bidi="ar-SA"/>
              </w:rPr>
              <w:t>事项名称</w:t>
            </w:r>
          </w:p>
        </w:tc>
        <w:tc>
          <w:tcPr>
            <w:tcW w:w="6870" w:type="dxa"/>
          </w:tcPr>
          <w:p w14:paraId="750F35B4">
            <w:pPr>
              <w:widowControl w:val="0"/>
              <w:autoSpaceDE w:val="0"/>
              <w:autoSpaceDN w:val="0"/>
              <w:spacing w:before="127" w:after="0" w:line="240" w:lineRule="auto"/>
              <w:ind w:left="2602" w:right="2594"/>
              <w:jc w:val="center"/>
              <w:rPr>
                <w:rFonts w:ascii="宋体" w:hAnsi="宋体" w:eastAsia="宋体" w:cs="宋体"/>
                <w:sz w:val="24"/>
                <w:szCs w:val="22"/>
                <w:lang w:val="en-US" w:eastAsia="zh-CN" w:bidi="ar-SA"/>
              </w:rPr>
            </w:pPr>
            <w:r>
              <w:rPr>
                <w:rFonts w:ascii="宋体" w:hAnsi="宋体" w:eastAsia="宋体" w:cs="宋体"/>
                <w:spacing w:val="-3"/>
                <w:sz w:val="24"/>
                <w:szCs w:val="22"/>
                <w:lang w:val="en-US" w:eastAsia="zh-CN" w:bidi="ar-SA"/>
              </w:rPr>
              <w:t>实施依据</w:t>
            </w:r>
          </w:p>
        </w:tc>
        <w:tc>
          <w:tcPr>
            <w:tcW w:w="1215" w:type="dxa"/>
          </w:tcPr>
          <w:p w14:paraId="1613355F">
            <w:pPr>
              <w:widowControl w:val="0"/>
              <w:autoSpaceDE w:val="0"/>
              <w:autoSpaceDN w:val="0"/>
              <w:spacing w:before="127" w:after="0" w:line="240" w:lineRule="auto"/>
              <w:ind w:left="180" w:right="0"/>
              <w:jc w:val="left"/>
              <w:rPr>
                <w:rFonts w:ascii="宋体" w:hAnsi="宋体" w:eastAsia="宋体" w:cs="宋体"/>
                <w:sz w:val="24"/>
                <w:szCs w:val="22"/>
                <w:lang w:val="en-US" w:eastAsia="zh-CN" w:bidi="ar-SA"/>
              </w:rPr>
            </w:pPr>
            <w:r>
              <w:rPr>
                <w:rFonts w:ascii="宋体" w:hAnsi="宋体" w:eastAsia="宋体" w:cs="宋体"/>
                <w:spacing w:val="-3"/>
                <w:sz w:val="24"/>
                <w:szCs w:val="22"/>
                <w:lang w:val="en-US" w:eastAsia="zh-CN" w:bidi="ar-SA"/>
              </w:rPr>
              <w:t>免罚情形</w:t>
            </w:r>
          </w:p>
        </w:tc>
        <w:tc>
          <w:tcPr>
            <w:tcW w:w="3218" w:type="dxa"/>
          </w:tcPr>
          <w:p w14:paraId="0191F2F2">
            <w:pPr>
              <w:widowControl w:val="0"/>
              <w:autoSpaceDE w:val="0"/>
              <w:autoSpaceDN w:val="0"/>
              <w:spacing w:before="127" w:after="0" w:line="240" w:lineRule="auto"/>
              <w:ind w:left="108" w:right="98"/>
              <w:jc w:val="center"/>
              <w:rPr>
                <w:rFonts w:ascii="宋体" w:hAnsi="宋体" w:eastAsia="宋体" w:cs="宋体"/>
                <w:sz w:val="24"/>
                <w:szCs w:val="22"/>
                <w:lang w:val="en-US" w:eastAsia="zh-CN" w:bidi="ar-SA"/>
              </w:rPr>
            </w:pPr>
            <w:r>
              <w:rPr>
                <w:rFonts w:ascii="宋体" w:hAnsi="宋体" w:eastAsia="宋体" w:cs="宋体"/>
                <w:spacing w:val="-3"/>
                <w:sz w:val="24"/>
                <w:szCs w:val="22"/>
                <w:lang w:val="en-US" w:eastAsia="zh-CN" w:bidi="ar-SA"/>
              </w:rPr>
              <w:t>适用条件</w:t>
            </w:r>
          </w:p>
        </w:tc>
      </w:tr>
      <w:tr w14:paraId="4CFD0B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0" w:hRule="atLeast"/>
        </w:trPr>
        <w:tc>
          <w:tcPr>
            <w:tcW w:w="756" w:type="dxa"/>
            <w:vAlign w:val="center"/>
          </w:tcPr>
          <w:p w14:paraId="49AA9381">
            <w:pPr>
              <w:widowControl w:val="0"/>
              <w:autoSpaceDE w:val="0"/>
              <w:autoSpaceDN w:val="0"/>
              <w:spacing w:before="5" w:after="0" w:line="240" w:lineRule="auto"/>
              <w:ind w:left="0" w:right="0"/>
              <w:jc w:val="both"/>
              <w:rPr>
                <w:rFonts w:hint="eastAsia" w:ascii="方正黑体_GBK" w:hAnsi="方正黑体_GBK" w:eastAsia="方正黑体_GBK" w:cs="方正黑体_GBK"/>
                <w:kern w:val="2"/>
                <w:sz w:val="18"/>
                <w:szCs w:val="18"/>
                <w:lang w:val="en-US" w:eastAsia="zh-CN" w:bidi="zh-CN"/>
              </w:rPr>
            </w:pPr>
          </w:p>
          <w:p w14:paraId="5A50AA8C">
            <w:pPr>
              <w:widowControl w:val="0"/>
              <w:autoSpaceDE w:val="0"/>
              <w:autoSpaceDN w:val="0"/>
              <w:spacing w:before="1" w:after="0" w:line="240" w:lineRule="auto"/>
              <w:ind w:left="8"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w:t>
            </w:r>
          </w:p>
        </w:tc>
        <w:tc>
          <w:tcPr>
            <w:tcW w:w="2584" w:type="dxa"/>
            <w:vAlign w:val="center"/>
          </w:tcPr>
          <w:p w14:paraId="154A0A32">
            <w:pPr>
              <w:widowControl w:val="0"/>
              <w:autoSpaceDE w:val="0"/>
              <w:autoSpaceDN w:val="0"/>
              <w:spacing w:before="0" w:after="0" w:line="240" w:lineRule="auto"/>
              <w:ind w:left="0" w:right="0"/>
              <w:jc w:val="both"/>
              <w:rPr>
                <w:rFonts w:hint="eastAsia" w:ascii="方正黑体_GBK" w:hAnsi="方正黑体_GBK" w:eastAsia="方正黑体_GBK" w:cs="方正黑体_GBK"/>
                <w:kern w:val="2"/>
                <w:sz w:val="18"/>
                <w:szCs w:val="18"/>
                <w:lang w:val="en-US" w:eastAsia="zh-CN" w:bidi="zh-CN"/>
              </w:rPr>
            </w:pPr>
          </w:p>
          <w:p w14:paraId="2D028475">
            <w:pPr>
              <w:widowControl w:val="0"/>
              <w:autoSpaceDE w:val="0"/>
              <w:autoSpaceDN w:val="0"/>
              <w:spacing w:before="0" w:after="0" w:line="273" w:lineRule="auto"/>
              <w:ind w:left="108" w:right="143"/>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对车辆装载物触地拖行、掉落、遗洒或者飘散，造成公路路面损坏、污染的处罚。</w:t>
            </w:r>
          </w:p>
        </w:tc>
        <w:tc>
          <w:tcPr>
            <w:tcW w:w="6870" w:type="dxa"/>
            <w:vAlign w:val="center"/>
          </w:tcPr>
          <w:p w14:paraId="7B6B6DE7">
            <w:pPr>
              <w:widowControl w:val="0"/>
              <w:autoSpaceDE w:val="0"/>
              <w:autoSpaceDN w:val="0"/>
              <w:spacing w:before="0" w:after="0" w:line="276" w:lineRule="exact"/>
              <w:ind w:left="10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《公路安全保护条例》</w:t>
            </w:r>
          </w:p>
          <w:p w14:paraId="145BBA9D">
            <w:pPr>
              <w:widowControl w:val="0"/>
              <w:autoSpaceDE w:val="0"/>
              <w:autoSpaceDN w:val="0"/>
              <w:spacing w:before="0" w:after="0" w:line="276" w:lineRule="exact"/>
              <w:ind w:left="10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第六十九条 车辆装载物触地拖行、掉落、遗洒或者飘散，造成公路路面损坏、污染的，由公路管理机构责令改正，处5000元以下的罚款。</w:t>
            </w:r>
          </w:p>
        </w:tc>
        <w:tc>
          <w:tcPr>
            <w:tcW w:w="1215" w:type="dxa"/>
            <w:vAlign w:val="center"/>
          </w:tcPr>
          <w:p w14:paraId="59662233">
            <w:pPr>
              <w:widowControl w:val="0"/>
              <w:autoSpaceDE w:val="0"/>
              <w:autoSpaceDN w:val="0"/>
              <w:spacing w:before="5" w:after="0" w:line="240" w:lineRule="auto"/>
              <w:ind w:left="0"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首违不罚</w:t>
            </w:r>
          </w:p>
          <w:p w14:paraId="3EF196DE">
            <w:pPr>
              <w:widowControl w:val="0"/>
              <w:autoSpaceDE w:val="0"/>
              <w:autoSpaceDN w:val="0"/>
              <w:spacing w:before="1" w:after="0" w:line="240" w:lineRule="auto"/>
              <w:ind w:left="218" w:right="0"/>
              <w:jc w:val="both"/>
              <w:rPr>
                <w:rFonts w:hint="eastAsia" w:ascii="方正黑体_GBK" w:hAnsi="方正黑体_GBK" w:eastAsia="方正黑体_GBK" w:cs="方正黑体_GBK"/>
                <w:kern w:val="2"/>
                <w:sz w:val="18"/>
                <w:szCs w:val="18"/>
                <w:lang w:val="en-US" w:eastAsia="zh-CN" w:bidi="zh-CN"/>
              </w:rPr>
            </w:pPr>
          </w:p>
        </w:tc>
        <w:tc>
          <w:tcPr>
            <w:tcW w:w="3218" w:type="dxa"/>
            <w:vAlign w:val="center"/>
          </w:tcPr>
          <w:p w14:paraId="6719549B">
            <w:pPr>
              <w:widowControl w:val="0"/>
              <w:autoSpaceDE w:val="0"/>
              <w:autoSpaceDN w:val="0"/>
              <w:spacing w:before="0" w:after="0" w:line="240" w:lineRule="auto"/>
              <w:ind w:left="0" w:right="0"/>
              <w:jc w:val="both"/>
              <w:rPr>
                <w:rFonts w:hint="eastAsia" w:ascii="方正黑体_GBK" w:hAnsi="方正黑体_GBK" w:eastAsia="方正黑体_GBK" w:cs="方正黑体_GBK"/>
                <w:kern w:val="2"/>
                <w:sz w:val="18"/>
                <w:szCs w:val="18"/>
                <w:lang w:val="en-US" w:eastAsia="zh-CN" w:bidi="zh-CN"/>
              </w:rPr>
            </w:pPr>
          </w:p>
          <w:p w14:paraId="3159DF41">
            <w:pPr>
              <w:widowControl w:val="0"/>
              <w:numPr>
                <w:ilvl w:val="0"/>
                <w:numId w:val="0"/>
              </w:numPr>
              <w:tabs>
                <w:tab w:val="left" w:pos="274"/>
              </w:tabs>
              <w:autoSpaceDE w:val="0"/>
              <w:autoSpaceDN w:val="0"/>
              <w:spacing w:before="40" w:after="0" w:line="240" w:lineRule="auto"/>
              <w:ind w:left="107" w:leftChars="0"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首次实施违法行为。2.违法行为调查过程中，不存在拒不接受执法部门调查处理、阻碍执法、煽动抗拒执法等妨碍执行公务的行为。3.按执法部门要求进行规范装载，并采取必要措施防止触地拖行、掉落、遗洒或者飘散。4.损坏程度轻微或污染面积较小，未因此引发交通事故、造成交通拥堵等危害后果。5.在执法部门规定的期限内及时清除污染或修复损害；不能自行清除或修复损害，执法部门代为恢复原状的，依法承担相关费用。</w:t>
            </w:r>
          </w:p>
        </w:tc>
      </w:tr>
      <w:tr w14:paraId="61C0AE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50" w:hRule="atLeast"/>
        </w:trPr>
        <w:tc>
          <w:tcPr>
            <w:tcW w:w="756" w:type="dxa"/>
            <w:vAlign w:val="center"/>
          </w:tcPr>
          <w:p w14:paraId="696A712F">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p>
          <w:p w14:paraId="247E540C">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p>
          <w:p w14:paraId="3C1E243D">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2</w:t>
            </w:r>
          </w:p>
          <w:p w14:paraId="2BBB939F">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p>
        </w:tc>
        <w:tc>
          <w:tcPr>
            <w:tcW w:w="2584" w:type="dxa"/>
            <w:vAlign w:val="center"/>
          </w:tcPr>
          <w:p w14:paraId="3F3D2F18">
            <w:pPr>
              <w:widowControl w:val="0"/>
              <w:autoSpaceDE w:val="0"/>
              <w:autoSpaceDN w:val="0"/>
              <w:spacing w:before="0" w:after="0" w:line="240" w:lineRule="auto"/>
              <w:ind w:left="0" w:right="0"/>
              <w:jc w:val="both"/>
              <w:rPr>
                <w:rFonts w:hint="eastAsia" w:ascii="方正黑体_GBK" w:hAnsi="方正黑体_GBK" w:eastAsia="方正黑体_GBK" w:cs="方正黑体_GBK"/>
                <w:kern w:val="2"/>
                <w:sz w:val="18"/>
                <w:szCs w:val="18"/>
                <w:lang w:val="en-US" w:eastAsia="zh-CN" w:bidi="zh-CN"/>
              </w:rPr>
            </w:pPr>
          </w:p>
          <w:p w14:paraId="21857478">
            <w:pPr>
              <w:widowControl w:val="0"/>
              <w:autoSpaceDE w:val="0"/>
              <w:autoSpaceDN w:val="0"/>
              <w:spacing w:before="7" w:after="0" w:line="240" w:lineRule="auto"/>
              <w:ind w:left="0" w:right="0"/>
              <w:jc w:val="both"/>
              <w:rPr>
                <w:rFonts w:hint="eastAsia" w:ascii="方正黑体_GBK" w:hAnsi="方正黑体_GBK" w:eastAsia="方正黑体_GBK" w:cs="方正黑体_GBK"/>
                <w:kern w:val="2"/>
                <w:sz w:val="18"/>
                <w:szCs w:val="18"/>
                <w:lang w:val="en-US" w:eastAsia="zh-CN" w:bidi="zh-CN"/>
              </w:rPr>
            </w:pPr>
          </w:p>
          <w:p w14:paraId="00D49577">
            <w:pPr>
              <w:widowControl w:val="0"/>
              <w:autoSpaceDE w:val="0"/>
              <w:autoSpaceDN w:val="0"/>
              <w:spacing w:before="0" w:after="0" w:line="240" w:lineRule="auto"/>
              <w:ind w:left="10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对铁轮车、履带车和其他可能损害路面的机具擅自在公路上行驶的处罚。</w:t>
            </w:r>
          </w:p>
        </w:tc>
        <w:tc>
          <w:tcPr>
            <w:tcW w:w="6870" w:type="dxa"/>
            <w:vAlign w:val="center"/>
          </w:tcPr>
          <w:p w14:paraId="00DFD74A">
            <w:pPr>
              <w:widowControl w:val="0"/>
              <w:autoSpaceDE w:val="0"/>
              <w:autoSpaceDN w:val="0"/>
              <w:spacing w:before="0" w:after="0" w:line="273" w:lineRule="auto"/>
              <w:ind w:left="108" w:right="95"/>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《中华人民共和国公路法》</w:t>
            </w:r>
          </w:p>
          <w:p w14:paraId="73F47B12">
            <w:pPr>
              <w:widowControl w:val="0"/>
              <w:autoSpaceDE w:val="0"/>
              <w:autoSpaceDN w:val="0"/>
              <w:spacing w:before="0" w:after="0" w:line="273" w:lineRule="auto"/>
              <w:ind w:left="108" w:right="95"/>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第七十六条第（四）项  有下列违法行为之一的，由交通主管部门责令停止违法行为，可以处三万元以下的罚款：（四）违反本法第四十八条规定，铁轮车、履带车和其他可能损害路面的机具擅自在公路上行驶的。</w:t>
            </w:r>
          </w:p>
        </w:tc>
        <w:tc>
          <w:tcPr>
            <w:tcW w:w="1215" w:type="dxa"/>
            <w:vAlign w:val="center"/>
          </w:tcPr>
          <w:p w14:paraId="77FF5D33">
            <w:pPr>
              <w:widowControl w:val="0"/>
              <w:autoSpaceDE w:val="0"/>
              <w:autoSpaceDN w:val="0"/>
              <w:spacing w:before="0" w:after="0" w:line="240" w:lineRule="auto"/>
              <w:ind w:left="0" w:right="0"/>
              <w:jc w:val="both"/>
              <w:rPr>
                <w:rFonts w:hint="eastAsia" w:ascii="方正黑体_GBK" w:hAnsi="方正黑体_GBK" w:eastAsia="方正黑体_GBK" w:cs="方正黑体_GBK"/>
                <w:kern w:val="2"/>
                <w:sz w:val="18"/>
                <w:szCs w:val="18"/>
                <w:lang w:val="en-US" w:eastAsia="zh-CN" w:bidi="zh-CN"/>
              </w:rPr>
            </w:pPr>
          </w:p>
          <w:p w14:paraId="6F832457">
            <w:pPr>
              <w:widowControl w:val="0"/>
              <w:autoSpaceDE w:val="0"/>
              <w:autoSpaceDN w:val="0"/>
              <w:spacing w:before="7" w:after="0" w:line="240" w:lineRule="auto"/>
              <w:ind w:left="0" w:right="0"/>
              <w:jc w:val="both"/>
              <w:rPr>
                <w:rFonts w:hint="eastAsia" w:ascii="方正黑体_GBK" w:hAnsi="方正黑体_GBK" w:eastAsia="方正黑体_GBK" w:cs="方正黑体_GBK"/>
                <w:kern w:val="2"/>
                <w:sz w:val="18"/>
                <w:szCs w:val="18"/>
                <w:lang w:val="en-US" w:eastAsia="zh-CN" w:bidi="zh-CN"/>
              </w:rPr>
            </w:pPr>
          </w:p>
          <w:p w14:paraId="2277C824">
            <w:pPr>
              <w:widowControl w:val="0"/>
              <w:autoSpaceDE w:val="0"/>
              <w:autoSpaceDN w:val="0"/>
              <w:spacing w:before="0" w:after="0" w:line="240" w:lineRule="auto"/>
              <w:ind w:left="218"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首违免罚</w:t>
            </w:r>
          </w:p>
        </w:tc>
        <w:tc>
          <w:tcPr>
            <w:tcW w:w="3218" w:type="dxa"/>
            <w:vAlign w:val="center"/>
          </w:tcPr>
          <w:p w14:paraId="4D415752">
            <w:pPr>
              <w:widowControl w:val="0"/>
              <w:autoSpaceDE w:val="0"/>
              <w:autoSpaceDN w:val="0"/>
              <w:spacing w:before="0" w:after="0" w:line="240" w:lineRule="auto"/>
              <w:ind w:left="0" w:right="0"/>
              <w:jc w:val="both"/>
              <w:rPr>
                <w:rFonts w:hint="eastAsia" w:ascii="方正黑体_GBK" w:hAnsi="方正黑体_GBK" w:eastAsia="方正黑体_GBK" w:cs="方正黑体_GBK"/>
                <w:kern w:val="2"/>
                <w:sz w:val="18"/>
                <w:szCs w:val="18"/>
                <w:lang w:val="en-US" w:eastAsia="zh-CN" w:bidi="zh-CN"/>
              </w:rPr>
            </w:pPr>
          </w:p>
          <w:p w14:paraId="3EAA76AF">
            <w:pPr>
              <w:widowControl w:val="0"/>
              <w:numPr>
                <w:ilvl w:val="0"/>
                <w:numId w:val="0"/>
              </w:numPr>
              <w:tabs>
                <w:tab w:val="left" w:pos="274"/>
              </w:tabs>
              <w:autoSpaceDE w:val="0"/>
              <w:autoSpaceDN w:val="0"/>
              <w:spacing w:before="40" w:after="0" w:line="240" w:lineRule="auto"/>
              <w:ind w:left="107" w:leftChars="0"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首次实施违法行为。2.违法行为调查过程中，不存在拒不接受执法部门调查处理、阻碍执法、煽动抗拒执法等妨碍执行公务的行为。3.按执法部门要求立即停驶或驶离公路。4.未造成公路路产损害，引发交通事故和交通拥堵等危害后果。</w:t>
            </w:r>
          </w:p>
        </w:tc>
      </w:tr>
      <w:tr w14:paraId="6651FE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0" w:hRule="atLeast"/>
        </w:trPr>
        <w:tc>
          <w:tcPr>
            <w:tcW w:w="756" w:type="dxa"/>
            <w:vAlign w:val="center"/>
          </w:tcPr>
          <w:p w14:paraId="26C4AC49">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p>
          <w:p w14:paraId="04D43E76">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3</w:t>
            </w:r>
          </w:p>
        </w:tc>
        <w:tc>
          <w:tcPr>
            <w:tcW w:w="2584" w:type="dxa"/>
            <w:vAlign w:val="center"/>
          </w:tcPr>
          <w:p w14:paraId="030E6C48">
            <w:pPr>
              <w:widowControl w:val="0"/>
              <w:autoSpaceDE w:val="0"/>
              <w:autoSpaceDN w:val="0"/>
              <w:spacing w:before="0" w:after="0" w:line="271" w:lineRule="auto"/>
              <w:ind w:left="1341" w:right="119" w:hanging="1210"/>
              <w:jc w:val="both"/>
              <w:rPr>
                <w:rFonts w:hint="eastAsia" w:ascii="方正黑体_GBK" w:hAnsi="方正黑体_GBK" w:eastAsia="方正黑体_GBK" w:cs="方正黑体_GBK"/>
                <w:kern w:val="2"/>
                <w:sz w:val="18"/>
                <w:szCs w:val="18"/>
                <w:lang w:val="en-US" w:eastAsia="zh-CN" w:bidi="zh-CN"/>
              </w:rPr>
            </w:pPr>
          </w:p>
          <w:p w14:paraId="631012C8">
            <w:pPr>
              <w:widowControl w:val="0"/>
              <w:autoSpaceDE w:val="0"/>
              <w:autoSpaceDN w:val="0"/>
              <w:spacing w:before="0" w:after="0" w:line="271" w:lineRule="auto"/>
              <w:ind w:right="119"/>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对未经批准在公路用地范围内擅自设置公路标志以外的其他标志的处罚。</w:t>
            </w:r>
          </w:p>
        </w:tc>
        <w:tc>
          <w:tcPr>
            <w:tcW w:w="6870" w:type="dxa"/>
            <w:vAlign w:val="center"/>
          </w:tcPr>
          <w:p w14:paraId="16C31CC6">
            <w:pPr>
              <w:widowControl w:val="0"/>
              <w:autoSpaceDE w:val="0"/>
              <w:autoSpaceDN w:val="0"/>
              <w:spacing w:before="0" w:after="0" w:line="278" w:lineRule="exact"/>
              <w:ind w:left="10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《中华人民共和国公路法》</w:t>
            </w:r>
          </w:p>
          <w:p w14:paraId="4AED8EC1">
            <w:pPr>
              <w:widowControl w:val="0"/>
              <w:autoSpaceDE w:val="0"/>
              <w:autoSpaceDN w:val="0"/>
              <w:spacing w:before="0" w:after="0" w:line="278" w:lineRule="exact"/>
              <w:ind w:left="10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第七十九条 违反本法第五十四条规定，在公路用地范围内设置公路标志以外的其他标志的，由交通主管部门责令限期拆除，可以处二万元以下的罚款；逾期不拆除的，由交通主管部门拆除，有关费用由设置者负担。</w:t>
            </w:r>
          </w:p>
        </w:tc>
        <w:tc>
          <w:tcPr>
            <w:tcW w:w="1215" w:type="dxa"/>
            <w:vAlign w:val="center"/>
          </w:tcPr>
          <w:p w14:paraId="4B555618">
            <w:pPr>
              <w:widowControl w:val="0"/>
              <w:autoSpaceDE w:val="0"/>
              <w:autoSpaceDN w:val="0"/>
              <w:spacing w:before="12" w:after="0" w:line="240" w:lineRule="auto"/>
              <w:ind w:left="0" w:right="0"/>
              <w:jc w:val="center"/>
              <w:rPr>
                <w:rFonts w:hint="default"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首违免罚</w:t>
            </w:r>
          </w:p>
          <w:p w14:paraId="2670BD98">
            <w:pPr>
              <w:widowControl w:val="0"/>
              <w:autoSpaceDE w:val="0"/>
              <w:autoSpaceDN w:val="0"/>
              <w:spacing w:before="0" w:after="0" w:line="240" w:lineRule="auto"/>
              <w:ind w:left="218" w:right="0"/>
              <w:jc w:val="center"/>
              <w:rPr>
                <w:rFonts w:hint="eastAsia" w:ascii="方正黑体_GBK" w:hAnsi="方正黑体_GBK" w:eastAsia="方正黑体_GBK" w:cs="方正黑体_GBK"/>
                <w:kern w:val="2"/>
                <w:sz w:val="18"/>
                <w:szCs w:val="18"/>
                <w:lang w:val="en-US" w:eastAsia="zh-CN" w:bidi="zh-CN"/>
              </w:rPr>
            </w:pPr>
          </w:p>
        </w:tc>
        <w:tc>
          <w:tcPr>
            <w:tcW w:w="3218" w:type="dxa"/>
            <w:vAlign w:val="center"/>
          </w:tcPr>
          <w:p w14:paraId="3B6A4055">
            <w:pPr>
              <w:widowControl w:val="0"/>
              <w:numPr>
                <w:ilvl w:val="0"/>
                <w:numId w:val="0"/>
              </w:numPr>
              <w:tabs>
                <w:tab w:val="left" w:pos="274"/>
              </w:tabs>
              <w:autoSpaceDE w:val="0"/>
              <w:autoSpaceDN w:val="0"/>
              <w:spacing w:before="38" w:after="0" w:line="240" w:lineRule="auto"/>
              <w:ind w:left="107" w:leftChars="0"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首次实施违法行为。2.违法行为调查过程中，不存在拒不接受执法部门调查处理、阻碍执法、煽动抗拒执法等妨碍执行公务的行为。3.按执法部门要求立即或在规定期限内清理拆除相应的非公路标志和设施。4.未造成公路路产损害，引发交通事故和交通拥堵等危害后果。</w:t>
            </w:r>
          </w:p>
        </w:tc>
      </w:tr>
      <w:tr w14:paraId="2BBFA5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0" w:hRule="atLeast"/>
        </w:trPr>
        <w:tc>
          <w:tcPr>
            <w:tcW w:w="756" w:type="dxa"/>
            <w:vAlign w:val="center"/>
          </w:tcPr>
          <w:p w14:paraId="2B5B7E66">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4</w:t>
            </w:r>
          </w:p>
        </w:tc>
        <w:tc>
          <w:tcPr>
            <w:tcW w:w="2584" w:type="dxa"/>
            <w:vAlign w:val="center"/>
          </w:tcPr>
          <w:p w14:paraId="7AED22B9">
            <w:pPr>
              <w:widowControl w:val="0"/>
              <w:autoSpaceDE w:val="0"/>
              <w:autoSpaceDN w:val="0"/>
              <w:spacing w:before="0" w:after="0" w:line="271" w:lineRule="auto"/>
              <w:ind w:right="119"/>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对在公路建筑控制区内修建建筑物、地面构筑物的处罚。</w:t>
            </w:r>
          </w:p>
        </w:tc>
        <w:tc>
          <w:tcPr>
            <w:tcW w:w="6870" w:type="dxa"/>
            <w:vAlign w:val="center"/>
          </w:tcPr>
          <w:p w14:paraId="082BFDFE">
            <w:pPr>
              <w:widowControl w:val="0"/>
              <w:numPr>
                <w:ilvl w:val="0"/>
                <w:numId w:val="1"/>
              </w:numPr>
              <w:autoSpaceDE w:val="0"/>
              <w:autoSpaceDN w:val="0"/>
              <w:spacing w:before="0" w:after="0" w:line="278" w:lineRule="exact"/>
              <w:ind w:left="10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《中华人民共和国公路法》</w:t>
            </w:r>
          </w:p>
          <w:p w14:paraId="559720C9">
            <w:pPr>
              <w:widowControl w:val="0"/>
              <w:numPr>
                <w:numId w:val="0"/>
              </w:numPr>
              <w:autoSpaceDE w:val="0"/>
              <w:autoSpaceDN w:val="0"/>
              <w:spacing w:before="0" w:after="0" w:line="278" w:lineRule="exact"/>
              <w:ind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第五十六条 除公路防护、养护需要的以外，禁止在公路两侧的建筑控制区内修建建筑物和地面构筑物；需要在建筑控制区内增设管线、电缆等设施的，应当事先经县级以上地方人民政府交通主管部门批准。</w:t>
            </w:r>
          </w:p>
          <w:p w14:paraId="2132B340">
            <w:pPr>
              <w:widowControl w:val="0"/>
              <w:numPr>
                <w:numId w:val="0"/>
              </w:numPr>
              <w:autoSpaceDE w:val="0"/>
              <w:autoSpaceDN w:val="0"/>
              <w:spacing w:before="0" w:after="0" w:line="278" w:lineRule="exact"/>
              <w:ind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第八十一条 违反本法第五十六条规定，在公路建筑控制区内修建建筑物、地面构筑物或者擅自埋设管线、电缆等设施的，由交通主管部门责令限期拆除，并可以处五万元以下的罚款。逾期不拆除的，由交通主管部门拆除，有关费用由建筑者、构筑者承担。</w:t>
            </w:r>
          </w:p>
          <w:p w14:paraId="38D73CAA">
            <w:pPr>
              <w:widowControl w:val="0"/>
              <w:numPr>
                <w:ilvl w:val="0"/>
                <w:numId w:val="1"/>
              </w:numPr>
              <w:autoSpaceDE w:val="0"/>
              <w:autoSpaceDN w:val="0"/>
              <w:spacing w:before="0" w:after="0" w:line="278" w:lineRule="exact"/>
              <w:ind w:left="108" w:leftChars="0" w:right="0" w:rightChars="0" w:firstLine="0" w:firstLine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《公路安全保护条例》</w:t>
            </w:r>
          </w:p>
          <w:p w14:paraId="3B70910F">
            <w:pPr>
              <w:widowControl w:val="0"/>
              <w:numPr>
                <w:numId w:val="0"/>
              </w:numPr>
              <w:autoSpaceDE w:val="0"/>
              <w:autoSpaceDN w:val="0"/>
              <w:spacing w:before="0" w:after="0" w:line="278" w:lineRule="exact"/>
              <w:ind w:left="108" w:leftChars="0"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第五十六条第（一）项 违反本条例的规定，有下列情形之一的，由公路管理机构责令限期拆除，可以处5万元以下的罚款。逾期不拆除的，由公路管理机构拆除，有关费用由违法行为人承担：（一）在公路建筑控制区内修建、扩建建筑物、地面构筑物或者未经许可埋设管道、电缆等设施的。</w:t>
            </w:r>
          </w:p>
        </w:tc>
        <w:tc>
          <w:tcPr>
            <w:tcW w:w="1215" w:type="dxa"/>
            <w:vAlign w:val="center"/>
          </w:tcPr>
          <w:p w14:paraId="13F5E015">
            <w:pPr>
              <w:widowControl w:val="0"/>
              <w:autoSpaceDE w:val="0"/>
              <w:autoSpaceDN w:val="0"/>
              <w:spacing w:before="0" w:after="0" w:line="240" w:lineRule="auto"/>
              <w:ind w:right="0"/>
              <w:jc w:val="center"/>
              <w:rPr>
                <w:rFonts w:hint="default"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首违免罚</w:t>
            </w:r>
          </w:p>
        </w:tc>
        <w:tc>
          <w:tcPr>
            <w:tcW w:w="3218" w:type="dxa"/>
            <w:vAlign w:val="center"/>
          </w:tcPr>
          <w:p w14:paraId="28149EFC">
            <w:pPr>
              <w:widowControl w:val="0"/>
              <w:numPr>
                <w:ilvl w:val="0"/>
                <w:numId w:val="0"/>
              </w:numPr>
              <w:tabs>
                <w:tab w:val="left" w:pos="274"/>
              </w:tabs>
              <w:autoSpaceDE w:val="0"/>
              <w:autoSpaceDN w:val="0"/>
              <w:spacing w:before="38" w:after="0" w:line="240" w:lineRule="auto"/>
              <w:ind w:left="107" w:leftChars="0"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首次实施违法行为。2.违法行为调查过程中，不存在拒不接受执法部门调查处理、阻碍执法、煽动抗拒执法等妨碍执行公务的行为。3.修建建筑物、构筑物的施工行为处于初始阶段。4.按执法部门要求立即停止修建行为，并立即或在规定的期限内清理拆除违法修建的建筑物和构筑物、恢复原状。5.未发生倾覆、倒塌等事故。6.未影响公路本身安全、完好和畅通。</w:t>
            </w:r>
          </w:p>
        </w:tc>
      </w:tr>
      <w:tr w14:paraId="7E16BC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0" w:hRule="atLeast"/>
        </w:trPr>
        <w:tc>
          <w:tcPr>
            <w:tcW w:w="756" w:type="dxa"/>
            <w:vAlign w:val="center"/>
          </w:tcPr>
          <w:p w14:paraId="7AC59AB1">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5</w:t>
            </w:r>
          </w:p>
        </w:tc>
        <w:tc>
          <w:tcPr>
            <w:tcW w:w="2584" w:type="dxa"/>
            <w:vAlign w:val="center"/>
          </w:tcPr>
          <w:p w14:paraId="4CE0967F">
            <w:pPr>
              <w:widowControl w:val="0"/>
              <w:autoSpaceDE w:val="0"/>
              <w:autoSpaceDN w:val="0"/>
              <w:spacing w:before="0" w:after="0" w:line="271" w:lineRule="auto"/>
              <w:ind w:right="119"/>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对未经许可利用跨越公路的设施悬挂非公路标志的处罚。</w:t>
            </w:r>
          </w:p>
        </w:tc>
        <w:tc>
          <w:tcPr>
            <w:tcW w:w="6870" w:type="dxa"/>
            <w:vAlign w:val="center"/>
          </w:tcPr>
          <w:p w14:paraId="3133B4BD">
            <w:pPr>
              <w:widowControl w:val="0"/>
              <w:autoSpaceDE w:val="0"/>
              <w:autoSpaceDN w:val="0"/>
              <w:spacing w:before="0" w:after="0" w:line="278" w:lineRule="exact"/>
              <w:ind w:left="10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《公路安全保护条例》</w:t>
            </w:r>
          </w:p>
          <w:p w14:paraId="2BDB4369">
            <w:pPr>
              <w:widowControl w:val="0"/>
              <w:autoSpaceDE w:val="0"/>
              <w:autoSpaceDN w:val="0"/>
              <w:spacing w:before="0" w:after="0" w:line="278" w:lineRule="exact"/>
              <w:ind w:left="10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第二十七条第（五）项 进行下列涉路施工活动，建设单位应当向公路管理机构提出申请：（五）利用跨越公路的设施悬挂非公路标志。</w:t>
            </w:r>
          </w:p>
          <w:p w14:paraId="2E8B8375">
            <w:pPr>
              <w:widowControl w:val="0"/>
              <w:autoSpaceDE w:val="0"/>
              <w:autoSpaceDN w:val="0"/>
              <w:spacing w:before="0" w:after="0" w:line="278" w:lineRule="exact"/>
              <w:ind w:left="10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第六十二条 违反本条例的规定，未经许可进行本条例第二十七条第一项至第五项规定的涉路施工活动的，由公路管理机构责令改正，可以处3万元以下的罚款；未经许可进行本条例第二十七条第六项规定的涉路施工活动的，由公路管理机构责令改正，处5万元以下的罚款。</w:t>
            </w:r>
          </w:p>
        </w:tc>
        <w:tc>
          <w:tcPr>
            <w:tcW w:w="1215" w:type="dxa"/>
            <w:vAlign w:val="center"/>
          </w:tcPr>
          <w:p w14:paraId="60DAEAD2">
            <w:pPr>
              <w:widowControl w:val="0"/>
              <w:autoSpaceDE w:val="0"/>
              <w:autoSpaceDN w:val="0"/>
              <w:spacing w:before="0" w:after="0" w:line="240" w:lineRule="auto"/>
              <w:ind w:right="0"/>
              <w:jc w:val="center"/>
              <w:rPr>
                <w:rFonts w:hint="default"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首违免罚</w:t>
            </w:r>
          </w:p>
        </w:tc>
        <w:tc>
          <w:tcPr>
            <w:tcW w:w="3218" w:type="dxa"/>
            <w:vAlign w:val="center"/>
          </w:tcPr>
          <w:p w14:paraId="18B0F03C">
            <w:pPr>
              <w:widowControl w:val="0"/>
              <w:numPr>
                <w:ilvl w:val="0"/>
                <w:numId w:val="0"/>
              </w:numPr>
              <w:tabs>
                <w:tab w:val="left" w:pos="274"/>
              </w:tabs>
              <w:autoSpaceDE w:val="0"/>
              <w:autoSpaceDN w:val="0"/>
              <w:spacing w:before="38" w:after="0" w:line="240" w:lineRule="auto"/>
              <w:ind w:left="107" w:leftChars="0"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首次实施违法行为。2.违法行为调查过程中，不存在拒不接受执法部门调查处理、阻碍执法、煽动抗拒执法等妨碍执行公务的行为。3.按执法部门要求立即或在规定期限内清理拆除违法悬挂的非公路标志。4.未发生悬挂的非公路标志脱落、跌落、坠落等情况。5.未造成交通事故、交通拥堵、损坏公路路产等危害后果。</w:t>
            </w:r>
          </w:p>
        </w:tc>
      </w:tr>
      <w:tr w14:paraId="11CD0D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0" w:hRule="atLeast"/>
        </w:trPr>
        <w:tc>
          <w:tcPr>
            <w:tcW w:w="756" w:type="dxa"/>
            <w:vAlign w:val="center"/>
          </w:tcPr>
          <w:p w14:paraId="7FE9219C">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6</w:t>
            </w:r>
          </w:p>
        </w:tc>
        <w:tc>
          <w:tcPr>
            <w:tcW w:w="2584" w:type="dxa"/>
            <w:vAlign w:val="center"/>
          </w:tcPr>
          <w:p w14:paraId="3143C82F">
            <w:pPr>
              <w:widowControl w:val="0"/>
              <w:autoSpaceDE w:val="0"/>
              <w:autoSpaceDN w:val="0"/>
              <w:spacing w:before="0" w:after="0" w:line="271" w:lineRule="auto"/>
              <w:ind w:right="119"/>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对在公路及公路用地范围内摆摊设点、堆放物品，影响公路畅通的处罚。</w:t>
            </w:r>
          </w:p>
        </w:tc>
        <w:tc>
          <w:tcPr>
            <w:tcW w:w="6870" w:type="dxa"/>
            <w:vAlign w:val="center"/>
          </w:tcPr>
          <w:p w14:paraId="1335CE7E">
            <w:pPr>
              <w:widowControl w:val="0"/>
              <w:autoSpaceDE w:val="0"/>
              <w:autoSpaceDN w:val="0"/>
              <w:spacing w:before="0" w:after="0" w:line="278" w:lineRule="exact"/>
              <w:ind w:left="10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《中华人民共和国公路法》</w:t>
            </w:r>
          </w:p>
          <w:p w14:paraId="0D19B3BA">
            <w:pPr>
              <w:widowControl w:val="0"/>
              <w:autoSpaceDE w:val="0"/>
              <w:autoSpaceDN w:val="0"/>
              <w:spacing w:before="0" w:after="0" w:line="278" w:lineRule="exact"/>
              <w:ind w:left="10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第四十六条 任何单位和个人不得在公路上及公路用地范围内摆摊设点、堆放物品、倾倒垃圾、设置障碍、挖沟饮水、利用公路边沟排放污物或这进行其他损坏、污染公路和影响公路畅通的活动。</w:t>
            </w:r>
          </w:p>
          <w:p w14:paraId="74495FC1">
            <w:pPr>
              <w:widowControl w:val="0"/>
              <w:autoSpaceDE w:val="0"/>
              <w:autoSpaceDN w:val="0"/>
              <w:spacing w:before="0" w:after="0" w:line="278" w:lineRule="exact"/>
              <w:ind w:left="10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第七十七条 违反本法第四十六条规定，造成公路损坏、污染或影响公路畅通的，或者违反本法第五十一条规定，将公路作为试车场地的，由交通运输主管部门责令停止违法行为，可以处五千元以下罚款。</w:t>
            </w:r>
          </w:p>
        </w:tc>
        <w:tc>
          <w:tcPr>
            <w:tcW w:w="1215" w:type="dxa"/>
            <w:vAlign w:val="center"/>
          </w:tcPr>
          <w:p w14:paraId="27AAA9F0">
            <w:pPr>
              <w:widowControl w:val="0"/>
              <w:autoSpaceDE w:val="0"/>
              <w:autoSpaceDN w:val="0"/>
              <w:spacing w:before="0" w:after="0" w:line="240" w:lineRule="auto"/>
              <w:ind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首违免罚</w:t>
            </w:r>
          </w:p>
        </w:tc>
        <w:tc>
          <w:tcPr>
            <w:tcW w:w="3218" w:type="dxa"/>
            <w:vAlign w:val="center"/>
          </w:tcPr>
          <w:p w14:paraId="645AD2A6">
            <w:pPr>
              <w:widowControl w:val="0"/>
              <w:numPr>
                <w:ilvl w:val="0"/>
                <w:numId w:val="0"/>
              </w:numPr>
              <w:tabs>
                <w:tab w:val="left" w:pos="274"/>
              </w:tabs>
              <w:autoSpaceDE w:val="0"/>
              <w:autoSpaceDN w:val="0"/>
              <w:spacing w:before="38" w:after="0" w:line="240" w:lineRule="auto"/>
              <w:ind w:left="107" w:leftChars="0"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首次实施违法行为。2.违法行为调查过程中，不存在拒不接受执法部门调查处理、阻碍执法、煽动抗拒执法等妨碍执行公务的行为。3.按执法部门要求立即清除摆摊设点和堆放物品。4.该行为未造成公路路产损坏，未造成交通拥堵或引发交通事故等危害后果。</w:t>
            </w:r>
          </w:p>
        </w:tc>
      </w:tr>
      <w:tr w14:paraId="2C417F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0" w:hRule="atLeast"/>
        </w:trPr>
        <w:tc>
          <w:tcPr>
            <w:tcW w:w="756" w:type="dxa"/>
            <w:vAlign w:val="center"/>
          </w:tcPr>
          <w:p w14:paraId="2090CB20">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7</w:t>
            </w:r>
          </w:p>
        </w:tc>
        <w:tc>
          <w:tcPr>
            <w:tcW w:w="2584" w:type="dxa"/>
            <w:vAlign w:val="center"/>
          </w:tcPr>
          <w:p w14:paraId="5B800A10">
            <w:pPr>
              <w:widowControl w:val="0"/>
              <w:autoSpaceDE w:val="0"/>
              <w:autoSpaceDN w:val="0"/>
              <w:spacing w:before="0" w:after="0" w:line="271" w:lineRule="auto"/>
              <w:ind w:right="119"/>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对利用公路桥梁（含桥下空间）、涵洞堆放物品，搭建设施的处罚。</w:t>
            </w:r>
          </w:p>
        </w:tc>
        <w:tc>
          <w:tcPr>
            <w:tcW w:w="6870" w:type="dxa"/>
            <w:vAlign w:val="center"/>
          </w:tcPr>
          <w:p w14:paraId="2DE7FFF3">
            <w:pPr>
              <w:widowControl w:val="0"/>
              <w:autoSpaceDE w:val="0"/>
              <w:autoSpaceDN w:val="0"/>
              <w:spacing w:before="0" w:after="0" w:line="278" w:lineRule="exact"/>
              <w:ind w:left="10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《公路安全保护条例》</w:t>
            </w:r>
          </w:p>
          <w:p w14:paraId="4B6B62AB">
            <w:pPr>
              <w:widowControl w:val="0"/>
              <w:autoSpaceDE w:val="0"/>
              <w:autoSpaceDN w:val="0"/>
              <w:spacing w:before="0" w:after="0" w:line="278" w:lineRule="exact"/>
              <w:ind w:left="10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第二十二条 禁止利用公路桥梁进行牵拉、吊装等危及公路桥梁安全的施工作业。禁止利用公路桥梁（含桥下空间）、公路隧道、涵洞堆放物品、搭建设施以及铺设高压电线和输送易燃、易爆或者其他有毒有害气体、液体的管道。</w:t>
            </w:r>
          </w:p>
          <w:p w14:paraId="0FE84E87">
            <w:pPr>
              <w:widowControl w:val="0"/>
              <w:autoSpaceDE w:val="0"/>
              <w:autoSpaceDN w:val="0"/>
              <w:spacing w:before="0" w:after="0" w:line="278" w:lineRule="exact"/>
              <w:ind w:left="10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第五十九条 违反本条例第二十二条规定，由公路管理机构责令改正，处2万元以上10万元以下罚款。</w:t>
            </w:r>
          </w:p>
        </w:tc>
        <w:tc>
          <w:tcPr>
            <w:tcW w:w="1215" w:type="dxa"/>
            <w:vAlign w:val="center"/>
          </w:tcPr>
          <w:p w14:paraId="2A243BE8">
            <w:pPr>
              <w:widowControl w:val="0"/>
              <w:autoSpaceDE w:val="0"/>
              <w:autoSpaceDN w:val="0"/>
              <w:spacing w:before="0" w:after="0" w:line="240" w:lineRule="auto"/>
              <w:ind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首违免罚</w:t>
            </w:r>
          </w:p>
        </w:tc>
        <w:tc>
          <w:tcPr>
            <w:tcW w:w="3218" w:type="dxa"/>
            <w:vAlign w:val="center"/>
          </w:tcPr>
          <w:p w14:paraId="66D67818">
            <w:pPr>
              <w:widowControl w:val="0"/>
              <w:numPr>
                <w:ilvl w:val="0"/>
                <w:numId w:val="0"/>
              </w:numPr>
              <w:tabs>
                <w:tab w:val="left" w:pos="274"/>
              </w:tabs>
              <w:autoSpaceDE w:val="0"/>
              <w:autoSpaceDN w:val="0"/>
              <w:spacing w:before="38" w:after="0" w:line="240" w:lineRule="auto"/>
              <w:ind w:left="107" w:leftChars="0"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6"/>
                <w:szCs w:val="16"/>
                <w:lang w:val="en-US" w:eastAsia="zh-CN" w:bidi="zh-CN"/>
              </w:rPr>
              <w:t>1.首次实施违法行为。2.违法行为调查过程中，不存在拒不接受执法部门调查处理、阻碍执法、煽动抗拒执法等妨碍执行公务的行为。3.堆放的物品或搭建设施属于能够立即清除、拆除并恢复桥下空间原貌的情况。4.按执法部门要求立即清除或在规定期限内拆除堆放物品和搭建的设施，消除安全隐患。5.不适用铺设高压电线和输送易燃、易爆或者其他有毒有害气体、液体的管道的情形。6.该行为未造成影响桥体安全等危害后果。</w:t>
            </w:r>
          </w:p>
        </w:tc>
      </w:tr>
      <w:tr w14:paraId="5AE23B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0" w:hRule="atLeast"/>
        </w:trPr>
        <w:tc>
          <w:tcPr>
            <w:tcW w:w="756" w:type="dxa"/>
            <w:vAlign w:val="center"/>
          </w:tcPr>
          <w:p w14:paraId="70EAB090">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8</w:t>
            </w:r>
          </w:p>
        </w:tc>
        <w:tc>
          <w:tcPr>
            <w:tcW w:w="2584" w:type="dxa"/>
            <w:vAlign w:val="center"/>
          </w:tcPr>
          <w:p w14:paraId="3C3F274C">
            <w:pPr>
              <w:widowControl w:val="0"/>
              <w:autoSpaceDE w:val="0"/>
              <w:autoSpaceDN w:val="0"/>
              <w:spacing w:before="0" w:after="0" w:line="271" w:lineRule="auto"/>
              <w:ind w:right="119"/>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对将公路作为试车场地的处罚。</w:t>
            </w:r>
          </w:p>
        </w:tc>
        <w:tc>
          <w:tcPr>
            <w:tcW w:w="6870" w:type="dxa"/>
            <w:vAlign w:val="center"/>
          </w:tcPr>
          <w:p w14:paraId="71D8C134">
            <w:pPr>
              <w:pStyle w:val="7"/>
              <w:numPr>
                <w:ilvl w:val="0"/>
                <w:numId w:val="0"/>
              </w:numPr>
              <w:tabs>
                <w:tab w:val="left" w:pos="357"/>
              </w:tabs>
              <w:spacing w:before="46" w:after="0" w:line="279" w:lineRule="exact"/>
              <w:ind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《中华人民共和国公路法》</w:t>
            </w:r>
          </w:p>
          <w:p w14:paraId="6746CE42">
            <w:pPr>
              <w:pStyle w:val="7"/>
              <w:numPr>
                <w:ilvl w:val="0"/>
                <w:numId w:val="0"/>
              </w:numPr>
              <w:tabs>
                <w:tab w:val="left" w:pos="357"/>
              </w:tabs>
              <w:spacing w:before="46" w:after="0" w:line="279" w:lineRule="exact"/>
              <w:ind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第五十一条 机动车制造厂和其他单位不得将公路作为检验机动车制动性的试车场地。</w:t>
            </w:r>
          </w:p>
          <w:p w14:paraId="792B33C7">
            <w:pPr>
              <w:pStyle w:val="7"/>
              <w:numPr>
                <w:ilvl w:val="0"/>
                <w:numId w:val="0"/>
              </w:numPr>
              <w:tabs>
                <w:tab w:val="left" w:pos="357"/>
              </w:tabs>
              <w:spacing w:before="46" w:after="0" w:line="279" w:lineRule="exact"/>
              <w:ind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第七十七条 违反本法第四十六条规定，造成公路损坏、污染或影响公路畅通的，或者违法本法第五十一条规定，将公路作为试车场地的，由交通运输主管部门责令停止违法行为，可以处五千元以下罚款。</w:t>
            </w:r>
          </w:p>
        </w:tc>
        <w:tc>
          <w:tcPr>
            <w:tcW w:w="1215" w:type="dxa"/>
            <w:vAlign w:val="center"/>
          </w:tcPr>
          <w:p w14:paraId="30167284">
            <w:pPr>
              <w:widowControl w:val="0"/>
              <w:autoSpaceDE w:val="0"/>
              <w:autoSpaceDN w:val="0"/>
              <w:spacing w:before="0" w:after="0" w:line="240" w:lineRule="auto"/>
              <w:ind w:left="21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首违免罚</w:t>
            </w:r>
          </w:p>
        </w:tc>
        <w:tc>
          <w:tcPr>
            <w:tcW w:w="3218" w:type="dxa"/>
            <w:vAlign w:val="center"/>
          </w:tcPr>
          <w:p w14:paraId="24B4175A">
            <w:pPr>
              <w:pStyle w:val="7"/>
              <w:numPr>
                <w:ilvl w:val="0"/>
                <w:numId w:val="0"/>
              </w:numPr>
              <w:tabs>
                <w:tab w:val="left" w:pos="357"/>
              </w:tabs>
              <w:spacing w:before="1" w:after="0" w:line="240" w:lineRule="auto"/>
              <w:ind w:left="107" w:leftChars="0" w:right="-15"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首次实施违法行为。2.违法行为调查过程中，不存在拒不接受执法部门调查处理、阻碍执法、煽动抗拒执法等妨碍执行公务的行为。3.立即停止实施违法行为，按执法部门要求驶离公路。4.未造成交通拥堵、公路路产损坏，未引发交通事故等危害后果</w:t>
            </w:r>
          </w:p>
        </w:tc>
      </w:tr>
      <w:tr w14:paraId="266659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0" w:hRule="atLeast"/>
        </w:trPr>
        <w:tc>
          <w:tcPr>
            <w:tcW w:w="756" w:type="dxa"/>
            <w:vAlign w:val="center"/>
          </w:tcPr>
          <w:p w14:paraId="344ABC29">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9</w:t>
            </w:r>
          </w:p>
        </w:tc>
        <w:tc>
          <w:tcPr>
            <w:tcW w:w="2584" w:type="dxa"/>
            <w:vAlign w:val="center"/>
          </w:tcPr>
          <w:p w14:paraId="4ACCE38F">
            <w:pPr>
              <w:tabs>
                <w:tab w:val="left" w:pos="838"/>
              </w:tabs>
              <w:bidi w:val="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对道路运输经营者使用卫星定位装置出现故障不能保持在线的运车辆从事经营活动的处罚。</w:t>
            </w:r>
          </w:p>
        </w:tc>
        <w:tc>
          <w:tcPr>
            <w:tcW w:w="6870" w:type="dxa"/>
            <w:vAlign w:val="center"/>
          </w:tcPr>
          <w:p w14:paraId="4869C327">
            <w:pPr>
              <w:pStyle w:val="7"/>
              <w:numPr>
                <w:ilvl w:val="0"/>
                <w:numId w:val="0"/>
              </w:numPr>
              <w:tabs>
                <w:tab w:val="left" w:pos="357"/>
              </w:tabs>
              <w:spacing w:before="46" w:after="0" w:line="279" w:lineRule="exact"/>
              <w:ind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《道路运输车辆动态监督管理办法》</w:t>
            </w:r>
          </w:p>
          <w:p w14:paraId="238A2FE3">
            <w:pPr>
              <w:pStyle w:val="7"/>
              <w:numPr>
                <w:ilvl w:val="0"/>
                <w:numId w:val="0"/>
              </w:numPr>
              <w:tabs>
                <w:tab w:val="left" w:pos="357"/>
              </w:tabs>
              <w:spacing w:before="46" w:after="0" w:line="279" w:lineRule="exact"/>
              <w:ind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第三十七条违反本办法的规定，道路运输经营者使用卫星定位装置出现故障不能保持在线的运输车辆从事经营活动的，由县级以上道路运输管理机构责令改正。拒不改正的，处800元罚款。</w:t>
            </w:r>
          </w:p>
        </w:tc>
        <w:tc>
          <w:tcPr>
            <w:tcW w:w="1215" w:type="dxa"/>
            <w:vAlign w:val="center"/>
          </w:tcPr>
          <w:p w14:paraId="610A1F7B">
            <w:pPr>
              <w:widowControl w:val="0"/>
              <w:autoSpaceDE w:val="0"/>
              <w:autoSpaceDN w:val="0"/>
              <w:spacing w:before="0" w:after="0" w:line="240" w:lineRule="auto"/>
              <w:ind w:left="21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首违免罚</w:t>
            </w:r>
          </w:p>
        </w:tc>
        <w:tc>
          <w:tcPr>
            <w:tcW w:w="3218" w:type="dxa"/>
            <w:vAlign w:val="center"/>
          </w:tcPr>
          <w:p w14:paraId="562260F5">
            <w:pPr>
              <w:pStyle w:val="7"/>
              <w:numPr>
                <w:ilvl w:val="0"/>
                <w:numId w:val="0"/>
              </w:numPr>
              <w:tabs>
                <w:tab w:val="left" w:pos="357"/>
              </w:tabs>
              <w:spacing w:before="1" w:after="0" w:line="240" w:lineRule="auto"/>
              <w:ind w:left="107" w:leftChars="0" w:right="-15"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1.首次实施违法行为。2.违法行为调查过程中，不存在拒不接受执法部门调查处理、阻碍执法、煽动抗拒执法等妨碍执法公务的行为。</w:t>
            </w:r>
          </w:p>
          <w:p w14:paraId="17E346AD">
            <w:pPr>
              <w:pStyle w:val="7"/>
              <w:numPr>
                <w:ilvl w:val="0"/>
                <w:numId w:val="0"/>
              </w:numPr>
              <w:tabs>
                <w:tab w:val="left" w:pos="357"/>
              </w:tabs>
              <w:spacing w:before="1" w:after="0" w:line="240" w:lineRule="auto"/>
              <w:ind w:left="107" w:leftChars="0" w:right="-15"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3.卫星定位装置行驶途中出现故障不能保持在线，非客货运输经营者行为所致。</w:t>
            </w:r>
          </w:p>
        </w:tc>
      </w:tr>
      <w:tr w14:paraId="6F5CA7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0" w:hRule="atLeast"/>
        </w:trPr>
        <w:tc>
          <w:tcPr>
            <w:tcW w:w="756" w:type="dxa"/>
            <w:vAlign w:val="center"/>
          </w:tcPr>
          <w:p w14:paraId="2FFA736C">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10</w:t>
            </w:r>
          </w:p>
        </w:tc>
        <w:tc>
          <w:tcPr>
            <w:tcW w:w="2584" w:type="dxa"/>
            <w:vAlign w:val="center"/>
          </w:tcPr>
          <w:p w14:paraId="4C500EBA">
            <w:pPr>
              <w:tabs>
                <w:tab w:val="left" w:pos="838"/>
              </w:tabs>
              <w:bidi w:val="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对道路运输经营者未按照规定的周期和频次进行技术等级评定的处罚</w:t>
            </w:r>
          </w:p>
        </w:tc>
        <w:tc>
          <w:tcPr>
            <w:tcW w:w="6870" w:type="dxa"/>
            <w:vAlign w:val="center"/>
          </w:tcPr>
          <w:p w14:paraId="3998B27F">
            <w:pPr>
              <w:pStyle w:val="7"/>
              <w:numPr>
                <w:ilvl w:val="0"/>
                <w:numId w:val="0"/>
              </w:numPr>
              <w:tabs>
                <w:tab w:val="left" w:pos="357"/>
              </w:tabs>
              <w:spacing w:before="46" w:after="0" w:line="279" w:lineRule="exact"/>
              <w:ind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《道路运输车辆技术管理规定》</w:t>
            </w:r>
          </w:p>
          <w:p w14:paraId="76564C4E">
            <w:pPr>
              <w:pStyle w:val="7"/>
              <w:numPr>
                <w:ilvl w:val="0"/>
                <w:numId w:val="0"/>
              </w:numPr>
              <w:tabs>
                <w:tab w:val="left" w:pos="357"/>
              </w:tabs>
              <w:spacing w:before="46" w:after="0" w:line="279" w:lineRule="exact"/>
              <w:ind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三十一条第（三）项违反本规定，道路运输经营者有下列行为之一的，县级以上道路运输管理机构应当责令改正，给予警告；情节严重的，处以1000元以上5000元以下罚款：（三）未按照规定的周期和频次进行车辆综合性能检测和技术等级评定的。</w:t>
            </w:r>
          </w:p>
        </w:tc>
        <w:tc>
          <w:tcPr>
            <w:tcW w:w="1215" w:type="dxa"/>
            <w:vAlign w:val="center"/>
          </w:tcPr>
          <w:p w14:paraId="27DA48F4">
            <w:pPr>
              <w:widowControl w:val="0"/>
              <w:autoSpaceDE w:val="0"/>
              <w:autoSpaceDN w:val="0"/>
              <w:spacing w:before="0" w:after="0" w:line="240" w:lineRule="auto"/>
              <w:ind w:left="21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首违免罚</w:t>
            </w:r>
          </w:p>
        </w:tc>
        <w:tc>
          <w:tcPr>
            <w:tcW w:w="3218" w:type="dxa"/>
            <w:vAlign w:val="center"/>
          </w:tcPr>
          <w:p w14:paraId="6BB277E7">
            <w:pPr>
              <w:pStyle w:val="7"/>
              <w:numPr>
                <w:ilvl w:val="0"/>
                <w:numId w:val="0"/>
              </w:numPr>
              <w:tabs>
                <w:tab w:val="left" w:pos="357"/>
              </w:tabs>
              <w:spacing w:before="46" w:after="0" w:line="279" w:lineRule="exact"/>
              <w:ind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首次实施违法行为。2.违法行为调查过程中，不存在拒不接受执法部门调查处理、阻碍执法、煽动抗拒执法等妨碍执行公务的行为。3.逾期开展技术等级评定不超过30天的。4.经责令改正，在要求的期限内进行技术等级评定，检验结果符合营运车辆相关安全标准和技术标准的。5.车辆未因安全性能和技术等级问题引发交通事故、服务质量事件危害后果。</w:t>
            </w:r>
          </w:p>
        </w:tc>
      </w:tr>
      <w:tr w14:paraId="18DC38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0" w:hRule="atLeast"/>
        </w:trPr>
        <w:tc>
          <w:tcPr>
            <w:tcW w:w="756" w:type="dxa"/>
            <w:vAlign w:val="center"/>
          </w:tcPr>
          <w:p w14:paraId="0CE94892">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11</w:t>
            </w:r>
          </w:p>
        </w:tc>
        <w:tc>
          <w:tcPr>
            <w:tcW w:w="2584" w:type="dxa"/>
            <w:vAlign w:val="center"/>
          </w:tcPr>
          <w:p w14:paraId="42A42E50">
            <w:pPr>
              <w:tabs>
                <w:tab w:val="left" w:pos="838"/>
              </w:tabs>
              <w:bidi w:val="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对客运经营者不按批准的客运站点停靠的处罚。</w:t>
            </w:r>
          </w:p>
        </w:tc>
        <w:tc>
          <w:tcPr>
            <w:tcW w:w="6870" w:type="dxa"/>
            <w:vAlign w:val="center"/>
          </w:tcPr>
          <w:p w14:paraId="11D42094">
            <w:pPr>
              <w:pStyle w:val="7"/>
              <w:spacing w:before="46"/>
              <w:ind w:left="10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《中华人民共和国道路运输条例》</w:t>
            </w:r>
          </w:p>
          <w:p w14:paraId="3EFF617F">
            <w:pPr>
              <w:widowControl w:val="0"/>
              <w:autoSpaceDE w:val="0"/>
              <w:autoSpaceDN w:val="0"/>
              <w:spacing w:before="0" w:after="0" w:line="278" w:lineRule="exact"/>
              <w:ind w:left="10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第六十九条第（一）项</w:t>
            </w:r>
            <w:r>
              <w:rPr>
                <w:rFonts w:hint="eastAsia" w:ascii="方正黑体_GBK" w:hAnsi="方正黑体_GBK" w:eastAsia="方正黑体_GBK" w:cs="方正黑体_GBK"/>
                <w:kern w:val="2"/>
                <w:sz w:val="18"/>
                <w:szCs w:val="18"/>
                <w:lang w:val="en-US" w:eastAsia="zh-CN" w:bidi="zh-CN"/>
              </w:rPr>
              <w:tab/>
            </w:r>
            <w:r>
              <w:rPr>
                <w:rFonts w:hint="eastAsia" w:ascii="方正黑体_GBK" w:hAnsi="方正黑体_GBK" w:eastAsia="方正黑体_GBK" w:cs="方正黑体_GBK"/>
                <w:kern w:val="2"/>
                <w:sz w:val="18"/>
                <w:szCs w:val="18"/>
                <w:lang w:val="en-US" w:eastAsia="zh-CN" w:bidi="zh-CN"/>
              </w:rPr>
              <w:t>违反本条例的规定，客运经营者、货运经营者有下列情形之一的，由县级以上道路运输管理机构责令改正，处1000元以上3000元以下的罚款；情节严重的，由原许可机关吊销道路运输经营许可证：（一）不按批准的客运站点停靠或者不按规定的线路、公布的班次行驶的。</w:t>
            </w:r>
          </w:p>
        </w:tc>
        <w:tc>
          <w:tcPr>
            <w:tcW w:w="1215" w:type="dxa"/>
            <w:vAlign w:val="center"/>
          </w:tcPr>
          <w:p w14:paraId="4DE9A7EC">
            <w:pPr>
              <w:widowControl w:val="0"/>
              <w:autoSpaceDE w:val="0"/>
              <w:autoSpaceDN w:val="0"/>
              <w:spacing w:before="0" w:after="0" w:line="240" w:lineRule="auto"/>
              <w:ind w:left="21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首违免罚</w:t>
            </w:r>
          </w:p>
        </w:tc>
        <w:tc>
          <w:tcPr>
            <w:tcW w:w="3218" w:type="dxa"/>
            <w:vAlign w:val="center"/>
          </w:tcPr>
          <w:p w14:paraId="3A6D21C8">
            <w:pPr>
              <w:pStyle w:val="7"/>
              <w:numPr>
                <w:ilvl w:val="0"/>
                <w:numId w:val="0"/>
              </w:numPr>
              <w:tabs>
                <w:tab w:val="left" w:pos="357"/>
              </w:tabs>
              <w:spacing w:before="46" w:after="0" w:line="279" w:lineRule="exact"/>
              <w:ind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6"/>
                <w:szCs w:val="16"/>
                <w:lang w:val="en-US" w:eastAsia="zh-CN" w:bidi="zh-CN"/>
              </w:rPr>
              <w:t>1.首次实施违法行为。2.违法行为调查过程中，不存在拒不接受执法部门调查处理、阻碍执法、煽动抗拒执法等妨碍执行公务的行为。3.无超员载客的行为，停靠站点仍在规定的运行线路范围内。4.未因此引发乘客服务质量投诉等危害后果。5.不存在未落实安检、实名制等行为。</w:t>
            </w:r>
          </w:p>
        </w:tc>
      </w:tr>
      <w:tr w14:paraId="49CD26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0" w:hRule="atLeast"/>
        </w:trPr>
        <w:tc>
          <w:tcPr>
            <w:tcW w:w="756" w:type="dxa"/>
            <w:vAlign w:val="center"/>
          </w:tcPr>
          <w:p w14:paraId="7868DB71">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12</w:t>
            </w:r>
          </w:p>
        </w:tc>
        <w:tc>
          <w:tcPr>
            <w:tcW w:w="2584" w:type="dxa"/>
            <w:vAlign w:val="center"/>
          </w:tcPr>
          <w:p w14:paraId="3C9370CE">
            <w:pPr>
              <w:bidi w:val="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对客运经营者不按规定的线路行驶的处罚。</w:t>
            </w:r>
          </w:p>
        </w:tc>
        <w:tc>
          <w:tcPr>
            <w:tcW w:w="6870" w:type="dxa"/>
            <w:vAlign w:val="center"/>
          </w:tcPr>
          <w:p w14:paraId="4A35B187">
            <w:pPr>
              <w:pStyle w:val="7"/>
              <w:spacing w:before="42"/>
              <w:ind w:left="10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《中华人民共和国道路运输条例》</w:t>
            </w:r>
          </w:p>
          <w:p w14:paraId="7C823A96">
            <w:pPr>
              <w:widowControl w:val="0"/>
              <w:autoSpaceDE w:val="0"/>
              <w:autoSpaceDN w:val="0"/>
              <w:spacing w:before="0" w:after="0" w:line="278" w:lineRule="exact"/>
              <w:ind w:left="10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第六十九条第（一）项</w:t>
            </w:r>
            <w:r>
              <w:rPr>
                <w:rFonts w:hint="eastAsia" w:ascii="方正黑体_GBK" w:hAnsi="方正黑体_GBK" w:eastAsia="方正黑体_GBK" w:cs="方正黑体_GBK"/>
                <w:kern w:val="2"/>
                <w:sz w:val="18"/>
                <w:szCs w:val="18"/>
                <w:lang w:val="en-US" w:eastAsia="zh-CN" w:bidi="zh-CN"/>
              </w:rPr>
              <w:tab/>
            </w:r>
            <w:r>
              <w:rPr>
                <w:rFonts w:hint="eastAsia" w:ascii="方正黑体_GBK" w:hAnsi="方正黑体_GBK" w:eastAsia="方正黑体_GBK" w:cs="方正黑体_GBK"/>
                <w:kern w:val="2"/>
                <w:sz w:val="18"/>
                <w:szCs w:val="18"/>
                <w:lang w:val="en-US" w:eastAsia="zh-CN" w:bidi="zh-CN"/>
              </w:rPr>
              <w:t>违反本条例的规定，客运经营者、货运经营者有下列情形之一的，由县级以上道路运输管理机构责令改正，处1000元以上3000元以下的罚款；情节严重的，由原许可机关吊销道路运输经营许可证：（一）不按批准的客运站点停靠或者不按规定的线路、公布的班次行驶的。</w:t>
            </w:r>
          </w:p>
        </w:tc>
        <w:tc>
          <w:tcPr>
            <w:tcW w:w="1215" w:type="dxa"/>
            <w:vAlign w:val="center"/>
          </w:tcPr>
          <w:p w14:paraId="27B05A47">
            <w:pPr>
              <w:widowControl w:val="0"/>
              <w:autoSpaceDE w:val="0"/>
              <w:autoSpaceDN w:val="0"/>
              <w:spacing w:before="0" w:after="0" w:line="240" w:lineRule="auto"/>
              <w:ind w:left="218" w:right="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首违免罚</w:t>
            </w:r>
          </w:p>
        </w:tc>
        <w:tc>
          <w:tcPr>
            <w:tcW w:w="3218" w:type="dxa"/>
            <w:vAlign w:val="center"/>
          </w:tcPr>
          <w:p w14:paraId="5BF81948">
            <w:pPr>
              <w:pStyle w:val="7"/>
              <w:numPr>
                <w:ilvl w:val="0"/>
                <w:numId w:val="0"/>
              </w:numPr>
              <w:tabs>
                <w:tab w:val="left" w:pos="357"/>
              </w:tabs>
              <w:spacing w:before="46" w:after="0" w:line="279" w:lineRule="exact"/>
              <w:ind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首次实施违法行为。2.违法行为调查过程中，不存在拒不接受执法部门调查处理、阻碍执法、煽动抗拒执法等妨碍执行公务的行为。3.未同时存在不按批准站点停靠的行为。4.核定运行线路在运行时间段存在发生自然灾害、交通事故、交通管制等不利于道路通行的客观因素。5.未因此引发乘客服务质量投诉等危害后果。</w:t>
            </w:r>
          </w:p>
        </w:tc>
      </w:tr>
      <w:tr w14:paraId="77C5E9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0" w:hRule="atLeast"/>
        </w:trPr>
        <w:tc>
          <w:tcPr>
            <w:tcW w:w="756" w:type="dxa"/>
            <w:vAlign w:val="center"/>
          </w:tcPr>
          <w:p w14:paraId="0E1596E4">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13</w:t>
            </w:r>
          </w:p>
        </w:tc>
        <w:tc>
          <w:tcPr>
            <w:tcW w:w="2584" w:type="dxa"/>
            <w:shd w:val="clear" w:color="auto" w:fill="auto"/>
            <w:vAlign w:val="center"/>
          </w:tcPr>
          <w:p w14:paraId="1B2F8746">
            <w:pPr>
              <w:pStyle w:val="7"/>
              <w:spacing w:before="1" w:line="249" w:lineRule="auto"/>
              <w:ind w:right="93" w:rightChars="0"/>
              <w:jc w:val="both"/>
              <w:rPr>
                <w:rFonts w:hint="eastAsia" w:ascii="方正黑体_GBK" w:hAnsi="方正黑体_GBK" w:eastAsia="方正黑体_GBK" w:cs="方正黑体_GBK"/>
                <w:kern w:val="2"/>
                <w:sz w:val="18"/>
                <w:szCs w:val="18"/>
                <w:lang w:val="zh-CN" w:eastAsia="zh-CN" w:bidi="zh-CN"/>
              </w:rPr>
            </w:pPr>
            <w:r>
              <w:rPr>
                <w:rFonts w:hint="eastAsia" w:ascii="方正黑体_GBK" w:hAnsi="方正黑体_GBK" w:eastAsia="方正黑体_GBK" w:cs="方正黑体_GBK"/>
                <w:kern w:val="2"/>
                <w:sz w:val="18"/>
                <w:szCs w:val="18"/>
                <w:lang w:val="en-US" w:eastAsia="zh-CN" w:bidi="zh-CN"/>
              </w:rPr>
              <w:t>对出租汽车驾驶员不按照规定使用文明用语，车容车貌不符合要求的处罚。</w:t>
            </w:r>
          </w:p>
        </w:tc>
        <w:tc>
          <w:tcPr>
            <w:tcW w:w="6870" w:type="dxa"/>
            <w:shd w:val="clear" w:color="auto" w:fill="auto"/>
            <w:vAlign w:val="center"/>
          </w:tcPr>
          <w:p w14:paraId="406DE330">
            <w:pPr>
              <w:pStyle w:val="7"/>
              <w:numPr>
                <w:ilvl w:val="0"/>
                <w:numId w:val="0"/>
              </w:numPr>
              <w:tabs>
                <w:tab w:val="left" w:pos="357"/>
              </w:tabs>
              <w:spacing w:before="46" w:after="0" w:line="279" w:lineRule="exact"/>
              <w:ind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《出租汽车驾驶员从业资格管理规定》</w:t>
            </w:r>
          </w:p>
          <w:p w14:paraId="789AC7CA">
            <w:pPr>
              <w:pStyle w:val="7"/>
              <w:numPr>
                <w:ilvl w:val="0"/>
                <w:numId w:val="0"/>
              </w:numPr>
              <w:tabs>
                <w:tab w:val="left" w:pos="357"/>
              </w:tabs>
              <w:spacing w:before="46" w:after="0" w:line="279" w:lineRule="exact"/>
              <w:ind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四十条第（三）项出租汽车驾驶员在运营过程中，应当遵守国家对驾驶员法律法规、职业道德、服务规范、安全运营等方面的资格规定，文明行为车、优质服务。出租汽车驾驶员不得有下列行为：（三）不按规定使用文明用语，车容车貌不符合要求的。</w:t>
            </w:r>
          </w:p>
          <w:p w14:paraId="79439A35">
            <w:pPr>
              <w:pStyle w:val="7"/>
              <w:numPr>
                <w:ilvl w:val="0"/>
                <w:numId w:val="0"/>
              </w:numPr>
              <w:tabs>
                <w:tab w:val="left" w:pos="357"/>
              </w:tabs>
              <w:spacing w:before="46" w:after="0" w:line="279" w:lineRule="exact"/>
              <w:ind w:right="0" w:rightChars="0"/>
              <w:jc w:val="both"/>
              <w:rPr>
                <w:rFonts w:hint="eastAsia" w:ascii="方正黑体_GBK" w:hAnsi="方正黑体_GBK" w:eastAsia="方正黑体_GBK" w:cs="方正黑体_GBK"/>
                <w:kern w:val="2"/>
                <w:sz w:val="18"/>
                <w:szCs w:val="18"/>
                <w:lang w:val="zh-CN" w:eastAsia="zh-CN" w:bidi="zh-CN"/>
              </w:rPr>
            </w:pPr>
            <w:r>
              <w:rPr>
                <w:rFonts w:hint="eastAsia" w:ascii="方正黑体_GBK" w:hAnsi="方正黑体_GBK" w:eastAsia="方正黑体_GBK" w:cs="方正黑体_GBK"/>
                <w:kern w:val="2"/>
                <w:sz w:val="18"/>
                <w:szCs w:val="18"/>
                <w:lang w:val="en-US" w:eastAsia="zh-CN" w:bidi="zh-CN"/>
              </w:rPr>
              <w:t>第四十二条出租汽车驾驶员违反第十六条、第四十条规定的，由县级以上出租汽车行政主管部门责令改正，并处200元以上500元以下罚款。</w:t>
            </w:r>
          </w:p>
        </w:tc>
        <w:tc>
          <w:tcPr>
            <w:tcW w:w="1215" w:type="dxa"/>
            <w:shd w:val="clear" w:color="auto" w:fill="auto"/>
            <w:vAlign w:val="center"/>
          </w:tcPr>
          <w:p w14:paraId="40DE8F08">
            <w:pPr>
              <w:pStyle w:val="7"/>
              <w:numPr>
                <w:ilvl w:val="0"/>
                <w:numId w:val="0"/>
              </w:numPr>
              <w:tabs>
                <w:tab w:val="left" w:pos="357"/>
              </w:tabs>
              <w:spacing w:before="1" w:after="0" w:line="240" w:lineRule="auto"/>
              <w:ind w:right="0" w:rightChars="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首违免罚</w:t>
            </w:r>
          </w:p>
        </w:tc>
        <w:tc>
          <w:tcPr>
            <w:tcW w:w="3218" w:type="dxa"/>
            <w:vAlign w:val="center"/>
          </w:tcPr>
          <w:p w14:paraId="1389B5FF">
            <w:pPr>
              <w:pStyle w:val="7"/>
              <w:numPr>
                <w:ilvl w:val="0"/>
                <w:numId w:val="0"/>
              </w:numPr>
              <w:tabs>
                <w:tab w:val="left" w:pos="357"/>
              </w:tabs>
              <w:spacing w:before="46" w:after="0" w:line="279" w:lineRule="exact"/>
              <w:ind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首次实施违法行为。2.违法行为调查过程中，不存在拒不接受执法部门调查处理、阻碍执法、煽动抗拒执法等妨碍执行公务的行为。3.承诺及时改正，使用文明用语，保证车容车貌符合要求。4.与乘客产生矛盾纠纷，遇有乘客投诉等情况，取得乘客谅解的。5.未引发媒体负面报道等危害后果。</w:t>
            </w:r>
          </w:p>
        </w:tc>
      </w:tr>
      <w:tr w14:paraId="150184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1" w:hRule="atLeast"/>
        </w:trPr>
        <w:tc>
          <w:tcPr>
            <w:tcW w:w="756" w:type="dxa"/>
            <w:vAlign w:val="center"/>
          </w:tcPr>
          <w:p w14:paraId="33F3334D">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14</w:t>
            </w:r>
          </w:p>
        </w:tc>
        <w:tc>
          <w:tcPr>
            <w:tcW w:w="2584" w:type="dxa"/>
            <w:shd w:val="clear" w:color="auto" w:fill="auto"/>
            <w:vAlign w:val="center"/>
          </w:tcPr>
          <w:p w14:paraId="525BB803">
            <w:pPr>
              <w:pStyle w:val="7"/>
              <w:ind w:right="62"/>
              <w:jc w:val="both"/>
              <w:rPr>
                <w:rFonts w:hint="eastAsia" w:ascii="方正黑体_GBK" w:hAnsi="方正黑体_GBK" w:eastAsia="方正黑体_GBK" w:cs="方正黑体_GBK"/>
                <w:kern w:val="2"/>
                <w:sz w:val="18"/>
                <w:szCs w:val="18"/>
                <w:lang w:val="zh-CN" w:eastAsia="zh-CN" w:bidi="zh-CN"/>
              </w:rPr>
            </w:pPr>
            <w:r>
              <w:rPr>
                <w:rFonts w:hint="eastAsia" w:ascii="方正黑体_GBK" w:hAnsi="方正黑体_GBK" w:eastAsia="方正黑体_GBK" w:cs="方正黑体_GBK"/>
                <w:kern w:val="2"/>
                <w:sz w:val="18"/>
                <w:szCs w:val="18"/>
                <w:lang w:val="en-US" w:eastAsia="zh-CN" w:bidi="zh-CN"/>
              </w:rPr>
              <w:t>对客运经营者使用未持有合法有效《道路运输证》的车辆参加客运经营，道路货运经营者使用无《道路运输证》的车辆的处罚。</w:t>
            </w:r>
          </w:p>
        </w:tc>
        <w:tc>
          <w:tcPr>
            <w:tcW w:w="6870" w:type="dxa"/>
            <w:shd w:val="clear" w:color="auto" w:fill="auto"/>
            <w:vAlign w:val="center"/>
          </w:tcPr>
          <w:p w14:paraId="01739BB5">
            <w:pPr>
              <w:pStyle w:val="7"/>
              <w:numPr>
                <w:numId w:val="0"/>
              </w:numPr>
              <w:tabs>
                <w:tab w:val="left" w:pos="258"/>
              </w:tabs>
              <w:spacing w:before="30" w:after="0" w:line="240" w:lineRule="auto"/>
              <w:ind w:left="106" w:leftChars="0"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1.《道路旅客运输及客运站管理规定》</w:t>
            </w:r>
          </w:p>
          <w:p w14:paraId="6031C8CB">
            <w:pPr>
              <w:pStyle w:val="7"/>
              <w:tabs>
                <w:tab w:val="left" w:pos="1307"/>
              </w:tabs>
              <w:spacing w:before="1"/>
              <w:ind w:left="10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第九十七条 客运经营者使用未持合法有效《道路运输证》的车辆参加客运经营的，或者聘用不具备从业资格的驾驶员参加客运经营的，由县级以上道路运输管理机构责令改正，处3000元以上1万元以下罚款。</w:t>
            </w:r>
          </w:p>
          <w:p w14:paraId="2D97E098">
            <w:pPr>
              <w:pStyle w:val="7"/>
              <w:numPr>
                <w:numId w:val="0"/>
              </w:numPr>
              <w:tabs>
                <w:tab w:val="left" w:pos="258"/>
              </w:tabs>
              <w:spacing w:before="2" w:after="0" w:line="279" w:lineRule="exact"/>
              <w:ind w:left="106" w:leftChars="0"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2.《道路货物运输及站场管理规定》</w:t>
            </w:r>
          </w:p>
          <w:p w14:paraId="57786B32">
            <w:pPr>
              <w:pStyle w:val="7"/>
              <w:ind w:left="107" w:right="99"/>
              <w:jc w:val="both"/>
              <w:rPr>
                <w:rFonts w:hint="eastAsia" w:ascii="方正黑体_GBK" w:hAnsi="方正黑体_GBK" w:eastAsia="方正黑体_GBK" w:cs="方正黑体_GBK"/>
                <w:kern w:val="2"/>
                <w:sz w:val="18"/>
                <w:szCs w:val="18"/>
                <w:lang w:val="zh-CN" w:eastAsia="zh-CN" w:bidi="zh-CN"/>
              </w:rPr>
            </w:pPr>
            <w:r>
              <w:rPr>
                <w:rFonts w:hint="eastAsia" w:ascii="方正黑体_GBK" w:hAnsi="方正黑体_GBK" w:eastAsia="方正黑体_GBK" w:cs="方正黑体_GBK"/>
                <w:kern w:val="2"/>
                <w:sz w:val="18"/>
                <w:szCs w:val="18"/>
                <w:lang w:val="en-US" w:eastAsia="zh-CN" w:bidi="zh-CN"/>
              </w:rPr>
              <w:t>第五十九条 违反本规定，取得道路货物运经营许可的道路货物运输经营者使用无道路运输证的车辆参加货物运输的，由县级以上道路运输管理机构责令改正，处3000元以上1万元以下的罚款。</w:t>
            </w:r>
          </w:p>
        </w:tc>
        <w:tc>
          <w:tcPr>
            <w:tcW w:w="1215" w:type="dxa"/>
            <w:shd w:val="clear" w:color="auto" w:fill="auto"/>
            <w:vAlign w:val="center"/>
          </w:tcPr>
          <w:p w14:paraId="69C1E94B">
            <w:pPr>
              <w:pStyle w:val="7"/>
              <w:numPr>
                <w:ilvl w:val="0"/>
                <w:numId w:val="0"/>
              </w:numPr>
              <w:tabs>
                <w:tab w:val="left" w:pos="259"/>
              </w:tabs>
              <w:spacing w:before="0" w:after="0" w:line="240" w:lineRule="auto"/>
              <w:ind w:leftChars="0" w:right="0" w:rightChars="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首违免罚</w:t>
            </w:r>
          </w:p>
        </w:tc>
        <w:tc>
          <w:tcPr>
            <w:tcW w:w="3218" w:type="dxa"/>
            <w:vAlign w:val="center"/>
          </w:tcPr>
          <w:p w14:paraId="43D4B3D9">
            <w:pPr>
              <w:pStyle w:val="7"/>
              <w:numPr>
                <w:ilvl w:val="0"/>
                <w:numId w:val="0"/>
              </w:numPr>
              <w:tabs>
                <w:tab w:val="left" w:pos="357"/>
              </w:tabs>
              <w:spacing w:before="46" w:after="0" w:line="279" w:lineRule="exact"/>
              <w:ind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首次实施违法行为。2.违法行为调查过程中，不存在拒不接受执法部门调查处理、阻碍执法、煽动抗拒执法等妨碍执行公务的行为。3.存在涂改、伪造、编造《道路运输证》等违法行为。4.按执法部门要求为车辆办理道路运输证，且经评定，车辆符合相应的技术等级和类型等级。5.不属于危险货物运输车辆。</w:t>
            </w:r>
          </w:p>
        </w:tc>
      </w:tr>
      <w:tr w14:paraId="1F82EA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6" w:hRule="atLeast"/>
        </w:trPr>
        <w:tc>
          <w:tcPr>
            <w:tcW w:w="756" w:type="dxa"/>
            <w:vAlign w:val="center"/>
          </w:tcPr>
          <w:p w14:paraId="256B874C">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15</w:t>
            </w:r>
          </w:p>
        </w:tc>
        <w:tc>
          <w:tcPr>
            <w:tcW w:w="2584" w:type="dxa"/>
            <w:shd w:val="clear" w:color="auto" w:fill="auto"/>
            <w:vAlign w:val="center"/>
          </w:tcPr>
          <w:p w14:paraId="0E2608AE">
            <w:pPr>
              <w:pStyle w:val="7"/>
              <w:ind w:right="62"/>
              <w:jc w:val="both"/>
              <w:rPr>
                <w:rFonts w:hint="eastAsia" w:ascii="方正黑体_GBK" w:hAnsi="方正黑体_GBK" w:eastAsia="方正黑体_GBK" w:cs="方正黑体_GBK"/>
                <w:kern w:val="2"/>
                <w:sz w:val="18"/>
                <w:szCs w:val="18"/>
                <w:lang w:val="zh-CN" w:eastAsia="zh-CN" w:bidi="zh-CN"/>
              </w:rPr>
            </w:pPr>
            <w:r>
              <w:rPr>
                <w:rFonts w:hint="eastAsia" w:ascii="方正黑体_GBK" w:hAnsi="方正黑体_GBK" w:eastAsia="方正黑体_GBK" w:cs="方正黑体_GBK"/>
                <w:kern w:val="2"/>
                <w:sz w:val="18"/>
                <w:szCs w:val="18"/>
                <w:lang w:val="en-US" w:eastAsia="zh-CN" w:bidi="zh-CN"/>
              </w:rPr>
              <w:t>对道路运输经营者擅自改装已取得车辆营运证的道路运输车辆或使用擅自改装的道路运输车辆从事道路运输经营的处罚。</w:t>
            </w:r>
          </w:p>
        </w:tc>
        <w:tc>
          <w:tcPr>
            <w:tcW w:w="6870" w:type="dxa"/>
            <w:shd w:val="clear" w:color="auto" w:fill="auto"/>
            <w:vAlign w:val="center"/>
          </w:tcPr>
          <w:p w14:paraId="0C89269D">
            <w:pPr>
              <w:pStyle w:val="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《中华人民共和国道路运输条例》</w:t>
            </w:r>
          </w:p>
          <w:p w14:paraId="4CC862B3">
            <w:pPr>
              <w:pStyle w:val="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第七十条第二款违反本条例的规定，客运经营者、货运经营者擅自改装已取得车辆营运证的车辆的，由县级以上道路运输管理机构责令改正，处5000元以上2万元以下的罚款。</w:t>
            </w:r>
          </w:p>
          <w:p w14:paraId="40D99FBB">
            <w:pPr>
              <w:pStyle w:val="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《道路运输车辆技术管理规定》</w:t>
            </w:r>
          </w:p>
          <w:p w14:paraId="03D78567">
            <w:pPr>
              <w:pStyle w:val="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第三十一条第（二）项违反本规定，道路运输经营者有下列行为之一的，县级以上道路运输管理机构应当责令改正，给予警告；情节严重的，处1000元以上5000元以下罚款：</w:t>
            </w:r>
          </w:p>
          <w:p w14:paraId="51CEE107">
            <w:pPr>
              <w:pStyle w:val="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（二）使用报废、擅自改装、拼装、检测不合格以及其他不符合国家规定的车辆从事道路运输经营活动的。</w:t>
            </w:r>
          </w:p>
        </w:tc>
        <w:tc>
          <w:tcPr>
            <w:tcW w:w="1215" w:type="dxa"/>
            <w:shd w:val="clear" w:color="auto" w:fill="auto"/>
            <w:vAlign w:val="center"/>
          </w:tcPr>
          <w:p w14:paraId="711D7351">
            <w:pPr>
              <w:pStyle w:val="7"/>
              <w:numPr>
                <w:ilvl w:val="0"/>
                <w:numId w:val="0"/>
              </w:numPr>
              <w:tabs>
                <w:tab w:val="left" w:pos="259"/>
              </w:tabs>
              <w:spacing w:before="0" w:after="0" w:line="240" w:lineRule="auto"/>
              <w:ind w:leftChars="0" w:right="0" w:rightChars="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首违免罚</w:t>
            </w:r>
          </w:p>
        </w:tc>
        <w:tc>
          <w:tcPr>
            <w:tcW w:w="3218" w:type="dxa"/>
            <w:vAlign w:val="center"/>
          </w:tcPr>
          <w:p w14:paraId="28EED357">
            <w:pPr>
              <w:pStyle w:val="7"/>
              <w:numPr>
                <w:ilvl w:val="0"/>
                <w:numId w:val="0"/>
              </w:numPr>
              <w:tabs>
                <w:tab w:val="left" w:pos="357"/>
              </w:tabs>
              <w:spacing w:before="46" w:after="0" w:line="279" w:lineRule="exact"/>
              <w:ind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首次实施违法行为。2.违法行为调查过程中，不存在拒不接受执法部门调查处理、阻碍执法、煽动抗拒执法等妨碍执行公务的行为。3.改装车辆的行为轻微，能当场恢复原状，且不影响车辆安全技术性能的。4.按执法部门要求整改并恢复原状的。5.未因改装造成交通事故等危害后果的。6.该违法行为被查处的同时，不存在超限超载或超员运输违法行为。</w:t>
            </w:r>
          </w:p>
        </w:tc>
      </w:tr>
      <w:tr w14:paraId="66D58B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6" w:hRule="atLeast"/>
        </w:trPr>
        <w:tc>
          <w:tcPr>
            <w:tcW w:w="756" w:type="dxa"/>
            <w:vAlign w:val="center"/>
          </w:tcPr>
          <w:p w14:paraId="352175A5">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16</w:t>
            </w:r>
          </w:p>
        </w:tc>
        <w:tc>
          <w:tcPr>
            <w:tcW w:w="2584" w:type="dxa"/>
            <w:shd w:val="clear" w:color="auto" w:fill="auto"/>
            <w:vAlign w:val="center"/>
          </w:tcPr>
          <w:p w14:paraId="11293D4B">
            <w:pPr>
              <w:pStyle w:val="7"/>
              <w:jc w:val="both"/>
              <w:rPr>
                <w:rFonts w:hint="eastAsia" w:ascii="方正黑体_GBK" w:hAnsi="方正黑体_GBK" w:eastAsia="方正黑体_GBK" w:cs="方正黑体_GBK"/>
                <w:kern w:val="2"/>
                <w:sz w:val="18"/>
                <w:szCs w:val="18"/>
                <w:lang w:val="en-US" w:eastAsia="zh-CN" w:bidi="zh-CN"/>
              </w:rPr>
            </w:pPr>
          </w:p>
          <w:p w14:paraId="3D0E91E9">
            <w:pPr>
              <w:pStyle w:val="7"/>
              <w:jc w:val="both"/>
              <w:rPr>
                <w:rFonts w:hint="eastAsia" w:ascii="方正黑体_GBK" w:hAnsi="方正黑体_GBK" w:eastAsia="方正黑体_GBK" w:cs="方正黑体_GBK"/>
                <w:kern w:val="2"/>
                <w:sz w:val="18"/>
                <w:szCs w:val="18"/>
                <w:lang w:val="en-US" w:eastAsia="zh-CN" w:bidi="zh-CN"/>
              </w:rPr>
            </w:pPr>
          </w:p>
          <w:p w14:paraId="268F52BB">
            <w:pPr>
              <w:pStyle w:val="7"/>
              <w:jc w:val="both"/>
              <w:rPr>
                <w:rFonts w:hint="eastAsia" w:ascii="方正黑体_GBK" w:hAnsi="方正黑体_GBK" w:eastAsia="方正黑体_GBK" w:cs="方正黑体_GBK"/>
                <w:kern w:val="2"/>
                <w:sz w:val="18"/>
                <w:szCs w:val="18"/>
                <w:lang w:val="en-US" w:eastAsia="zh-CN" w:bidi="zh-CN"/>
              </w:rPr>
            </w:pPr>
          </w:p>
          <w:p w14:paraId="2FB80ABF">
            <w:pPr>
              <w:pStyle w:val="7"/>
              <w:spacing w:line="252" w:lineRule="auto"/>
              <w:ind w:left="302" w:leftChars="0" w:right="182" w:rightChars="0" w:hanging="108" w:firstLineChars="0"/>
              <w:jc w:val="both"/>
              <w:rPr>
                <w:rFonts w:hint="eastAsia" w:ascii="方正黑体_GBK" w:hAnsi="方正黑体_GBK" w:eastAsia="方正黑体_GBK" w:cs="方正黑体_GBK"/>
                <w:kern w:val="2"/>
                <w:sz w:val="18"/>
                <w:szCs w:val="18"/>
                <w:lang w:val="zh-CN" w:eastAsia="zh-CN" w:bidi="zh-CN"/>
              </w:rPr>
            </w:pPr>
            <w:r>
              <w:rPr>
                <w:rFonts w:hint="eastAsia" w:ascii="方正黑体_GBK" w:hAnsi="方正黑体_GBK" w:eastAsia="方正黑体_GBK" w:cs="方正黑体_GBK"/>
                <w:kern w:val="2"/>
                <w:sz w:val="18"/>
                <w:szCs w:val="18"/>
                <w:lang w:val="en-US" w:eastAsia="zh-CN" w:bidi="zh-CN"/>
              </w:rPr>
              <w:t>对运输危险化学品未配备必要的防护用品和应急救援器材的处罚。</w:t>
            </w:r>
          </w:p>
        </w:tc>
        <w:tc>
          <w:tcPr>
            <w:tcW w:w="6870" w:type="dxa"/>
            <w:shd w:val="clear" w:color="auto" w:fill="auto"/>
            <w:vAlign w:val="center"/>
          </w:tcPr>
          <w:p w14:paraId="7CC6F195">
            <w:pPr>
              <w:pStyle w:val="7"/>
              <w:spacing w:before="57"/>
              <w:ind w:left="10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《危险化学品安全管理条例》</w:t>
            </w:r>
          </w:p>
          <w:p w14:paraId="4211974F">
            <w:pPr>
              <w:pStyle w:val="7"/>
              <w:spacing w:before="1"/>
              <w:ind w:left="107" w:right="96"/>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第八十六条第（二）项有下列情形之一的，由交通运输主管部门责令改正，处5万元以上10万元以下的罚款；拒不改正的，责令停产停业整顿；构成犯罪的，依法追究刑事责任：</w:t>
            </w:r>
          </w:p>
          <w:p w14:paraId="1020830B">
            <w:pPr>
              <w:pStyle w:val="7"/>
              <w:ind w:left="107" w:leftChars="0" w:right="116" w:rightChars="0"/>
              <w:jc w:val="both"/>
              <w:rPr>
                <w:rFonts w:hint="eastAsia" w:ascii="方正黑体_GBK" w:hAnsi="方正黑体_GBK" w:eastAsia="方正黑体_GBK" w:cs="方正黑体_GBK"/>
                <w:kern w:val="2"/>
                <w:sz w:val="18"/>
                <w:szCs w:val="18"/>
                <w:lang w:val="zh-CN" w:eastAsia="zh-CN" w:bidi="zh-CN"/>
              </w:rPr>
            </w:pPr>
            <w:r>
              <w:rPr>
                <w:rFonts w:hint="eastAsia" w:ascii="方正黑体_GBK" w:hAnsi="方正黑体_GBK" w:eastAsia="方正黑体_GBK" w:cs="方正黑体_GBK"/>
                <w:kern w:val="2"/>
                <w:sz w:val="18"/>
                <w:szCs w:val="18"/>
                <w:lang w:val="en-US" w:eastAsia="zh-CN" w:bidi="zh-CN"/>
              </w:rPr>
              <w:t>（二）运输危险化学品，未根据危险化学品的危险特性采取相应的安全防护措施，或未配备必要的防护用品和应急救援器材的。</w:t>
            </w:r>
          </w:p>
        </w:tc>
        <w:tc>
          <w:tcPr>
            <w:tcW w:w="1215" w:type="dxa"/>
            <w:shd w:val="clear" w:color="auto" w:fill="auto"/>
            <w:vAlign w:val="center"/>
          </w:tcPr>
          <w:p w14:paraId="0C85133E">
            <w:pPr>
              <w:pStyle w:val="7"/>
              <w:numPr>
                <w:ilvl w:val="0"/>
                <w:numId w:val="0"/>
              </w:numPr>
              <w:tabs>
                <w:tab w:val="left" w:pos="259"/>
              </w:tabs>
              <w:spacing w:before="0" w:after="0" w:line="240" w:lineRule="auto"/>
              <w:ind w:leftChars="0" w:right="0" w:rightChars="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首违免罚</w:t>
            </w:r>
          </w:p>
        </w:tc>
        <w:tc>
          <w:tcPr>
            <w:tcW w:w="3218" w:type="dxa"/>
            <w:vAlign w:val="center"/>
          </w:tcPr>
          <w:p w14:paraId="19C590B1">
            <w:pPr>
              <w:pStyle w:val="7"/>
              <w:numPr>
                <w:ilvl w:val="0"/>
                <w:numId w:val="0"/>
              </w:numPr>
              <w:tabs>
                <w:tab w:val="left" w:pos="357"/>
              </w:tabs>
              <w:spacing w:before="0" w:after="0" w:line="279" w:lineRule="exact"/>
              <w:ind w:left="106" w:leftChars="0"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首次实施违法行为。2.违法行为调查过程中，不存在拒不接受执法部门调查处理、阻碍执法、煽动抗拒执法等妨碍执行公务的行为。3.未因此引发危险化学品道路运输事故，或加剧事故危害。4.经责令改正，按执法部门要求完成必要的防护用品和应急救援器材配备。</w:t>
            </w:r>
          </w:p>
        </w:tc>
      </w:tr>
      <w:tr w14:paraId="03DFB4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71" w:hRule="atLeast"/>
        </w:trPr>
        <w:tc>
          <w:tcPr>
            <w:tcW w:w="756" w:type="dxa"/>
            <w:vAlign w:val="center"/>
          </w:tcPr>
          <w:p w14:paraId="70C83DD9">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17</w:t>
            </w:r>
          </w:p>
        </w:tc>
        <w:tc>
          <w:tcPr>
            <w:tcW w:w="2584" w:type="dxa"/>
            <w:shd w:val="clear" w:color="auto" w:fill="auto"/>
            <w:vAlign w:val="center"/>
          </w:tcPr>
          <w:p w14:paraId="2038EC30">
            <w:pPr>
              <w:pStyle w:val="7"/>
              <w:jc w:val="both"/>
              <w:rPr>
                <w:rFonts w:hint="eastAsia" w:ascii="方正黑体_GBK" w:hAnsi="方正黑体_GBK" w:eastAsia="方正黑体_GBK" w:cs="方正黑体_GBK"/>
                <w:kern w:val="2"/>
                <w:sz w:val="18"/>
                <w:szCs w:val="18"/>
                <w:lang w:val="en-US" w:eastAsia="zh-CN" w:bidi="zh-CN"/>
              </w:rPr>
            </w:pPr>
          </w:p>
          <w:p w14:paraId="44BB0E04">
            <w:pPr>
              <w:pStyle w:val="7"/>
              <w:jc w:val="both"/>
              <w:rPr>
                <w:rFonts w:hint="eastAsia" w:ascii="方正黑体_GBK" w:hAnsi="方正黑体_GBK" w:eastAsia="方正黑体_GBK" w:cs="方正黑体_GBK"/>
                <w:kern w:val="2"/>
                <w:sz w:val="18"/>
                <w:szCs w:val="18"/>
                <w:lang w:val="en-US" w:eastAsia="zh-CN" w:bidi="zh-CN"/>
              </w:rPr>
            </w:pPr>
          </w:p>
          <w:p w14:paraId="64485047">
            <w:pPr>
              <w:pStyle w:val="7"/>
              <w:spacing w:line="249" w:lineRule="auto"/>
              <w:ind w:left="854" w:leftChars="0" w:right="182" w:rightChars="0" w:hanging="660" w:firstLineChars="0"/>
              <w:jc w:val="both"/>
              <w:rPr>
                <w:rFonts w:hint="eastAsia" w:ascii="方正黑体_GBK" w:hAnsi="方正黑体_GBK" w:eastAsia="方正黑体_GBK" w:cs="方正黑体_GBK"/>
                <w:kern w:val="2"/>
                <w:sz w:val="18"/>
                <w:szCs w:val="18"/>
                <w:lang w:val="zh-CN" w:eastAsia="zh-CN" w:bidi="zh-CN"/>
              </w:rPr>
            </w:pPr>
            <w:r>
              <w:rPr>
                <w:rFonts w:hint="eastAsia" w:ascii="方正黑体_GBK" w:hAnsi="方正黑体_GBK" w:eastAsia="方正黑体_GBK" w:cs="方正黑体_GBK"/>
                <w:kern w:val="2"/>
                <w:sz w:val="18"/>
                <w:szCs w:val="18"/>
                <w:lang w:val="en-US" w:eastAsia="zh-CN" w:bidi="zh-CN"/>
              </w:rPr>
              <w:t>对未将船舶识别号在船体上永久标记或者粘贴的处罚。</w:t>
            </w:r>
          </w:p>
        </w:tc>
        <w:tc>
          <w:tcPr>
            <w:tcW w:w="6870" w:type="dxa"/>
            <w:shd w:val="clear" w:color="auto" w:fill="auto"/>
            <w:vAlign w:val="center"/>
          </w:tcPr>
          <w:p w14:paraId="67EE5825">
            <w:pPr>
              <w:pStyle w:val="7"/>
              <w:jc w:val="both"/>
              <w:rPr>
                <w:rFonts w:hint="eastAsia" w:ascii="方正黑体_GBK" w:hAnsi="方正黑体_GBK" w:eastAsia="方正黑体_GBK" w:cs="方正黑体_GBK"/>
                <w:kern w:val="2"/>
                <w:sz w:val="18"/>
                <w:szCs w:val="18"/>
                <w:lang w:val="en-US" w:eastAsia="zh-CN" w:bidi="zh-CN"/>
              </w:rPr>
            </w:pPr>
          </w:p>
          <w:p w14:paraId="57EC4DFF">
            <w:pPr>
              <w:pStyle w:val="7"/>
              <w:spacing w:before="145" w:line="279" w:lineRule="exact"/>
              <w:ind w:left="107"/>
              <w:jc w:val="both"/>
              <w:rPr>
                <w:rFonts w:hint="eastAsia" w:ascii="方正黑体_GBK" w:hAnsi="方正黑体_GBK" w:eastAsia="方正黑体_GBK" w:cs="方正黑体_GBK"/>
                <w:kern w:val="2"/>
                <w:sz w:val="18"/>
                <w:szCs w:val="18"/>
                <w:lang w:val="zh-CN" w:eastAsia="zh-CN" w:bidi="zh-CN"/>
              </w:rPr>
            </w:pPr>
            <w:r>
              <w:rPr>
                <w:rFonts w:hint="eastAsia" w:ascii="方正黑体_GBK" w:hAnsi="方正黑体_GBK" w:eastAsia="方正黑体_GBK" w:cs="方正黑体_GBK"/>
                <w:kern w:val="2"/>
                <w:sz w:val="18"/>
                <w:szCs w:val="18"/>
                <w:lang w:val="en-US" w:eastAsia="zh-CN" w:bidi="zh-CN"/>
              </w:rPr>
              <w:t>《中华人民共和国船舶识别号管理规定》第十四条 未按本规定取得船舶识别号或者未将船舶识别号在船体上永久标记或者粘贴的，由海事管理机构责令改正，并可处3000元以上3万元以下的罚款。</w:t>
            </w:r>
          </w:p>
        </w:tc>
        <w:tc>
          <w:tcPr>
            <w:tcW w:w="1215" w:type="dxa"/>
            <w:shd w:val="clear" w:color="auto" w:fill="auto"/>
            <w:vAlign w:val="center"/>
          </w:tcPr>
          <w:p w14:paraId="58C51C55">
            <w:pPr>
              <w:pStyle w:val="7"/>
              <w:numPr>
                <w:ilvl w:val="0"/>
                <w:numId w:val="0"/>
              </w:numPr>
              <w:tabs>
                <w:tab w:val="left" w:pos="259"/>
              </w:tabs>
              <w:spacing w:before="0" w:after="0" w:line="240" w:lineRule="auto"/>
              <w:ind w:leftChars="0" w:right="0" w:rightChars="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首违免罚</w:t>
            </w:r>
          </w:p>
        </w:tc>
        <w:tc>
          <w:tcPr>
            <w:tcW w:w="3218" w:type="dxa"/>
            <w:vAlign w:val="center"/>
          </w:tcPr>
          <w:p w14:paraId="2F3C413D">
            <w:pPr>
              <w:pStyle w:val="7"/>
              <w:numPr>
                <w:ilvl w:val="0"/>
                <w:numId w:val="0"/>
              </w:numPr>
              <w:tabs>
                <w:tab w:val="left" w:pos="259"/>
              </w:tabs>
              <w:spacing w:before="117" w:after="0" w:line="240" w:lineRule="auto"/>
              <w:ind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首次实施该违法行为。2.违法行为调查过程中，不存在拒不接受执法部门调查处理、阻碍执法、煽动抗拒执法等妨碍执行公务的行为。3.经责令改正，在执法部门要求的期限内在船体上永久标记或者粘贴船舶识别号。4.未造成其他危害后果。</w:t>
            </w:r>
          </w:p>
        </w:tc>
      </w:tr>
      <w:tr w14:paraId="531697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6" w:hRule="atLeast"/>
        </w:trPr>
        <w:tc>
          <w:tcPr>
            <w:tcW w:w="756" w:type="dxa"/>
            <w:vAlign w:val="center"/>
          </w:tcPr>
          <w:p w14:paraId="5D455D3A">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18</w:t>
            </w:r>
          </w:p>
        </w:tc>
        <w:tc>
          <w:tcPr>
            <w:tcW w:w="2584" w:type="dxa"/>
            <w:shd w:val="clear" w:color="auto" w:fill="auto"/>
            <w:vAlign w:val="center"/>
          </w:tcPr>
          <w:p w14:paraId="106D6E00">
            <w:pPr>
              <w:pStyle w:val="7"/>
              <w:jc w:val="both"/>
              <w:rPr>
                <w:rFonts w:hint="eastAsia" w:ascii="方正黑体_GBK" w:hAnsi="方正黑体_GBK" w:eastAsia="方正黑体_GBK" w:cs="方正黑体_GBK"/>
                <w:kern w:val="2"/>
                <w:sz w:val="18"/>
                <w:szCs w:val="18"/>
                <w:lang w:val="en-US" w:eastAsia="zh-CN" w:bidi="zh-CN"/>
              </w:rPr>
            </w:pPr>
          </w:p>
          <w:p w14:paraId="0716C581">
            <w:pPr>
              <w:pStyle w:val="7"/>
              <w:jc w:val="both"/>
              <w:rPr>
                <w:rFonts w:hint="eastAsia" w:ascii="方正黑体_GBK" w:hAnsi="方正黑体_GBK" w:eastAsia="方正黑体_GBK" w:cs="方正黑体_GBK"/>
                <w:kern w:val="2"/>
                <w:sz w:val="18"/>
                <w:szCs w:val="18"/>
                <w:lang w:val="en-US" w:eastAsia="zh-CN" w:bidi="zh-CN"/>
              </w:rPr>
            </w:pPr>
          </w:p>
          <w:p w14:paraId="1644C810">
            <w:pPr>
              <w:pStyle w:val="7"/>
              <w:spacing w:before="3"/>
              <w:jc w:val="both"/>
              <w:rPr>
                <w:rFonts w:hint="eastAsia" w:ascii="方正黑体_GBK" w:hAnsi="方正黑体_GBK" w:eastAsia="方正黑体_GBK" w:cs="方正黑体_GBK"/>
                <w:kern w:val="2"/>
                <w:sz w:val="18"/>
                <w:szCs w:val="18"/>
                <w:lang w:val="en-US" w:eastAsia="zh-CN" w:bidi="zh-CN"/>
              </w:rPr>
            </w:pPr>
          </w:p>
          <w:p w14:paraId="5CE0F193">
            <w:pPr>
              <w:pStyle w:val="7"/>
              <w:ind w:left="108" w:leftChars="0"/>
              <w:jc w:val="both"/>
              <w:rPr>
                <w:rFonts w:hint="eastAsia" w:ascii="方正黑体_GBK" w:hAnsi="方正黑体_GBK" w:eastAsia="方正黑体_GBK" w:cs="方正黑体_GBK"/>
                <w:kern w:val="2"/>
                <w:sz w:val="18"/>
                <w:szCs w:val="18"/>
                <w:lang w:val="zh-CN" w:eastAsia="zh-CN" w:bidi="zh-CN"/>
              </w:rPr>
            </w:pPr>
            <w:r>
              <w:rPr>
                <w:rFonts w:hint="eastAsia" w:ascii="方正黑体_GBK" w:hAnsi="方正黑体_GBK" w:eastAsia="方正黑体_GBK" w:cs="方正黑体_GBK"/>
                <w:kern w:val="2"/>
                <w:sz w:val="18"/>
                <w:szCs w:val="18"/>
                <w:lang w:val="en-US" w:eastAsia="zh-CN" w:bidi="zh-CN"/>
              </w:rPr>
              <w:t>对船舶未随船保存自查记录的处罚。</w:t>
            </w:r>
          </w:p>
        </w:tc>
        <w:tc>
          <w:tcPr>
            <w:tcW w:w="6870" w:type="dxa"/>
            <w:shd w:val="clear" w:color="auto" w:fill="auto"/>
            <w:vAlign w:val="center"/>
          </w:tcPr>
          <w:p w14:paraId="467392AE">
            <w:pPr>
              <w:pStyle w:val="7"/>
              <w:jc w:val="both"/>
              <w:rPr>
                <w:rFonts w:hint="eastAsia" w:ascii="方正黑体_GBK" w:hAnsi="方正黑体_GBK" w:eastAsia="方正黑体_GBK" w:cs="方正黑体_GBK"/>
                <w:kern w:val="2"/>
                <w:sz w:val="18"/>
                <w:szCs w:val="18"/>
                <w:lang w:val="en-US" w:eastAsia="zh-CN" w:bidi="zh-CN"/>
              </w:rPr>
            </w:pPr>
          </w:p>
          <w:p w14:paraId="7BB348D4">
            <w:pPr>
              <w:pStyle w:val="7"/>
              <w:spacing w:before="173"/>
              <w:ind w:left="107"/>
              <w:jc w:val="both"/>
              <w:rPr>
                <w:rFonts w:hint="eastAsia" w:ascii="方正黑体_GBK" w:hAnsi="方正黑体_GBK" w:eastAsia="方正黑体_GBK" w:cs="方正黑体_GBK"/>
                <w:kern w:val="2"/>
                <w:sz w:val="18"/>
                <w:szCs w:val="18"/>
                <w:lang w:val="zh-CN" w:eastAsia="zh-CN" w:bidi="zh-CN"/>
              </w:rPr>
            </w:pPr>
            <w:r>
              <w:rPr>
                <w:rFonts w:hint="eastAsia" w:ascii="方正黑体_GBK" w:hAnsi="方正黑体_GBK" w:eastAsia="方正黑体_GBK" w:cs="方正黑体_GBK"/>
                <w:kern w:val="2"/>
                <w:sz w:val="18"/>
                <w:szCs w:val="18"/>
                <w:lang w:val="en-US" w:eastAsia="zh-CN" w:bidi="zh-CN"/>
              </w:rPr>
              <w:t>《中华人民共和国船舶安全监督规则》第五十三条</w:t>
            </w:r>
            <w:r>
              <w:rPr>
                <w:rFonts w:hint="eastAsia" w:ascii="方正黑体_GBK" w:hAnsi="方正黑体_GBK" w:eastAsia="方正黑体_GBK" w:cs="方正黑体_GBK"/>
                <w:kern w:val="2"/>
                <w:sz w:val="18"/>
                <w:szCs w:val="18"/>
                <w:lang w:val="en-US" w:eastAsia="zh-CN" w:bidi="zh-CN"/>
              </w:rPr>
              <w:tab/>
            </w:r>
            <w:r>
              <w:rPr>
                <w:rFonts w:hint="eastAsia" w:ascii="方正黑体_GBK" w:hAnsi="方正黑体_GBK" w:eastAsia="方正黑体_GBK" w:cs="方正黑体_GBK"/>
                <w:kern w:val="2"/>
                <w:sz w:val="18"/>
                <w:szCs w:val="18"/>
                <w:lang w:val="en-US" w:eastAsia="zh-CN" w:bidi="zh-CN"/>
              </w:rPr>
              <w:t>船舶未按照规定开展自查或者未随船保存船舶自查记录的，对船舶所有人或者船舶经营人处1000元以上1万元以下罚款。</w:t>
            </w:r>
          </w:p>
        </w:tc>
        <w:tc>
          <w:tcPr>
            <w:tcW w:w="1215" w:type="dxa"/>
            <w:shd w:val="clear" w:color="auto" w:fill="auto"/>
            <w:vAlign w:val="center"/>
          </w:tcPr>
          <w:p w14:paraId="7BD51CA0">
            <w:pPr>
              <w:pStyle w:val="7"/>
              <w:numPr>
                <w:ilvl w:val="0"/>
                <w:numId w:val="0"/>
              </w:numPr>
              <w:tabs>
                <w:tab w:val="left" w:pos="259"/>
              </w:tabs>
              <w:spacing w:before="0" w:after="0" w:line="240" w:lineRule="auto"/>
              <w:ind w:leftChars="0" w:right="0" w:rightChars="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首违免罚</w:t>
            </w:r>
          </w:p>
        </w:tc>
        <w:tc>
          <w:tcPr>
            <w:tcW w:w="3218" w:type="dxa"/>
            <w:vAlign w:val="center"/>
          </w:tcPr>
          <w:p w14:paraId="2814F4C1">
            <w:pPr>
              <w:pStyle w:val="7"/>
              <w:numPr>
                <w:numId w:val="0"/>
              </w:numPr>
              <w:tabs>
                <w:tab w:val="left" w:pos="259"/>
              </w:tabs>
              <w:spacing w:before="6" w:after="0" w:line="240" w:lineRule="auto"/>
              <w:ind w:left="106" w:leftChars="0"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1.首次实施该违法行为。</w:t>
            </w:r>
          </w:p>
          <w:p w14:paraId="4D710913">
            <w:pPr>
              <w:pStyle w:val="7"/>
              <w:numPr>
                <w:numId w:val="0"/>
              </w:numPr>
              <w:tabs>
                <w:tab w:val="left" w:pos="259"/>
              </w:tabs>
              <w:spacing w:before="1" w:after="0" w:line="240" w:lineRule="auto"/>
              <w:ind w:left="107" w:leftChars="0" w:right="55"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2.违法行为调查过程中，不存在拒不接受执法部门调查处理、阻碍执法、煽动抗拒执法等妨碍执行公务的行为。</w:t>
            </w:r>
          </w:p>
          <w:p w14:paraId="462DCCDA">
            <w:pPr>
              <w:pStyle w:val="7"/>
              <w:numPr>
                <w:numId w:val="0"/>
              </w:numPr>
              <w:tabs>
                <w:tab w:val="left" w:pos="259"/>
              </w:tabs>
              <w:spacing w:before="0" w:after="0" w:line="240" w:lineRule="auto"/>
              <w:ind w:left="106" w:leftChars="0" w:right="0"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3.客运船舶、危险化学品船舶不适用。</w:t>
            </w:r>
          </w:p>
          <w:p w14:paraId="55DC1168">
            <w:pPr>
              <w:pStyle w:val="7"/>
              <w:numPr>
                <w:numId w:val="0"/>
              </w:numPr>
              <w:tabs>
                <w:tab w:val="left" w:pos="259"/>
              </w:tabs>
              <w:spacing w:before="1" w:after="0" w:line="240" w:lineRule="auto"/>
              <w:ind w:left="107" w:leftChars="0" w:right="98" w:righ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4.经责令改正，在执法部门规定的期限内开展自查并随船保存自查记录。</w:t>
            </w:r>
          </w:p>
          <w:p w14:paraId="594EE765">
            <w:pPr>
              <w:pStyle w:val="7"/>
              <w:numPr>
                <w:ilvl w:val="0"/>
                <w:numId w:val="0"/>
              </w:numPr>
              <w:tabs>
                <w:tab w:val="left" w:pos="259"/>
              </w:tabs>
              <w:spacing w:before="0" w:after="0" w:line="240" w:lineRule="auto"/>
              <w:ind w:right="98" w:rightChars="0" w:firstLine="180" w:firstLineChars="10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5.未造成其他危害后果。</w:t>
            </w:r>
          </w:p>
        </w:tc>
      </w:tr>
      <w:tr w14:paraId="017D56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6" w:hRule="atLeast"/>
        </w:trPr>
        <w:tc>
          <w:tcPr>
            <w:tcW w:w="756" w:type="dxa"/>
            <w:vAlign w:val="center"/>
          </w:tcPr>
          <w:p w14:paraId="4A71138C">
            <w:pPr>
              <w:widowControl w:val="0"/>
              <w:autoSpaceDE w:val="0"/>
              <w:autoSpaceDN w:val="0"/>
              <w:spacing w:before="0" w:after="0" w:line="278" w:lineRule="exact"/>
              <w:ind w:left="108" w:right="0"/>
              <w:jc w:val="center"/>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19</w:t>
            </w:r>
          </w:p>
        </w:tc>
        <w:tc>
          <w:tcPr>
            <w:tcW w:w="2584" w:type="dxa"/>
            <w:shd w:val="clear" w:color="auto" w:fill="auto"/>
            <w:vAlign w:val="center"/>
          </w:tcPr>
          <w:p w14:paraId="274B6E08">
            <w:pPr>
              <w:pStyle w:val="7"/>
              <w:spacing w:before="1"/>
              <w:jc w:val="both"/>
              <w:rPr>
                <w:rFonts w:hint="eastAsia" w:ascii="方正黑体_GBK" w:hAnsi="方正黑体_GBK" w:eastAsia="方正黑体_GBK" w:cs="方正黑体_GBK"/>
                <w:kern w:val="2"/>
                <w:sz w:val="18"/>
                <w:szCs w:val="18"/>
                <w:lang w:val="en-US" w:eastAsia="zh-CN" w:bidi="zh-CN"/>
              </w:rPr>
            </w:pPr>
          </w:p>
          <w:p w14:paraId="117392CC">
            <w:pPr>
              <w:pStyle w:val="7"/>
              <w:spacing w:line="249" w:lineRule="auto"/>
              <w:ind w:left="108" w:leftChars="0" w:right="268" w:rightChars="0"/>
              <w:jc w:val="both"/>
              <w:rPr>
                <w:rFonts w:hint="eastAsia" w:ascii="方正黑体_GBK" w:hAnsi="方正黑体_GBK" w:eastAsia="方正黑体_GBK" w:cs="方正黑体_GBK"/>
                <w:kern w:val="2"/>
                <w:sz w:val="18"/>
                <w:szCs w:val="18"/>
                <w:lang w:val="zh-CN" w:eastAsia="zh-CN" w:bidi="zh-CN"/>
              </w:rPr>
            </w:pPr>
            <w:r>
              <w:rPr>
                <w:rFonts w:hint="eastAsia" w:ascii="方正黑体_GBK" w:hAnsi="方正黑体_GBK" w:eastAsia="方正黑体_GBK" w:cs="方正黑体_GBK"/>
                <w:kern w:val="2"/>
                <w:sz w:val="18"/>
                <w:szCs w:val="18"/>
                <w:lang w:val="en-US" w:eastAsia="zh-CN" w:bidi="zh-CN"/>
              </w:rPr>
              <w:t>对交通运输领域建设单位未按照国家规定办理工程质量监督手续的行政处罚。</w:t>
            </w:r>
          </w:p>
        </w:tc>
        <w:tc>
          <w:tcPr>
            <w:tcW w:w="6870" w:type="dxa"/>
            <w:shd w:val="clear" w:color="auto" w:fill="auto"/>
            <w:vAlign w:val="center"/>
          </w:tcPr>
          <w:p w14:paraId="35B0BFBD">
            <w:pPr>
              <w:pStyle w:val="7"/>
              <w:spacing w:before="7"/>
              <w:jc w:val="both"/>
              <w:rPr>
                <w:rFonts w:hint="eastAsia" w:ascii="方正黑体_GBK" w:hAnsi="方正黑体_GBK" w:eastAsia="方正黑体_GBK" w:cs="方正黑体_GBK"/>
                <w:kern w:val="2"/>
                <w:sz w:val="18"/>
                <w:szCs w:val="18"/>
                <w:lang w:val="en-US" w:eastAsia="zh-CN" w:bidi="zh-CN"/>
              </w:rPr>
            </w:pPr>
          </w:p>
          <w:p w14:paraId="31193786">
            <w:pPr>
              <w:pStyle w:val="7"/>
              <w:spacing w:line="279" w:lineRule="exact"/>
              <w:ind w:left="10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《建设工程质量管理条例》</w:t>
            </w:r>
          </w:p>
          <w:p w14:paraId="7C685D71">
            <w:pPr>
              <w:pStyle w:val="7"/>
              <w:ind w:left="107"/>
              <w:jc w:val="both"/>
              <w:rPr>
                <w:rFonts w:hint="eastAsia" w:ascii="方正黑体_GBK" w:hAnsi="方正黑体_GBK" w:eastAsia="方正黑体_GBK" w:cs="方正黑体_GBK"/>
                <w:kern w:val="2"/>
                <w:sz w:val="18"/>
                <w:szCs w:val="18"/>
                <w:lang w:val="zh-CN" w:eastAsia="zh-CN" w:bidi="zh-CN"/>
              </w:rPr>
            </w:pPr>
            <w:r>
              <w:rPr>
                <w:rFonts w:hint="eastAsia" w:ascii="方正黑体_GBK" w:hAnsi="方正黑体_GBK" w:eastAsia="方正黑体_GBK" w:cs="方正黑体_GBK"/>
                <w:kern w:val="2"/>
                <w:sz w:val="18"/>
                <w:szCs w:val="18"/>
                <w:lang w:val="en-US" w:eastAsia="zh-CN" w:bidi="zh-CN"/>
              </w:rPr>
              <w:t>第五十六条（六）项违反本条例规定，建设单位有下列行为之一的，责令改正，处20万元以上50万以下的罚款：（六）未按照国家规定办理工程质量监督手续的；</w:t>
            </w:r>
          </w:p>
        </w:tc>
        <w:tc>
          <w:tcPr>
            <w:tcW w:w="1215" w:type="dxa"/>
            <w:shd w:val="clear" w:color="auto" w:fill="auto"/>
            <w:vAlign w:val="center"/>
          </w:tcPr>
          <w:p w14:paraId="4A43CC14">
            <w:pPr>
              <w:pStyle w:val="7"/>
              <w:numPr>
                <w:ilvl w:val="0"/>
                <w:numId w:val="0"/>
              </w:numPr>
              <w:tabs>
                <w:tab w:val="left" w:pos="259"/>
              </w:tabs>
              <w:spacing w:before="0" w:after="0" w:line="240" w:lineRule="auto"/>
              <w:ind w:leftChars="0" w:right="0" w:rightChars="0"/>
              <w:jc w:val="center"/>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kern w:val="2"/>
                <w:sz w:val="18"/>
                <w:szCs w:val="18"/>
                <w:lang w:val="en-US" w:eastAsia="zh-CN" w:bidi="zh-CN"/>
              </w:rPr>
              <w:t>首违免罚</w:t>
            </w:r>
          </w:p>
        </w:tc>
        <w:tc>
          <w:tcPr>
            <w:tcW w:w="3218" w:type="dxa"/>
            <w:vAlign w:val="center"/>
          </w:tcPr>
          <w:p w14:paraId="76D297FA">
            <w:pPr>
              <w:pStyle w:val="7"/>
              <w:numPr>
                <w:ilvl w:val="0"/>
                <w:numId w:val="0"/>
              </w:numPr>
              <w:tabs>
                <w:tab w:val="left" w:pos="357"/>
              </w:tabs>
              <w:spacing w:before="46" w:after="0" w:line="279" w:lineRule="exact"/>
              <w:ind w:right="0" w:rightChars="0"/>
              <w:jc w:val="both"/>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sz w:val="18"/>
                <w:szCs w:val="18"/>
                <w:lang w:val="en-US" w:eastAsia="zh-CN"/>
              </w:rPr>
              <w:t>1.首次实施该违法行为。</w:t>
            </w:r>
          </w:p>
          <w:p w14:paraId="50E95EC3">
            <w:pPr>
              <w:pStyle w:val="7"/>
              <w:numPr>
                <w:ilvl w:val="0"/>
                <w:numId w:val="0"/>
              </w:numPr>
              <w:tabs>
                <w:tab w:val="left" w:pos="357"/>
              </w:tabs>
              <w:spacing w:before="46" w:after="0" w:line="279" w:lineRule="exact"/>
              <w:ind w:right="0" w:rightChars="0"/>
              <w:jc w:val="both"/>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sz w:val="18"/>
                <w:szCs w:val="18"/>
                <w:lang w:val="en-US" w:eastAsia="zh-CN"/>
              </w:rPr>
              <w:t>2.违法行为调查过程中，不存在拒不接受执法部门调查处理、阻碍执法、煽动抗拒执法等妨碍执行公务的行为。</w:t>
            </w:r>
          </w:p>
          <w:p w14:paraId="0657FDFF">
            <w:pPr>
              <w:pStyle w:val="7"/>
              <w:numPr>
                <w:ilvl w:val="0"/>
                <w:numId w:val="0"/>
              </w:numPr>
              <w:tabs>
                <w:tab w:val="left" w:pos="357"/>
              </w:tabs>
              <w:spacing w:before="46" w:after="0" w:line="279" w:lineRule="exact"/>
              <w:ind w:right="0" w:rightChars="0"/>
              <w:jc w:val="both"/>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sz w:val="18"/>
                <w:szCs w:val="18"/>
                <w:lang w:val="en-US" w:eastAsia="zh-CN"/>
              </w:rPr>
              <w:t>3.在执法部门要求的期限内补充完成质量监督手续办理。</w:t>
            </w:r>
          </w:p>
          <w:p w14:paraId="169ADB27">
            <w:pPr>
              <w:pStyle w:val="7"/>
              <w:numPr>
                <w:ilvl w:val="0"/>
                <w:numId w:val="0"/>
              </w:numPr>
              <w:tabs>
                <w:tab w:val="left" w:pos="357"/>
              </w:tabs>
              <w:spacing w:before="46" w:after="0" w:line="279" w:lineRule="exact"/>
              <w:ind w:right="0" w:rightChars="0"/>
              <w:jc w:val="both"/>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sz w:val="18"/>
                <w:szCs w:val="18"/>
                <w:lang w:val="en-US" w:eastAsia="zh-CN"/>
              </w:rPr>
              <w:t>4.未造成其他危害后果。</w:t>
            </w:r>
          </w:p>
        </w:tc>
      </w:tr>
    </w:tbl>
    <w:p w14:paraId="07C9C467">
      <w:pPr>
        <w:numPr>
          <w:ilvl w:val="0"/>
          <w:numId w:val="2"/>
        </w:numPr>
        <w:rPr>
          <w:rFonts w:ascii="方正黑体_GBK" w:hAnsi="方正黑体_GBK" w:eastAsia="方正黑体_GBK" w:cs="方正黑体_GBK"/>
          <w:b w:val="0"/>
          <w:bCs w:val="0"/>
          <w:color w:val="000000"/>
          <w:sz w:val="28"/>
          <w:szCs w:val="28"/>
        </w:rPr>
      </w:pPr>
      <w:r>
        <w:rPr>
          <w:rFonts w:ascii="方正黑体_GBK" w:hAnsi="方正黑体_GBK" w:eastAsia="方正黑体_GBK" w:cs="方正黑体_GBK"/>
          <w:b w:val="0"/>
          <w:bCs w:val="0"/>
          <w:color w:val="000000"/>
          <w:sz w:val="28"/>
          <w:szCs w:val="28"/>
        </w:rPr>
        <w:t>河北省交通运输轻微免罚、首违不罚事项清单</w:t>
      </w:r>
    </w:p>
    <w:tbl>
      <w:tblPr>
        <w:tblStyle w:val="5"/>
        <w:tblW w:w="14643" w:type="dxa"/>
        <w:tblInd w:w="1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56"/>
        <w:gridCol w:w="2584"/>
        <w:gridCol w:w="6990"/>
        <w:gridCol w:w="1320"/>
        <w:gridCol w:w="2993"/>
      </w:tblGrid>
      <w:tr w14:paraId="7506E0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6" w:hRule="atLeast"/>
        </w:trPr>
        <w:tc>
          <w:tcPr>
            <w:tcW w:w="756" w:type="dxa"/>
            <w:vAlign w:val="center"/>
          </w:tcPr>
          <w:p w14:paraId="79F888F9">
            <w:pPr>
              <w:pStyle w:val="7"/>
              <w:spacing w:line="279" w:lineRule="exact"/>
              <w:jc w:val="center"/>
              <w:rPr>
                <w:rFonts w:hint="default"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w:t>
            </w:r>
          </w:p>
        </w:tc>
        <w:tc>
          <w:tcPr>
            <w:tcW w:w="2584" w:type="dxa"/>
            <w:shd w:val="clear" w:color="auto" w:fill="auto"/>
            <w:vAlign w:val="center"/>
          </w:tcPr>
          <w:p w14:paraId="1461080F">
            <w:pPr>
              <w:pStyle w:val="7"/>
              <w:spacing w:line="279" w:lineRule="exact"/>
              <w:ind w:left="107"/>
              <w:jc w:val="both"/>
              <w:rPr>
                <w:rFonts w:hint="eastAsia" w:ascii="方正黑体_GBK" w:hAnsi="方正黑体_GBK" w:eastAsia="方正黑体_GBK" w:cs="方正黑体_GBK"/>
                <w:kern w:val="2"/>
                <w:sz w:val="18"/>
                <w:szCs w:val="18"/>
                <w:lang w:val="zh-CN" w:eastAsia="zh-CN" w:bidi="zh-CN"/>
              </w:rPr>
            </w:pPr>
            <w:r>
              <w:rPr>
                <w:rFonts w:hint="eastAsia" w:ascii="方正黑体_GBK" w:hAnsi="方正黑体_GBK" w:eastAsia="方正黑体_GBK" w:cs="方正黑体_GBK"/>
                <w:kern w:val="2"/>
                <w:sz w:val="18"/>
                <w:szCs w:val="18"/>
                <w:lang w:val="en-US" w:eastAsia="zh-CN" w:bidi="zh-CN"/>
              </w:rPr>
              <w:t>对擅自将旅客移交他人运输或旅客运输途中擅自变更运输车辆的行政处罚</w:t>
            </w:r>
          </w:p>
        </w:tc>
        <w:tc>
          <w:tcPr>
            <w:tcW w:w="6990" w:type="dxa"/>
            <w:shd w:val="clear" w:color="auto" w:fill="auto"/>
            <w:vAlign w:val="center"/>
          </w:tcPr>
          <w:p w14:paraId="2133EA77">
            <w:pPr>
              <w:pStyle w:val="7"/>
              <w:spacing w:line="279" w:lineRule="exact"/>
              <w:ind w:left="10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1.《中华人民共和国道路运输条例》</w:t>
            </w:r>
          </w:p>
          <w:p w14:paraId="16998CCB">
            <w:pPr>
              <w:pStyle w:val="7"/>
              <w:spacing w:line="279" w:lineRule="exact"/>
              <w:ind w:left="10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第六十九条第（三）项 违反本条例规定，客运客运经营者、货运经营者有下列情形之一的，由县级以上道路运输管理机构责令改正，处1000元以上3000元以下的罚款；情节严重的，由原许可机关吊销道路运输经营许可证：（三）在旅客运输途中擅自变更运输车辆或者将旅客移交他人运输的；</w:t>
            </w:r>
          </w:p>
          <w:p w14:paraId="5A6432D5">
            <w:pPr>
              <w:pStyle w:val="7"/>
              <w:spacing w:line="279" w:lineRule="exact"/>
              <w:ind w:left="107"/>
              <w:jc w:val="both"/>
              <w:rPr>
                <w:rFonts w:hint="eastAsia" w:ascii="方正黑体_GBK" w:hAnsi="方正黑体_GBK" w:eastAsia="方正黑体_GBK" w:cs="方正黑体_GBK"/>
                <w:kern w:val="2"/>
                <w:sz w:val="18"/>
                <w:szCs w:val="18"/>
                <w:lang w:val="zh-CN" w:eastAsia="zh-CN" w:bidi="zh-CN"/>
              </w:rPr>
            </w:pPr>
            <w:r>
              <w:rPr>
                <w:rFonts w:hint="eastAsia" w:ascii="方正黑体_GBK" w:hAnsi="方正黑体_GBK" w:eastAsia="方正黑体_GBK" w:cs="方正黑体_GBK"/>
                <w:kern w:val="2"/>
                <w:sz w:val="18"/>
                <w:szCs w:val="18"/>
                <w:lang w:val="en-US" w:eastAsia="zh-CN" w:bidi="zh-CN"/>
              </w:rPr>
              <w:t>2.《道路旅客运输及客运站管理规定》第一百条 违反本规定，客运经营者有下列情形之一的，由县级以上道路运输管理机构责令改正，处1000元以上3000元以下的罚款：（四）擅自将旅客移交他人运输的；（五）在旅客运输途中擅自变更运输车辆的。</w:t>
            </w:r>
          </w:p>
        </w:tc>
        <w:tc>
          <w:tcPr>
            <w:tcW w:w="1320" w:type="dxa"/>
            <w:shd w:val="clear" w:color="auto" w:fill="auto"/>
            <w:vAlign w:val="center"/>
          </w:tcPr>
          <w:p w14:paraId="7A68DE54">
            <w:pPr>
              <w:pStyle w:val="7"/>
              <w:spacing w:line="279" w:lineRule="exact"/>
              <w:jc w:val="center"/>
              <w:rPr>
                <w:rFonts w:hint="default"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轻微不罚</w:t>
            </w:r>
          </w:p>
        </w:tc>
        <w:tc>
          <w:tcPr>
            <w:tcW w:w="2993" w:type="dxa"/>
            <w:vAlign w:val="center"/>
          </w:tcPr>
          <w:p w14:paraId="0F8E73A6">
            <w:pPr>
              <w:pStyle w:val="7"/>
              <w:spacing w:line="279" w:lineRule="exact"/>
              <w:ind w:left="10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违法行为调查过程中，不存在拒不接受执法部门调查处理、阻碍执法、煽动抗拒执法等妨碍执行公务的行为。具备下列情形之一：1、受不可抗力因素影响；2、交通管制。</w:t>
            </w:r>
          </w:p>
        </w:tc>
      </w:tr>
      <w:tr w14:paraId="5BA9AE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6" w:hRule="atLeast"/>
        </w:trPr>
        <w:tc>
          <w:tcPr>
            <w:tcW w:w="756" w:type="dxa"/>
            <w:vAlign w:val="center"/>
          </w:tcPr>
          <w:p w14:paraId="7D27BB03">
            <w:pPr>
              <w:pStyle w:val="7"/>
              <w:spacing w:line="279" w:lineRule="exact"/>
              <w:jc w:val="center"/>
              <w:rPr>
                <w:rFonts w:hint="default"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2</w:t>
            </w:r>
          </w:p>
        </w:tc>
        <w:tc>
          <w:tcPr>
            <w:tcW w:w="2584" w:type="dxa"/>
            <w:shd w:val="clear" w:color="auto" w:fill="auto"/>
            <w:vAlign w:val="center"/>
          </w:tcPr>
          <w:p w14:paraId="4AAEAC91">
            <w:pPr>
              <w:pStyle w:val="7"/>
              <w:spacing w:line="279" w:lineRule="exact"/>
              <w:ind w:left="10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对货运源头单位违反《河北省治理货运车辆超限超载规定》第十九条规定的行政处罚</w:t>
            </w:r>
          </w:p>
        </w:tc>
        <w:tc>
          <w:tcPr>
            <w:tcW w:w="6990" w:type="dxa"/>
            <w:shd w:val="clear" w:color="auto" w:fill="auto"/>
            <w:vAlign w:val="center"/>
          </w:tcPr>
          <w:p w14:paraId="36BB9919">
            <w:pPr>
              <w:pStyle w:val="7"/>
              <w:spacing w:line="279" w:lineRule="exact"/>
              <w:ind w:left="10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《河北省治理货运车辆超限超载规定》</w:t>
            </w:r>
          </w:p>
          <w:p w14:paraId="4945D0E6">
            <w:pPr>
              <w:pStyle w:val="7"/>
              <w:spacing w:line="279" w:lineRule="exact"/>
              <w:ind w:left="10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第三十一条第一款 违反本规定第十九条规定的，由道路运输管理机构责令改正，并按每辆次处一千元的罚款。</w:t>
            </w:r>
          </w:p>
        </w:tc>
        <w:tc>
          <w:tcPr>
            <w:tcW w:w="1320" w:type="dxa"/>
            <w:shd w:val="clear" w:color="auto" w:fill="auto"/>
            <w:vAlign w:val="center"/>
          </w:tcPr>
          <w:p w14:paraId="1A7D69D1">
            <w:pPr>
              <w:pStyle w:val="7"/>
              <w:spacing w:line="279" w:lineRule="exact"/>
              <w:jc w:val="center"/>
              <w:rPr>
                <w:rFonts w:hint="default"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首违免罚</w:t>
            </w:r>
          </w:p>
        </w:tc>
        <w:tc>
          <w:tcPr>
            <w:tcW w:w="2993" w:type="dxa"/>
            <w:vAlign w:val="center"/>
          </w:tcPr>
          <w:p w14:paraId="1F463862">
            <w:pPr>
              <w:pStyle w:val="7"/>
              <w:spacing w:line="279" w:lineRule="exact"/>
              <w:ind w:left="10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次实施违法行为。违法行为调查过程中，不存在拒不接受执法部门调查处理、阻碍执法、煽动抗拒执法等妨碍执行公务的行为。货运源头单位为擅自改装的货运车辆或者为未出示相关证件的人员驾驶的货运车辆装载、配载货物但未超限超载的。</w:t>
            </w:r>
          </w:p>
        </w:tc>
      </w:tr>
      <w:tr w14:paraId="34BB99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6" w:hRule="atLeast"/>
        </w:trPr>
        <w:tc>
          <w:tcPr>
            <w:tcW w:w="756" w:type="dxa"/>
            <w:vAlign w:val="center"/>
          </w:tcPr>
          <w:p w14:paraId="1B881FD4">
            <w:pPr>
              <w:pStyle w:val="7"/>
              <w:spacing w:line="279" w:lineRule="exact"/>
              <w:jc w:val="center"/>
              <w:rPr>
                <w:rFonts w:hint="default"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3</w:t>
            </w:r>
          </w:p>
        </w:tc>
        <w:tc>
          <w:tcPr>
            <w:tcW w:w="2584" w:type="dxa"/>
            <w:shd w:val="clear" w:color="auto" w:fill="auto"/>
            <w:vAlign w:val="center"/>
          </w:tcPr>
          <w:p w14:paraId="445861DE">
            <w:pPr>
              <w:pStyle w:val="7"/>
              <w:spacing w:line="279" w:lineRule="exact"/>
              <w:ind w:left="10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对指使、强令车辆驾驶人超限运输货 物行为的行政处罚</w:t>
            </w:r>
          </w:p>
        </w:tc>
        <w:tc>
          <w:tcPr>
            <w:tcW w:w="6990" w:type="dxa"/>
            <w:shd w:val="clear" w:color="auto" w:fill="auto"/>
            <w:vAlign w:val="center"/>
          </w:tcPr>
          <w:p w14:paraId="58D73ED1">
            <w:pPr>
              <w:pStyle w:val="7"/>
              <w:numPr>
                <w:ilvl w:val="0"/>
                <w:numId w:val="3"/>
              </w:numPr>
              <w:spacing w:line="279" w:lineRule="exact"/>
              <w:ind w:left="10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《公路安全保护条例》</w:t>
            </w:r>
          </w:p>
          <w:p w14:paraId="1F971992">
            <w:pPr>
              <w:pStyle w:val="7"/>
              <w:numPr>
                <w:numId w:val="0"/>
              </w:numPr>
              <w:spacing w:line="279" w:lineRule="exact"/>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 xml:space="preserve"> 第六十八条 违反本条例的规定，指使、强令车辆驾驶人超限运输货物的，由道路运输管理机构责令改正，处3万元以下的罚款。 </w:t>
            </w:r>
          </w:p>
          <w:p w14:paraId="06A8DB5E">
            <w:pPr>
              <w:pStyle w:val="7"/>
              <w:numPr>
                <w:ilvl w:val="0"/>
                <w:numId w:val="3"/>
              </w:numPr>
              <w:spacing w:line="279" w:lineRule="exact"/>
              <w:ind w:left="107" w:leftChars="0" w:firstLine="0" w:firstLine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《超限运输车辆 行驶公路管理规定》</w:t>
            </w:r>
          </w:p>
          <w:p w14:paraId="2A506285">
            <w:pPr>
              <w:pStyle w:val="7"/>
              <w:numPr>
                <w:numId w:val="0"/>
              </w:numPr>
              <w:spacing w:line="279" w:lineRule="exact"/>
              <w:ind w:left="107" w:leftChars="0"/>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第四十九条 违反本规定，指使、强令 车辆驾驶人超限运输货物的，由道路运输管理机构责令改正，处30000元以下罚款。</w:t>
            </w:r>
          </w:p>
        </w:tc>
        <w:tc>
          <w:tcPr>
            <w:tcW w:w="1320" w:type="dxa"/>
            <w:shd w:val="clear" w:color="auto" w:fill="auto"/>
            <w:vAlign w:val="center"/>
          </w:tcPr>
          <w:p w14:paraId="336038A9">
            <w:pPr>
              <w:pStyle w:val="7"/>
              <w:spacing w:line="279" w:lineRule="exact"/>
              <w:jc w:val="center"/>
              <w:rPr>
                <w:rFonts w:hint="default"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首违免罚</w:t>
            </w:r>
          </w:p>
        </w:tc>
        <w:tc>
          <w:tcPr>
            <w:tcW w:w="2993" w:type="dxa"/>
            <w:vAlign w:val="center"/>
          </w:tcPr>
          <w:p w14:paraId="51353E7C">
            <w:pPr>
              <w:pStyle w:val="7"/>
              <w:spacing w:line="279" w:lineRule="exact"/>
              <w:ind w:left="10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首次实施违法行为。违法行为调查过程中，不存在拒不接受执 法部门调查处理、阻碍执法、煽动抗拒执法等妨碍执行公务的 行为。货运车辆违法超限未超过规定限值 10%，且指使、强</w:t>
            </w:r>
            <w:bookmarkStart w:id="0" w:name="_GoBack"/>
            <w:bookmarkEnd w:id="0"/>
            <w:r>
              <w:rPr>
                <w:rFonts w:hint="eastAsia" w:ascii="方正黑体_GBK" w:hAnsi="方正黑体_GBK" w:eastAsia="方正黑体_GBK" w:cs="方正黑体_GBK"/>
                <w:kern w:val="2"/>
                <w:sz w:val="18"/>
                <w:szCs w:val="18"/>
                <w:lang w:val="en-US" w:eastAsia="zh-CN" w:bidi="zh-CN"/>
              </w:rPr>
              <w:t>令承诺及时改正的。</w:t>
            </w:r>
          </w:p>
        </w:tc>
      </w:tr>
      <w:tr w14:paraId="5CDF0E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6" w:hRule="atLeast"/>
        </w:trPr>
        <w:tc>
          <w:tcPr>
            <w:tcW w:w="756" w:type="dxa"/>
            <w:vAlign w:val="center"/>
          </w:tcPr>
          <w:p w14:paraId="73F7A328">
            <w:pPr>
              <w:pStyle w:val="7"/>
              <w:spacing w:line="279" w:lineRule="exact"/>
              <w:jc w:val="center"/>
              <w:rPr>
                <w:rFonts w:hint="default"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4</w:t>
            </w:r>
          </w:p>
        </w:tc>
        <w:tc>
          <w:tcPr>
            <w:tcW w:w="2584" w:type="dxa"/>
            <w:shd w:val="clear" w:color="auto" w:fill="auto"/>
            <w:vAlign w:val="center"/>
          </w:tcPr>
          <w:p w14:paraId="735EB49B">
            <w:pPr>
              <w:pStyle w:val="7"/>
              <w:spacing w:line="279" w:lineRule="exact"/>
              <w:ind w:left="10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对未采取有效措施防治扬尘污染的 行政处罚</w:t>
            </w:r>
          </w:p>
        </w:tc>
        <w:tc>
          <w:tcPr>
            <w:tcW w:w="6990" w:type="dxa"/>
            <w:shd w:val="clear" w:color="auto" w:fill="auto"/>
            <w:vAlign w:val="center"/>
          </w:tcPr>
          <w:p w14:paraId="4E493AF3">
            <w:pPr>
              <w:pStyle w:val="7"/>
              <w:spacing w:line="279" w:lineRule="exact"/>
              <w:ind w:left="10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 xml:space="preserve">《河北省扬尘污染防治办法》 </w:t>
            </w:r>
          </w:p>
          <w:p w14:paraId="6E6C2BF8">
            <w:pPr>
              <w:pStyle w:val="7"/>
              <w:spacing w:line="279" w:lineRule="exact"/>
              <w:ind w:left="10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第四十一条 违反本办法规定，运输煤炭、垃圾、渣土、砂 石、土方、灰浆等易产生扬尘污染物料未依法采取有效措 施防治扬尘污染的，由监督管理部门责令改正，处二千元以上五千元以下罚款；情节严重的，处五千元以上二万元 以下罚款；拒不改正的，车辆不得上道路行驶。</w:t>
            </w:r>
          </w:p>
        </w:tc>
        <w:tc>
          <w:tcPr>
            <w:tcW w:w="1320" w:type="dxa"/>
            <w:shd w:val="clear" w:color="auto" w:fill="auto"/>
            <w:vAlign w:val="center"/>
          </w:tcPr>
          <w:p w14:paraId="76FD2241">
            <w:pPr>
              <w:pStyle w:val="7"/>
              <w:spacing w:line="279" w:lineRule="exact"/>
              <w:jc w:val="center"/>
              <w:rPr>
                <w:rFonts w:hint="default"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首违免罚</w:t>
            </w:r>
          </w:p>
        </w:tc>
        <w:tc>
          <w:tcPr>
            <w:tcW w:w="2993" w:type="dxa"/>
            <w:vAlign w:val="center"/>
          </w:tcPr>
          <w:p w14:paraId="20906E76">
            <w:pPr>
              <w:pStyle w:val="7"/>
              <w:spacing w:line="279" w:lineRule="exact"/>
              <w:ind w:left="107"/>
              <w:jc w:val="both"/>
              <w:rPr>
                <w:rFonts w:hint="eastAsia" w:ascii="方正黑体_GBK" w:hAnsi="方正黑体_GBK" w:eastAsia="方正黑体_GBK" w:cs="方正黑体_GBK"/>
                <w:kern w:val="2"/>
                <w:sz w:val="18"/>
                <w:szCs w:val="18"/>
                <w:lang w:val="en-US" w:eastAsia="zh-CN" w:bidi="zh-CN"/>
              </w:rPr>
            </w:pPr>
            <w:r>
              <w:rPr>
                <w:rFonts w:hint="eastAsia" w:ascii="方正黑体_GBK" w:hAnsi="方正黑体_GBK" w:eastAsia="方正黑体_GBK" w:cs="方正黑体_GBK"/>
                <w:kern w:val="2"/>
                <w:sz w:val="18"/>
                <w:szCs w:val="18"/>
                <w:lang w:val="en-US" w:eastAsia="zh-CN" w:bidi="zh-CN"/>
              </w:rPr>
              <w:t>首次实施违法行为。违法行为调查过程中，不存在拒不接受执 法部门调查处理、阻碍执法、煽动抗拒执法等妨碍执行公务的行为。未采取防治扬尘污染措施，但造成的扬尘污染轻微，并能够及时改正的。</w:t>
            </w:r>
          </w:p>
        </w:tc>
      </w:tr>
    </w:tbl>
    <w:p w14:paraId="1F21CF59">
      <w:pPr>
        <w:numPr>
          <w:numId w:val="0"/>
        </w:numPr>
        <w:rPr>
          <w:rFonts w:ascii="方正黑体_GBK" w:hAnsi="方正黑体_GBK" w:eastAsia="方正黑体_GBK" w:cs="方正黑体_GBK"/>
          <w:b w:val="0"/>
          <w:bCs w:val="0"/>
          <w:color w:val="000000"/>
          <w:sz w:val="28"/>
          <w:szCs w:val="28"/>
        </w:rPr>
      </w:pPr>
    </w:p>
    <w:sectPr>
      <w:pgSz w:w="16838" w:h="11906" w:orient="landscape"/>
      <w:pgMar w:top="1633" w:right="1440" w:bottom="1633"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PMingLiU">
    <w:altName w:val="Segoe Print"/>
    <w:panose1 w:val="00000000000000000000"/>
    <w:charset w:val="00"/>
    <w:family w:val="roman"/>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小标宋简体">
    <w:panose1 w:val="02000000000000000000"/>
    <w:charset w:val="86"/>
    <w:family w:val="script"/>
    <w:pitch w:val="default"/>
    <w:sig w:usb0="00000001" w:usb1="08000000" w:usb2="00000000" w:usb3="00000000" w:csb0="00040000" w:csb1="00000000"/>
    <w:embedRegular r:id="rId1" w:fontKey="{DA9FEDC5-30D7-4B38-B844-1B23144441AB}"/>
  </w:font>
  <w:font w:name="微软雅黑">
    <w:panose1 w:val="020B0503020204020204"/>
    <w:charset w:val="86"/>
    <w:family w:val="swiss"/>
    <w:pitch w:val="default"/>
    <w:sig w:usb0="80000287" w:usb1="2ACF3C50" w:usb2="00000016" w:usb3="00000000" w:csb0="0004001F" w:csb1="00000000"/>
    <w:embedRegular r:id="rId2" w:fontKey="{08B744A5-59F8-4885-BB71-9BB68D78B086}"/>
  </w:font>
  <w:font w:name="仿宋_GB2312">
    <w:altName w:val="仿宋"/>
    <w:panose1 w:val="02010609030101010101"/>
    <w:charset w:val="86"/>
    <w:family w:val="auto"/>
    <w:pitch w:val="default"/>
    <w:sig w:usb0="00000000" w:usb1="00000000" w:usb2="00000000" w:usb3="00000000" w:csb0="00040000" w:csb1="00000000"/>
    <w:embedRegular r:id="rId3" w:fontKey="{D4E8D9FF-7BAC-4679-9F02-6D2E1751D665}"/>
  </w:font>
  <w:font w:name="仿宋">
    <w:panose1 w:val="02010609060101010101"/>
    <w:charset w:val="86"/>
    <w:family w:val="auto"/>
    <w:pitch w:val="default"/>
    <w:sig w:usb0="800002BF" w:usb1="38CF7CFA" w:usb2="00000016" w:usb3="00000000" w:csb0="00040001" w:csb1="00000000"/>
  </w:font>
  <w:font w:name="方正书宋_GBK">
    <w:panose1 w:val="02000000000000000000"/>
    <w:charset w:val="86"/>
    <w:family w:val="auto"/>
    <w:pitch w:val="default"/>
    <w:sig w:usb0="A00002BF" w:usb1="38CF7CFA" w:usb2="00082016" w:usb3="00000000" w:csb0="00040001" w:csb1="00000000"/>
    <w:embedRegular r:id="rId4" w:fontKey="{AC8D8D77-8BF6-4486-9237-384005DCAEA0}"/>
  </w:font>
  <w:font w:name="KSOFE44F9426">
    <w:panose1 w:val="02010609060101010101"/>
    <w:charset w:val="86"/>
    <w:family w:val="auto"/>
    <w:pitch w:val="default"/>
    <w:sig w:usb0="00000001" w:usb1="00000000" w:usb2="00000000" w:usb3="00000000" w:csb0="00040001" w:csb1="00000000"/>
  </w:font>
  <w:font w:name="方正黑体_GBK">
    <w:panose1 w:val="02000000000000000000"/>
    <w:charset w:val="86"/>
    <w:family w:val="auto"/>
    <w:pitch w:val="default"/>
    <w:sig w:usb0="A00002BF" w:usb1="38CF7CFA" w:usb2="00082016" w:usb3="00000000" w:csb0="00040001" w:csb1="00000000"/>
    <w:embedRegular r:id="rId5" w:fontKey="{B326686A-C43F-45BF-8026-68A26DF217EF}"/>
  </w:font>
  <w:font w:name="方正公文黑体">
    <w:panose1 w:val="02000500000000000000"/>
    <w:charset w:val="86"/>
    <w:family w:val="auto"/>
    <w:pitch w:val="default"/>
    <w:sig w:usb0="A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77CAA9"/>
    <w:multiLevelType w:val="singleLevel"/>
    <w:tmpl w:val="A477CAA9"/>
    <w:lvl w:ilvl="0" w:tentative="0">
      <w:start w:val="2"/>
      <w:numFmt w:val="chineseCounting"/>
      <w:lvlText w:val="(%1)"/>
      <w:lvlJc w:val="left"/>
      <w:pPr>
        <w:tabs>
          <w:tab w:val="left" w:pos="312"/>
        </w:tabs>
      </w:pPr>
      <w:rPr>
        <w:rFonts w:hint="eastAsia"/>
      </w:rPr>
    </w:lvl>
  </w:abstractNum>
  <w:abstractNum w:abstractNumId="1">
    <w:nsid w:val="A7B518F7"/>
    <w:multiLevelType w:val="singleLevel"/>
    <w:tmpl w:val="A7B518F7"/>
    <w:lvl w:ilvl="0" w:tentative="0">
      <w:start w:val="1"/>
      <w:numFmt w:val="decimal"/>
      <w:lvlText w:val="%1."/>
      <w:lvlJc w:val="left"/>
      <w:pPr>
        <w:tabs>
          <w:tab w:val="left" w:pos="312"/>
        </w:tabs>
      </w:pPr>
    </w:lvl>
  </w:abstractNum>
  <w:abstractNum w:abstractNumId="2">
    <w:nsid w:val="51CD415E"/>
    <w:multiLevelType w:val="singleLevel"/>
    <w:tmpl w:val="51CD415E"/>
    <w:lvl w:ilvl="0" w:tentative="0">
      <w:start w:val="1"/>
      <w:numFmt w:val="decimal"/>
      <w:lvlText w:val="%1."/>
      <w:lvlJc w:val="left"/>
      <w:pPr>
        <w:tabs>
          <w:tab w:val="left" w:pos="312"/>
        </w:tabs>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5319D6"/>
    <w:rsid w:val="04820ADC"/>
    <w:rsid w:val="06A56093"/>
    <w:rsid w:val="08874912"/>
    <w:rsid w:val="0DE544BA"/>
    <w:rsid w:val="0E9A6EC7"/>
    <w:rsid w:val="10615A49"/>
    <w:rsid w:val="11335637"/>
    <w:rsid w:val="13E175CD"/>
    <w:rsid w:val="14077A51"/>
    <w:rsid w:val="1A3B40D6"/>
    <w:rsid w:val="1A4F2DB6"/>
    <w:rsid w:val="1B146852"/>
    <w:rsid w:val="1D28001A"/>
    <w:rsid w:val="1D4D182F"/>
    <w:rsid w:val="1E0F2F88"/>
    <w:rsid w:val="1E937715"/>
    <w:rsid w:val="1F30765A"/>
    <w:rsid w:val="24954595"/>
    <w:rsid w:val="27AF30E6"/>
    <w:rsid w:val="2EB84F76"/>
    <w:rsid w:val="316C7A8A"/>
    <w:rsid w:val="34A57D4B"/>
    <w:rsid w:val="36394BEF"/>
    <w:rsid w:val="3B79570D"/>
    <w:rsid w:val="3E7F33BB"/>
    <w:rsid w:val="42C23A7E"/>
    <w:rsid w:val="49F11610"/>
    <w:rsid w:val="49FE5ADB"/>
    <w:rsid w:val="52891579"/>
    <w:rsid w:val="5A2275C4"/>
    <w:rsid w:val="5AFC1BC3"/>
    <w:rsid w:val="5D713132"/>
    <w:rsid w:val="5E451AD3"/>
    <w:rsid w:val="67D216C0"/>
    <w:rsid w:val="6DC742B3"/>
    <w:rsid w:val="72DF209E"/>
    <w:rsid w:val="73CD0149"/>
    <w:rsid w:val="75513B60"/>
    <w:rsid w:val="77BE5FA3"/>
    <w:rsid w:val="79301D8C"/>
    <w:rsid w:val="7C5A27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qFormat="1"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jc w:val="center"/>
    </w:pPr>
    <w:rPr>
      <w:rFonts w:ascii="Times New Roman" w:hAnsi="Times New Roman" w:eastAsia="黑体" w:cs="Times New Roman"/>
      <w:sz w:val="44"/>
      <w:szCs w:val="20"/>
    </w:rPr>
  </w:style>
  <w:style w:type="paragraph" w:styleId="3">
    <w:name w:val="toc 5"/>
    <w:basedOn w:val="1"/>
    <w:next w:val="1"/>
    <w:qFormat/>
    <w:uiPriority w:val="0"/>
    <w:pPr>
      <w:ind w:left="1680" w:leftChars="800"/>
    </w:pPr>
  </w:style>
  <w:style w:type="paragraph" w:customStyle="1" w:styleId="7">
    <w:name w:val="Table Paragraph"/>
    <w:basedOn w:val="1"/>
    <w:qFormat/>
    <w:uiPriority w:val="1"/>
    <w:rPr>
      <w:rFonts w:ascii="PMingLiU" w:hAnsi="PMingLiU" w:eastAsia="PMingLiU" w:cs="PMingLiU"/>
      <w:lang w:val="zh-CN" w:eastAsia="zh-CN" w:bidi="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3272</Words>
  <Characters>3335</Characters>
  <Lines>0</Lines>
  <Paragraphs>0</Paragraphs>
  <TotalTime>22</TotalTime>
  <ScaleCrop>false</ScaleCrop>
  <LinksUpToDate>false</LinksUpToDate>
  <CharactersWithSpaces>3496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2026-03-31T07:13:00Z</dcterms:created>
  <dc:creator>hgh</dc:creator>
  <cp:lastModifiedBy>姗宝妹</cp:lastModifiedBy>
  <dcterms:modified xsi:type="dcterms:W3CDTF">2026-04-07T02:55:01Z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DC8729BA4556457A9FA8ADEF38B3134D_12</vt:lpwstr>
  </property>
  <property fmtid="{D5CDD505-2E9C-101B-9397-08002B2CF9AE}" pid="4" name="KSOTemplateDocerSaveRecord">
    <vt:lpwstr>eyJoZGlkIjoiODQ3N2E5NTNjMjA4ZTBkNjM3MzY3MDU1OWJkZjU1NzEiLCJ1c2VySWQiOiI0MTIxNjAyNDEifQ==</vt:lpwstr>
  </property>
</Properties>
</file>