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一、石家庄市藁城区数据和政务服务局本级收支预算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一、石家庄市藁城区数据和政务服务局本级收支预算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1581.78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1290.22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200.00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160.26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52.22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79.08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1781.78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1781.78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1781.78</w:t>
            </w:r>
          </w:p>
        </w:tc>
        <w:tc>
          <w:tcPr>
            <w:tcW w:w="4535" w:type="dxa"/>
            <w:vAlign w:val="center"/>
          </w:tcPr>
          <w:p>
            <w:pPr>
              <w:pStyle w:val="单元格样式6"/>
            </w:pPr>
            <w:r>
              <w:t xml:space="preserve">支出总计</w:t>
            </w:r>
          </w:p>
        </w:tc>
        <w:tc>
          <w:tcPr>
            <w:tcW w:w="2126" w:type="dxa"/>
            <w:vAlign w:val="center"/>
          </w:tcPr>
          <w:p>
            <w:pPr>
              <w:pStyle w:val="单元格样式7"/>
            </w:pPr>
            <w:r>
              <w:t xml:space="preserve">1781.78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1781.78</w:t>
            </w:r>
          </w:p>
        </w:tc>
        <w:tc>
          <w:tcPr>
            <w:tcW w:w="1134" w:type="dxa"/>
            <w:vAlign w:val="center"/>
          </w:tcPr>
          <w:p>
            <w:pPr>
              <w:pStyle w:val="单元格样式7"/>
            </w:pPr>
            <w:r>
              <w:t xml:space="preserve">1781.78</w:t>
            </w:r>
          </w:p>
        </w:tc>
        <w:tc>
          <w:tcPr>
            <w:tcW w:w="1134" w:type="dxa"/>
            <w:vAlign w:val="center"/>
          </w:tcPr>
          <w:p>
            <w:pPr>
              <w:pStyle w:val="单元格样式7"/>
            </w:pPr>
            <w:r>
              <w:t xml:space="preserve">1781.78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1290.22</w:t>
            </w:r>
          </w:p>
        </w:tc>
        <w:tc>
          <w:tcPr>
            <w:tcW w:w="1134" w:type="dxa"/>
            <w:vAlign w:val="center"/>
          </w:tcPr>
          <w:p>
            <w:pPr>
              <w:pStyle w:val="单元格样式4"/>
            </w:pPr>
            <w:r>
              <w:t xml:space="preserve">1290.22</w:t>
            </w:r>
          </w:p>
        </w:tc>
        <w:tc>
          <w:tcPr>
            <w:tcW w:w="1134" w:type="dxa"/>
            <w:vAlign w:val="center"/>
          </w:tcPr>
          <w:p>
            <w:pPr>
              <w:pStyle w:val="单元格样式4"/>
            </w:pPr>
            <w:r>
              <w:t xml:space="preserve">1290.22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20141</w:t>
            </w:r>
          </w:p>
        </w:tc>
        <w:tc>
          <w:tcPr>
            <w:tcW w:w="1559" w:type="dxa"/>
            <w:vAlign w:val="center"/>
          </w:tcPr>
          <w:p>
            <w:pPr>
              <w:pStyle w:val="单元格样式2"/>
            </w:pPr>
            <w:r>
              <w:t xml:space="preserve">数据事务</w:t>
            </w:r>
          </w:p>
        </w:tc>
        <w:tc>
          <w:tcPr>
            <w:tcW w:w="1134" w:type="dxa"/>
            <w:vAlign w:val="center"/>
          </w:tcPr>
          <w:p>
            <w:pPr>
              <w:pStyle w:val="单元格样式4"/>
            </w:pPr>
            <w:r>
              <w:t xml:space="preserve">1290.22</w:t>
            </w:r>
          </w:p>
        </w:tc>
        <w:tc>
          <w:tcPr>
            <w:tcW w:w="1134" w:type="dxa"/>
            <w:vAlign w:val="center"/>
          </w:tcPr>
          <w:p>
            <w:pPr>
              <w:pStyle w:val="单元格样式4"/>
            </w:pPr>
            <w:r>
              <w:t xml:space="preserve">1290.22</w:t>
            </w:r>
          </w:p>
        </w:tc>
        <w:tc>
          <w:tcPr>
            <w:tcW w:w="1134" w:type="dxa"/>
            <w:vAlign w:val="center"/>
          </w:tcPr>
          <w:p>
            <w:pPr>
              <w:pStyle w:val="单元格样式4"/>
            </w:pPr>
            <w:r>
              <w:t xml:space="preserve">1290.22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2014101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985.29</w:t>
            </w:r>
          </w:p>
        </w:tc>
        <w:tc>
          <w:tcPr>
            <w:tcW w:w="1134" w:type="dxa"/>
            <w:vAlign w:val="center"/>
          </w:tcPr>
          <w:p>
            <w:pPr>
              <w:pStyle w:val="单元格样式4"/>
            </w:pPr>
            <w:r>
              <w:t xml:space="preserve">985.29</w:t>
            </w:r>
          </w:p>
        </w:tc>
        <w:tc>
          <w:tcPr>
            <w:tcW w:w="1134" w:type="dxa"/>
            <w:vAlign w:val="center"/>
          </w:tcPr>
          <w:p>
            <w:pPr>
              <w:pStyle w:val="单元格样式4"/>
            </w:pPr>
            <w:r>
              <w:t xml:space="preserve">985.29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2014102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304.93</w:t>
            </w:r>
          </w:p>
        </w:tc>
        <w:tc>
          <w:tcPr>
            <w:tcW w:w="1134" w:type="dxa"/>
            <w:vAlign w:val="center"/>
          </w:tcPr>
          <w:p>
            <w:pPr>
              <w:pStyle w:val="单元格样式4"/>
            </w:pPr>
            <w:r>
              <w:t xml:space="preserve">304.93</w:t>
            </w:r>
          </w:p>
        </w:tc>
        <w:tc>
          <w:tcPr>
            <w:tcW w:w="1134" w:type="dxa"/>
            <w:vAlign w:val="center"/>
          </w:tcPr>
          <w:p>
            <w:pPr>
              <w:pStyle w:val="单元格样式4"/>
            </w:pPr>
            <w:r>
              <w:t xml:space="preserve">304.93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160.26</w:t>
            </w:r>
          </w:p>
        </w:tc>
        <w:tc>
          <w:tcPr>
            <w:tcW w:w="1134" w:type="dxa"/>
            <w:vAlign w:val="center"/>
          </w:tcPr>
          <w:p>
            <w:pPr>
              <w:pStyle w:val="单元格样式4"/>
            </w:pPr>
            <w:r>
              <w:t xml:space="preserve">160.26</w:t>
            </w:r>
          </w:p>
        </w:tc>
        <w:tc>
          <w:tcPr>
            <w:tcW w:w="1134" w:type="dxa"/>
            <w:vAlign w:val="center"/>
          </w:tcPr>
          <w:p>
            <w:pPr>
              <w:pStyle w:val="单元格样式4"/>
            </w:pPr>
            <w:r>
              <w:t xml:space="preserve">160.26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160.26</w:t>
            </w:r>
          </w:p>
        </w:tc>
        <w:tc>
          <w:tcPr>
            <w:tcW w:w="1134" w:type="dxa"/>
            <w:vAlign w:val="center"/>
          </w:tcPr>
          <w:p>
            <w:pPr>
              <w:pStyle w:val="单元格样式4"/>
            </w:pPr>
            <w:r>
              <w:t xml:space="preserve">160.26</w:t>
            </w:r>
          </w:p>
        </w:tc>
        <w:tc>
          <w:tcPr>
            <w:tcW w:w="1134" w:type="dxa"/>
            <w:vAlign w:val="center"/>
          </w:tcPr>
          <w:p>
            <w:pPr>
              <w:pStyle w:val="单元格样式4"/>
            </w:pPr>
            <w:r>
              <w:t xml:space="preserve">160.26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107.54</w:t>
            </w:r>
          </w:p>
        </w:tc>
        <w:tc>
          <w:tcPr>
            <w:tcW w:w="1134" w:type="dxa"/>
            <w:vAlign w:val="center"/>
          </w:tcPr>
          <w:p>
            <w:pPr>
              <w:pStyle w:val="单元格样式4"/>
            </w:pPr>
            <w:r>
              <w:t xml:space="preserve">107.54</w:t>
            </w:r>
          </w:p>
        </w:tc>
        <w:tc>
          <w:tcPr>
            <w:tcW w:w="1134" w:type="dxa"/>
            <w:vAlign w:val="center"/>
          </w:tcPr>
          <w:p>
            <w:pPr>
              <w:pStyle w:val="单元格样式4"/>
            </w:pPr>
            <w:r>
              <w:t xml:space="preserve">107.54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52.72</w:t>
            </w:r>
          </w:p>
        </w:tc>
        <w:tc>
          <w:tcPr>
            <w:tcW w:w="1134" w:type="dxa"/>
            <w:vAlign w:val="center"/>
          </w:tcPr>
          <w:p>
            <w:pPr>
              <w:pStyle w:val="单元格样式4"/>
            </w:pPr>
            <w:r>
              <w:t xml:space="preserve">52.72</w:t>
            </w:r>
          </w:p>
        </w:tc>
        <w:tc>
          <w:tcPr>
            <w:tcW w:w="1134" w:type="dxa"/>
            <w:vAlign w:val="center"/>
          </w:tcPr>
          <w:p>
            <w:pPr>
              <w:pStyle w:val="单元格样式4"/>
            </w:pPr>
            <w:r>
              <w:t xml:space="preserve">52.72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52.22</w:t>
            </w:r>
          </w:p>
        </w:tc>
        <w:tc>
          <w:tcPr>
            <w:tcW w:w="1134" w:type="dxa"/>
            <w:vAlign w:val="center"/>
          </w:tcPr>
          <w:p>
            <w:pPr>
              <w:pStyle w:val="单元格样式4"/>
            </w:pPr>
            <w:r>
              <w:t xml:space="preserve">52.22</w:t>
            </w:r>
          </w:p>
        </w:tc>
        <w:tc>
          <w:tcPr>
            <w:tcW w:w="1134" w:type="dxa"/>
            <w:vAlign w:val="center"/>
          </w:tcPr>
          <w:p>
            <w:pPr>
              <w:pStyle w:val="单元格样式4"/>
            </w:pPr>
            <w:r>
              <w:t xml:space="preserve">52.22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52.22</w:t>
            </w:r>
          </w:p>
        </w:tc>
        <w:tc>
          <w:tcPr>
            <w:tcW w:w="1134" w:type="dxa"/>
            <w:vAlign w:val="center"/>
          </w:tcPr>
          <w:p>
            <w:pPr>
              <w:pStyle w:val="单元格样式4"/>
            </w:pPr>
            <w:r>
              <w:t xml:space="preserve">52.22</w:t>
            </w:r>
          </w:p>
        </w:tc>
        <w:tc>
          <w:tcPr>
            <w:tcW w:w="1134" w:type="dxa"/>
            <w:vAlign w:val="center"/>
          </w:tcPr>
          <w:p>
            <w:pPr>
              <w:pStyle w:val="单元格样式4"/>
            </w:pPr>
            <w:r>
              <w:t xml:space="preserve">52.22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36.86</w:t>
            </w:r>
          </w:p>
        </w:tc>
        <w:tc>
          <w:tcPr>
            <w:tcW w:w="1134" w:type="dxa"/>
            <w:vAlign w:val="center"/>
          </w:tcPr>
          <w:p>
            <w:pPr>
              <w:pStyle w:val="单元格样式4"/>
            </w:pPr>
            <w:r>
              <w:t xml:space="preserve">36.86</w:t>
            </w:r>
          </w:p>
        </w:tc>
        <w:tc>
          <w:tcPr>
            <w:tcW w:w="1134" w:type="dxa"/>
            <w:vAlign w:val="center"/>
          </w:tcPr>
          <w:p>
            <w:pPr>
              <w:pStyle w:val="单元格样式4"/>
            </w:pPr>
            <w:r>
              <w:t xml:space="preserve">36.86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15.36</w:t>
            </w:r>
          </w:p>
        </w:tc>
        <w:tc>
          <w:tcPr>
            <w:tcW w:w="1134" w:type="dxa"/>
            <w:vAlign w:val="center"/>
          </w:tcPr>
          <w:p>
            <w:pPr>
              <w:pStyle w:val="单元格样式4"/>
            </w:pPr>
            <w:r>
              <w:t xml:space="preserve">15.36</w:t>
            </w:r>
          </w:p>
        </w:tc>
        <w:tc>
          <w:tcPr>
            <w:tcW w:w="1134" w:type="dxa"/>
            <w:vAlign w:val="center"/>
          </w:tcPr>
          <w:p>
            <w:pPr>
              <w:pStyle w:val="单元格样式4"/>
            </w:pPr>
            <w:r>
              <w:t xml:space="preserve">15.36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r>
              <w:t xml:space="preserve">79.08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1781.78</w:t>
            </w:r>
          </w:p>
        </w:tc>
        <w:tc>
          <w:tcPr>
            <w:tcW w:w="1361" w:type="dxa"/>
            <w:vAlign w:val="center"/>
          </w:tcPr>
          <w:p>
            <w:pPr>
              <w:pStyle w:val="单元格样式7"/>
            </w:pPr>
            <w:r>
              <w:t xml:space="preserve">1276.85</w:t>
            </w:r>
          </w:p>
        </w:tc>
        <w:tc>
          <w:tcPr>
            <w:tcW w:w="1361" w:type="dxa"/>
            <w:vAlign w:val="center"/>
          </w:tcPr>
          <w:p>
            <w:pPr>
              <w:pStyle w:val="单元格样式7"/>
            </w:pPr>
            <w:r>
              <w:t xml:space="preserve">504.93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1290.22</w:t>
            </w:r>
          </w:p>
        </w:tc>
        <w:tc>
          <w:tcPr>
            <w:tcW w:w="1361" w:type="dxa"/>
            <w:vAlign w:val="center"/>
          </w:tcPr>
          <w:p>
            <w:pPr>
              <w:pStyle w:val="单元格样式4"/>
            </w:pPr>
            <w:r>
              <w:t xml:space="preserve">985.29</w:t>
            </w:r>
          </w:p>
        </w:tc>
        <w:tc>
          <w:tcPr>
            <w:tcW w:w="1361" w:type="dxa"/>
            <w:vAlign w:val="center"/>
          </w:tcPr>
          <w:p>
            <w:pPr>
              <w:pStyle w:val="单元格样式4"/>
            </w:pPr>
            <w:r>
              <w:t xml:space="preserve">304.93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20141</w:t>
            </w:r>
          </w:p>
        </w:tc>
        <w:tc>
          <w:tcPr>
            <w:tcW w:w="4535" w:type="dxa"/>
            <w:vAlign w:val="center"/>
          </w:tcPr>
          <w:p>
            <w:pPr>
              <w:pStyle w:val="单元格样式2"/>
            </w:pPr>
            <w:r>
              <w:t xml:space="preserve">数据事务</w:t>
            </w:r>
          </w:p>
        </w:tc>
        <w:tc>
          <w:tcPr>
            <w:tcW w:w="1361" w:type="dxa"/>
            <w:vAlign w:val="center"/>
          </w:tcPr>
          <w:p>
            <w:pPr>
              <w:pStyle w:val="单元格样式4"/>
            </w:pPr>
            <w:r>
              <w:t xml:space="preserve">1290.22</w:t>
            </w:r>
          </w:p>
        </w:tc>
        <w:tc>
          <w:tcPr>
            <w:tcW w:w="1361" w:type="dxa"/>
            <w:vAlign w:val="center"/>
          </w:tcPr>
          <w:p>
            <w:pPr>
              <w:pStyle w:val="单元格样式4"/>
            </w:pPr>
            <w:r>
              <w:t xml:space="preserve">985.29</w:t>
            </w:r>
          </w:p>
        </w:tc>
        <w:tc>
          <w:tcPr>
            <w:tcW w:w="1361" w:type="dxa"/>
            <w:vAlign w:val="center"/>
          </w:tcPr>
          <w:p>
            <w:pPr>
              <w:pStyle w:val="单元格样式4"/>
            </w:pPr>
            <w:r>
              <w:t xml:space="preserve">304.93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2014101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985.29</w:t>
            </w:r>
          </w:p>
        </w:tc>
        <w:tc>
          <w:tcPr>
            <w:tcW w:w="1361" w:type="dxa"/>
            <w:vAlign w:val="center"/>
          </w:tcPr>
          <w:p>
            <w:pPr>
              <w:pStyle w:val="单元格样式4"/>
            </w:pPr>
            <w:r>
              <w:t xml:space="preserve">985.29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2014102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304.93</w:t>
            </w:r>
          </w:p>
        </w:tc>
        <w:tc>
          <w:tcPr>
            <w:tcW w:w="1361" w:type="dxa"/>
            <w:vAlign w:val="center"/>
          </w:tcPr>
          <w:p>
            <w:pPr>
              <w:pStyle w:val="单元格样式4"/>
            </w:pPr>
          </w:p>
        </w:tc>
        <w:tc>
          <w:tcPr>
            <w:tcW w:w="1361" w:type="dxa"/>
            <w:vAlign w:val="center"/>
          </w:tcPr>
          <w:p>
            <w:pPr>
              <w:pStyle w:val="单元格样式4"/>
            </w:pPr>
            <w:r>
              <w:t xml:space="preserve">304.93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160.26</w:t>
            </w:r>
          </w:p>
        </w:tc>
        <w:tc>
          <w:tcPr>
            <w:tcW w:w="1361" w:type="dxa"/>
            <w:vAlign w:val="center"/>
          </w:tcPr>
          <w:p>
            <w:pPr>
              <w:pStyle w:val="单元格样式4"/>
            </w:pPr>
            <w:r>
              <w:t xml:space="preserve">160.26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160.26</w:t>
            </w:r>
          </w:p>
        </w:tc>
        <w:tc>
          <w:tcPr>
            <w:tcW w:w="1361" w:type="dxa"/>
            <w:vAlign w:val="center"/>
          </w:tcPr>
          <w:p>
            <w:pPr>
              <w:pStyle w:val="单元格样式4"/>
            </w:pPr>
            <w:r>
              <w:t xml:space="preserve">160.26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107.54</w:t>
            </w:r>
          </w:p>
        </w:tc>
        <w:tc>
          <w:tcPr>
            <w:tcW w:w="1361" w:type="dxa"/>
            <w:vAlign w:val="center"/>
          </w:tcPr>
          <w:p>
            <w:pPr>
              <w:pStyle w:val="单元格样式4"/>
            </w:pPr>
            <w:r>
              <w:t xml:space="preserve">107.54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52.72</w:t>
            </w:r>
          </w:p>
        </w:tc>
        <w:tc>
          <w:tcPr>
            <w:tcW w:w="1361" w:type="dxa"/>
            <w:vAlign w:val="center"/>
          </w:tcPr>
          <w:p>
            <w:pPr>
              <w:pStyle w:val="单元格样式4"/>
            </w:pPr>
            <w:r>
              <w:t xml:space="preserve">52.72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52.22</w:t>
            </w:r>
          </w:p>
        </w:tc>
        <w:tc>
          <w:tcPr>
            <w:tcW w:w="1361" w:type="dxa"/>
            <w:vAlign w:val="center"/>
          </w:tcPr>
          <w:p>
            <w:pPr>
              <w:pStyle w:val="单元格样式4"/>
            </w:pPr>
            <w:r>
              <w:t xml:space="preserve">52.22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52.22</w:t>
            </w:r>
          </w:p>
        </w:tc>
        <w:tc>
          <w:tcPr>
            <w:tcW w:w="1361" w:type="dxa"/>
            <w:vAlign w:val="center"/>
          </w:tcPr>
          <w:p>
            <w:pPr>
              <w:pStyle w:val="单元格样式4"/>
            </w:pPr>
            <w:r>
              <w:t xml:space="preserve">52.22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36.86</w:t>
            </w:r>
          </w:p>
        </w:tc>
        <w:tc>
          <w:tcPr>
            <w:tcW w:w="1361" w:type="dxa"/>
            <w:vAlign w:val="center"/>
          </w:tcPr>
          <w:p>
            <w:pPr>
              <w:pStyle w:val="单元格样式4"/>
            </w:pPr>
            <w:r>
              <w:t xml:space="preserve">36.86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15.36</w:t>
            </w:r>
          </w:p>
        </w:tc>
        <w:tc>
          <w:tcPr>
            <w:tcW w:w="1361" w:type="dxa"/>
            <w:vAlign w:val="center"/>
          </w:tcPr>
          <w:p>
            <w:pPr>
              <w:pStyle w:val="单元格样式4"/>
            </w:pPr>
            <w:r>
              <w:t xml:space="preserve">15.36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79.08</w:t>
            </w:r>
          </w:p>
        </w:tc>
        <w:tc>
          <w:tcPr>
            <w:tcW w:w="1361" w:type="dxa"/>
            <w:vAlign w:val="center"/>
          </w:tcPr>
          <w:p>
            <w:pPr>
              <w:pStyle w:val="单元格样式4"/>
            </w:pPr>
            <w:r>
              <w:t xml:space="preserve">79.08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79.08</w:t>
            </w:r>
          </w:p>
        </w:tc>
        <w:tc>
          <w:tcPr>
            <w:tcW w:w="1361" w:type="dxa"/>
            <w:vAlign w:val="center"/>
          </w:tcPr>
          <w:p>
            <w:pPr>
              <w:pStyle w:val="单元格样式4"/>
            </w:pPr>
            <w:r>
              <w:t xml:space="preserve">79.08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79.08</w:t>
            </w:r>
          </w:p>
        </w:tc>
        <w:tc>
          <w:tcPr>
            <w:tcW w:w="1361" w:type="dxa"/>
            <w:vAlign w:val="center"/>
          </w:tcPr>
          <w:p>
            <w:pPr>
              <w:pStyle w:val="单元格样式4"/>
            </w:pPr>
            <w:r>
              <w:t xml:space="preserve">79.08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1581.78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1290.22</w:t>
            </w:r>
          </w:p>
        </w:tc>
        <w:tc>
          <w:tcPr>
            <w:tcW w:w="1474" w:type="dxa"/>
            <w:vAlign w:val="center"/>
          </w:tcPr>
          <w:p>
            <w:pPr>
              <w:pStyle w:val="单元格样式4"/>
            </w:pPr>
            <w:r>
              <w:t xml:space="preserve">1290.22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200.00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160.26</w:t>
            </w:r>
          </w:p>
        </w:tc>
        <w:tc>
          <w:tcPr>
            <w:tcW w:w="1474" w:type="dxa"/>
            <w:vAlign w:val="center"/>
          </w:tcPr>
          <w:p>
            <w:pPr>
              <w:pStyle w:val="单元格样式4"/>
            </w:pPr>
            <w:r>
              <w:t xml:space="preserve">160.26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52.22</w:t>
            </w:r>
          </w:p>
        </w:tc>
        <w:tc>
          <w:tcPr>
            <w:tcW w:w="1474" w:type="dxa"/>
            <w:vAlign w:val="center"/>
          </w:tcPr>
          <w:p>
            <w:pPr>
              <w:pStyle w:val="单元格样式4"/>
            </w:pPr>
            <w:r>
              <w:t xml:space="preserve">52.22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200.00</w:t>
            </w:r>
          </w:p>
        </w:tc>
        <w:tc>
          <w:tcPr>
            <w:tcW w:w="1474" w:type="dxa"/>
            <w:vAlign w:val="center"/>
          </w:tcPr>
          <w:p>
            <w:pPr>
              <w:pStyle w:val="单元格样式4"/>
            </w:pPr>
          </w:p>
        </w:tc>
        <w:tc>
          <w:tcPr>
            <w:tcW w:w="1474" w:type="dxa"/>
            <w:vAlign w:val="center"/>
          </w:tcPr>
          <w:p>
            <w:pPr>
              <w:pStyle w:val="单元格样式4"/>
            </w:pPr>
            <w:r>
              <w:t xml:space="preserve">200.00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79.08</w:t>
            </w:r>
          </w:p>
        </w:tc>
        <w:tc>
          <w:tcPr>
            <w:tcW w:w="1474" w:type="dxa"/>
            <w:vAlign w:val="center"/>
          </w:tcPr>
          <w:p>
            <w:pPr>
              <w:pStyle w:val="单元格样式4"/>
            </w:pPr>
            <w:r>
              <w:t xml:space="preserve">79.08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1781.78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1781.78</w:t>
            </w:r>
          </w:p>
        </w:tc>
        <w:tc>
          <w:tcPr>
            <w:tcW w:w="1474" w:type="dxa"/>
            <w:vAlign w:val="center"/>
          </w:tcPr>
          <w:p>
            <w:pPr>
              <w:pStyle w:val="单元格样式7"/>
            </w:pPr>
            <w:r>
              <w:t xml:space="preserve">1581.78</w:t>
            </w:r>
          </w:p>
        </w:tc>
        <w:tc>
          <w:tcPr>
            <w:tcW w:w="1474" w:type="dxa"/>
            <w:vAlign w:val="center"/>
          </w:tcPr>
          <w:p>
            <w:pPr>
              <w:pStyle w:val="单元格样式7"/>
            </w:pPr>
            <w:r>
              <w:t xml:space="preserve">200.00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1781.78</w:t>
            </w:r>
          </w:p>
        </w:tc>
        <w:tc>
          <w:tcPr>
            <w:tcW w:w="3402" w:type="dxa"/>
            <w:vAlign w:val="center"/>
          </w:tcPr>
          <w:p>
            <w:pPr>
              <w:pStyle w:val="单元格样式6"/>
            </w:pPr>
            <w:r>
              <w:t xml:space="preserve">支出总计</w:t>
            </w:r>
          </w:p>
        </w:tc>
        <w:tc>
          <w:tcPr>
            <w:tcW w:w="1474" w:type="dxa"/>
            <w:vAlign w:val="center"/>
          </w:tcPr>
          <w:p>
            <w:pPr>
              <w:pStyle w:val="单元格样式7"/>
            </w:pPr>
            <w:r>
              <w:t xml:space="preserve">1781.78</w:t>
            </w:r>
          </w:p>
        </w:tc>
        <w:tc>
          <w:tcPr>
            <w:tcW w:w="1474" w:type="dxa"/>
            <w:vAlign w:val="center"/>
          </w:tcPr>
          <w:p>
            <w:pPr>
              <w:pStyle w:val="单元格样式7"/>
            </w:pPr>
            <w:r>
              <w:t xml:space="preserve">1581.78</w:t>
            </w:r>
          </w:p>
        </w:tc>
        <w:tc>
          <w:tcPr>
            <w:tcW w:w="1474" w:type="dxa"/>
            <w:vAlign w:val="center"/>
          </w:tcPr>
          <w:p>
            <w:pPr>
              <w:pStyle w:val="单元格样式7"/>
            </w:pPr>
            <w:r>
              <w:t xml:space="preserve">200.00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1581.78</w:t>
            </w:r>
          </w:p>
        </w:tc>
        <w:tc>
          <w:tcPr>
            <w:tcW w:w="2551" w:type="dxa"/>
            <w:vAlign w:val="center"/>
          </w:tcPr>
          <w:p>
            <w:pPr>
              <w:pStyle w:val="单元格样式7"/>
            </w:pPr>
            <w:r>
              <w:t xml:space="preserve">1276.85</w:t>
            </w:r>
          </w:p>
        </w:tc>
        <w:tc>
          <w:tcPr>
            <w:tcW w:w="2551" w:type="dxa"/>
            <w:vAlign w:val="center"/>
          </w:tcPr>
          <w:p>
            <w:pPr>
              <w:pStyle w:val="单元格样式7"/>
            </w:pPr>
            <w:r>
              <w:t xml:space="preserve">304.93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1290.22</w:t>
            </w:r>
          </w:p>
        </w:tc>
        <w:tc>
          <w:tcPr>
            <w:tcW w:w="2551" w:type="dxa"/>
            <w:vAlign w:val="center"/>
          </w:tcPr>
          <w:p>
            <w:pPr>
              <w:pStyle w:val="单元格样式4"/>
            </w:pPr>
            <w:r>
              <w:t xml:space="preserve">985.29</w:t>
            </w:r>
          </w:p>
        </w:tc>
        <w:tc>
          <w:tcPr>
            <w:tcW w:w="2551" w:type="dxa"/>
            <w:vAlign w:val="center"/>
          </w:tcPr>
          <w:p>
            <w:pPr>
              <w:pStyle w:val="单元格样式4"/>
            </w:pPr>
            <w:r>
              <w:t xml:space="preserve">304.93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20141</w:t>
            </w:r>
          </w:p>
        </w:tc>
        <w:tc>
          <w:tcPr>
            <w:tcW w:w="4535" w:type="dxa"/>
            <w:vAlign w:val="center"/>
          </w:tcPr>
          <w:p>
            <w:pPr>
              <w:pStyle w:val="单元格样式2"/>
            </w:pPr>
            <w:r>
              <w:t xml:space="preserve">数据事务</w:t>
            </w:r>
          </w:p>
        </w:tc>
        <w:tc>
          <w:tcPr>
            <w:tcW w:w="2551" w:type="dxa"/>
            <w:vAlign w:val="center"/>
          </w:tcPr>
          <w:p>
            <w:pPr>
              <w:pStyle w:val="单元格样式4"/>
            </w:pPr>
            <w:r>
              <w:t xml:space="preserve">1290.22</w:t>
            </w:r>
          </w:p>
        </w:tc>
        <w:tc>
          <w:tcPr>
            <w:tcW w:w="2551" w:type="dxa"/>
            <w:vAlign w:val="center"/>
          </w:tcPr>
          <w:p>
            <w:pPr>
              <w:pStyle w:val="单元格样式4"/>
            </w:pPr>
            <w:r>
              <w:t xml:space="preserve">985.29</w:t>
            </w:r>
          </w:p>
        </w:tc>
        <w:tc>
          <w:tcPr>
            <w:tcW w:w="2551" w:type="dxa"/>
            <w:vAlign w:val="center"/>
          </w:tcPr>
          <w:p>
            <w:pPr>
              <w:pStyle w:val="单元格样式4"/>
            </w:pPr>
            <w:r>
              <w:t xml:space="preserve">304.93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2014101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985.29</w:t>
            </w:r>
          </w:p>
        </w:tc>
        <w:tc>
          <w:tcPr>
            <w:tcW w:w="2551" w:type="dxa"/>
            <w:vAlign w:val="center"/>
          </w:tcPr>
          <w:p>
            <w:pPr>
              <w:pStyle w:val="单元格样式4"/>
            </w:pPr>
            <w:r>
              <w:t xml:space="preserve">985.29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2014102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304.93</w:t>
            </w:r>
          </w:p>
        </w:tc>
        <w:tc>
          <w:tcPr>
            <w:tcW w:w="2551" w:type="dxa"/>
            <w:vAlign w:val="center"/>
          </w:tcPr>
          <w:p>
            <w:pPr>
              <w:pStyle w:val="单元格样式4"/>
            </w:pPr>
          </w:p>
        </w:tc>
        <w:tc>
          <w:tcPr>
            <w:tcW w:w="2551" w:type="dxa"/>
            <w:vAlign w:val="center"/>
          </w:tcPr>
          <w:p>
            <w:pPr>
              <w:pStyle w:val="单元格样式4"/>
            </w:pPr>
            <w:r>
              <w:t xml:space="preserve">304.93</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160.26</w:t>
            </w:r>
          </w:p>
        </w:tc>
        <w:tc>
          <w:tcPr>
            <w:tcW w:w="2551" w:type="dxa"/>
            <w:vAlign w:val="center"/>
          </w:tcPr>
          <w:p>
            <w:pPr>
              <w:pStyle w:val="单元格样式4"/>
            </w:pPr>
            <w:r>
              <w:t xml:space="preserve">160.26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160.26</w:t>
            </w:r>
          </w:p>
        </w:tc>
        <w:tc>
          <w:tcPr>
            <w:tcW w:w="2551" w:type="dxa"/>
            <w:vAlign w:val="center"/>
          </w:tcPr>
          <w:p>
            <w:pPr>
              <w:pStyle w:val="单元格样式4"/>
            </w:pPr>
            <w:r>
              <w:t xml:space="preserve">160.26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107.54</w:t>
            </w:r>
          </w:p>
        </w:tc>
        <w:tc>
          <w:tcPr>
            <w:tcW w:w="2551" w:type="dxa"/>
            <w:vAlign w:val="center"/>
          </w:tcPr>
          <w:p>
            <w:pPr>
              <w:pStyle w:val="单元格样式4"/>
            </w:pPr>
            <w:r>
              <w:t xml:space="preserve">107.54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52.72</w:t>
            </w:r>
          </w:p>
        </w:tc>
        <w:tc>
          <w:tcPr>
            <w:tcW w:w="2551" w:type="dxa"/>
            <w:vAlign w:val="center"/>
          </w:tcPr>
          <w:p>
            <w:pPr>
              <w:pStyle w:val="单元格样式4"/>
            </w:pPr>
            <w:r>
              <w:t xml:space="preserve">52.72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52.22</w:t>
            </w:r>
          </w:p>
        </w:tc>
        <w:tc>
          <w:tcPr>
            <w:tcW w:w="2551" w:type="dxa"/>
            <w:vAlign w:val="center"/>
          </w:tcPr>
          <w:p>
            <w:pPr>
              <w:pStyle w:val="单元格样式4"/>
            </w:pPr>
            <w:r>
              <w:t xml:space="preserve">52.22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52.22</w:t>
            </w:r>
          </w:p>
        </w:tc>
        <w:tc>
          <w:tcPr>
            <w:tcW w:w="2551" w:type="dxa"/>
            <w:vAlign w:val="center"/>
          </w:tcPr>
          <w:p>
            <w:pPr>
              <w:pStyle w:val="单元格样式4"/>
            </w:pPr>
            <w:r>
              <w:t xml:space="preserve">52.22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36.86</w:t>
            </w:r>
          </w:p>
        </w:tc>
        <w:tc>
          <w:tcPr>
            <w:tcW w:w="2551" w:type="dxa"/>
            <w:vAlign w:val="center"/>
          </w:tcPr>
          <w:p>
            <w:pPr>
              <w:pStyle w:val="单元格样式4"/>
            </w:pPr>
            <w:r>
              <w:t xml:space="preserve">36.86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15.36</w:t>
            </w:r>
          </w:p>
        </w:tc>
        <w:tc>
          <w:tcPr>
            <w:tcW w:w="2551" w:type="dxa"/>
            <w:vAlign w:val="center"/>
          </w:tcPr>
          <w:p>
            <w:pPr>
              <w:pStyle w:val="单元格样式4"/>
            </w:pPr>
            <w:r>
              <w:t xml:space="preserve">15.36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79.08</w:t>
            </w:r>
          </w:p>
        </w:tc>
        <w:tc>
          <w:tcPr>
            <w:tcW w:w="2551" w:type="dxa"/>
            <w:vAlign w:val="center"/>
          </w:tcPr>
          <w:p>
            <w:pPr>
              <w:pStyle w:val="单元格样式4"/>
            </w:pPr>
            <w:r>
              <w:t xml:space="preserve">79.08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79.08</w:t>
            </w:r>
          </w:p>
        </w:tc>
        <w:tc>
          <w:tcPr>
            <w:tcW w:w="2551" w:type="dxa"/>
            <w:vAlign w:val="center"/>
          </w:tcPr>
          <w:p>
            <w:pPr>
              <w:pStyle w:val="单元格样式4"/>
            </w:pPr>
            <w:r>
              <w:t xml:space="preserve">79.08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79.08</w:t>
            </w:r>
          </w:p>
        </w:tc>
        <w:tc>
          <w:tcPr>
            <w:tcW w:w="2551" w:type="dxa"/>
            <w:vAlign w:val="center"/>
          </w:tcPr>
          <w:p>
            <w:pPr>
              <w:pStyle w:val="单元格样式4"/>
            </w:pPr>
            <w:r>
              <w:t xml:space="preserve">79.08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1276.85</w:t>
            </w:r>
          </w:p>
        </w:tc>
        <w:tc>
          <w:tcPr>
            <w:tcW w:w="2551" w:type="dxa"/>
            <w:vAlign w:val="center"/>
          </w:tcPr>
          <w:p>
            <w:pPr>
              <w:pStyle w:val="单元格样式7"/>
            </w:pPr>
            <w:r>
              <w:t xml:space="preserve">1202.17</w:t>
            </w:r>
          </w:p>
        </w:tc>
        <w:tc>
          <w:tcPr>
            <w:tcW w:w="2551" w:type="dxa"/>
            <w:vAlign w:val="center"/>
          </w:tcPr>
          <w:p>
            <w:pPr>
              <w:pStyle w:val="单元格样式7"/>
            </w:pPr>
            <w:r>
              <w:t xml:space="preserve">74.68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1180.99</w:t>
            </w:r>
          </w:p>
        </w:tc>
        <w:tc>
          <w:tcPr>
            <w:tcW w:w="2551" w:type="dxa"/>
            <w:vAlign w:val="center"/>
          </w:tcPr>
          <w:p>
            <w:pPr>
              <w:pStyle w:val="单元格样式4"/>
            </w:pPr>
            <w:r>
              <w:t xml:space="preserve">1180.99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319.17</w:t>
            </w:r>
          </w:p>
        </w:tc>
        <w:tc>
          <w:tcPr>
            <w:tcW w:w="2551" w:type="dxa"/>
            <w:vAlign w:val="center"/>
          </w:tcPr>
          <w:p>
            <w:pPr>
              <w:pStyle w:val="单元格样式4"/>
            </w:pPr>
            <w:r>
              <w:t xml:space="preserve">319.17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107.70</w:t>
            </w:r>
          </w:p>
        </w:tc>
        <w:tc>
          <w:tcPr>
            <w:tcW w:w="2551" w:type="dxa"/>
            <w:vAlign w:val="center"/>
          </w:tcPr>
          <w:p>
            <w:pPr>
              <w:pStyle w:val="单元格样式4"/>
            </w:pPr>
            <w:r>
              <w:t xml:space="preserve">107.70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134.55</w:t>
            </w:r>
          </w:p>
        </w:tc>
        <w:tc>
          <w:tcPr>
            <w:tcW w:w="2551" w:type="dxa"/>
            <w:vAlign w:val="center"/>
          </w:tcPr>
          <w:p>
            <w:pPr>
              <w:pStyle w:val="单元格样式4"/>
            </w:pPr>
            <w:r>
              <w:t xml:space="preserve">134.55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168.63</w:t>
            </w:r>
          </w:p>
        </w:tc>
        <w:tc>
          <w:tcPr>
            <w:tcW w:w="2551" w:type="dxa"/>
            <w:vAlign w:val="center"/>
          </w:tcPr>
          <w:p>
            <w:pPr>
              <w:pStyle w:val="单元格样式4"/>
            </w:pPr>
            <w:r>
              <w:t xml:space="preserve">168.63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107.54</w:t>
            </w:r>
          </w:p>
        </w:tc>
        <w:tc>
          <w:tcPr>
            <w:tcW w:w="2551" w:type="dxa"/>
            <w:vAlign w:val="center"/>
          </w:tcPr>
          <w:p>
            <w:pPr>
              <w:pStyle w:val="单元格样式4"/>
            </w:pPr>
            <w:r>
              <w:t xml:space="preserve">107.54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52.72</w:t>
            </w:r>
          </w:p>
        </w:tc>
        <w:tc>
          <w:tcPr>
            <w:tcW w:w="2551" w:type="dxa"/>
            <w:vAlign w:val="center"/>
          </w:tcPr>
          <w:p>
            <w:pPr>
              <w:pStyle w:val="单元格样式4"/>
            </w:pPr>
            <w:r>
              <w:t xml:space="preserve">52.72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36.86</w:t>
            </w:r>
          </w:p>
        </w:tc>
        <w:tc>
          <w:tcPr>
            <w:tcW w:w="2551" w:type="dxa"/>
            <w:vAlign w:val="center"/>
          </w:tcPr>
          <w:p>
            <w:pPr>
              <w:pStyle w:val="单元格样式4"/>
            </w:pPr>
            <w:r>
              <w:t xml:space="preserve">36.86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15.36</w:t>
            </w:r>
          </w:p>
        </w:tc>
        <w:tc>
          <w:tcPr>
            <w:tcW w:w="2551" w:type="dxa"/>
            <w:vAlign w:val="center"/>
          </w:tcPr>
          <w:p>
            <w:pPr>
              <w:pStyle w:val="单元格样式4"/>
            </w:pPr>
            <w:r>
              <w:t xml:space="preserve">15.36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6.36</w:t>
            </w:r>
          </w:p>
        </w:tc>
        <w:tc>
          <w:tcPr>
            <w:tcW w:w="2551" w:type="dxa"/>
            <w:vAlign w:val="center"/>
          </w:tcPr>
          <w:p>
            <w:pPr>
              <w:pStyle w:val="单元格样式4"/>
            </w:pPr>
            <w:r>
              <w:t xml:space="preserve">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79.08</w:t>
            </w:r>
          </w:p>
        </w:tc>
        <w:tc>
          <w:tcPr>
            <w:tcW w:w="2551" w:type="dxa"/>
            <w:vAlign w:val="center"/>
          </w:tcPr>
          <w:p>
            <w:pPr>
              <w:pStyle w:val="单元格样式4"/>
            </w:pPr>
            <w:r>
              <w:t xml:space="preserve">79.08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153.02</w:t>
            </w:r>
          </w:p>
        </w:tc>
        <w:tc>
          <w:tcPr>
            <w:tcW w:w="2551" w:type="dxa"/>
            <w:vAlign w:val="center"/>
          </w:tcPr>
          <w:p>
            <w:pPr>
              <w:pStyle w:val="单元格样式4"/>
            </w:pPr>
            <w:r>
              <w:t xml:space="preserve">153.02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74.68</w:t>
            </w:r>
          </w:p>
        </w:tc>
        <w:tc>
          <w:tcPr>
            <w:tcW w:w="2551" w:type="dxa"/>
            <w:vAlign w:val="center"/>
          </w:tcPr>
          <w:p>
            <w:pPr>
              <w:pStyle w:val="单元格样式4"/>
            </w:pPr>
          </w:p>
        </w:tc>
        <w:tc>
          <w:tcPr>
            <w:tcW w:w="2551" w:type="dxa"/>
            <w:vAlign w:val="center"/>
          </w:tcPr>
          <w:p>
            <w:pPr>
              <w:pStyle w:val="单元格样式4"/>
            </w:pPr>
            <w:r>
              <w:t xml:space="preserve">74.68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27.10</w:t>
            </w:r>
          </w:p>
        </w:tc>
        <w:tc>
          <w:tcPr>
            <w:tcW w:w="2551" w:type="dxa"/>
            <w:vAlign w:val="center"/>
          </w:tcPr>
          <w:p>
            <w:pPr>
              <w:pStyle w:val="单元格样式4"/>
            </w:pPr>
          </w:p>
        </w:tc>
        <w:tc>
          <w:tcPr>
            <w:tcW w:w="2551" w:type="dxa"/>
            <w:vAlign w:val="center"/>
          </w:tcPr>
          <w:p>
            <w:pPr>
              <w:pStyle w:val="单元格样式4"/>
            </w:pPr>
            <w:r>
              <w:t xml:space="preserve">27.10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17.06</w:t>
            </w:r>
          </w:p>
        </w:tc>
        <w:tc>
          <w:tcPr>
            <w:tcW w:w="2551" w:type="dxa"/>
            <w:vAlign w:val="center"/>
          </w:tcPr>
          <w:p>
            <w:pPr>
              <w:pStyle w:val="单元格样式4"/>
            </w:pPr>
          </w:p>
        </w:tc>
        <w:tc>
          <w:tcPr>
            <w:tcW w:w="2551" w:type="dxa"/>
            <w:vAlign w:val="center"/>
          </w:tcPr>
          <w:p>
            <w:pPr>
              <w:pStyle w:val="单元格样式4"/>
            </w:pPr>
            <w:r>
              <w:t xml:space="preserve">17.06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6.87</w:t>
            </w:r>
          </w:p>
        </w:tc>
        <w:tc>
          <w:tcPr>
            <w:tcW w:w="2551" w:type="dxa"/>
            <w:vAlign w:val="center"/>
          </w:tcPr>
          <w:p>
            <w:pPr>
              <w:pStyle w:val="单元格样式4"/>
            </w:pPr>
          </w:p>
        </w:tc>
        <w:tc>
          <w:tcPr>
            <w:tcW w:w="2551" w:type="dxa"/>
            <w:vAlign w:val="center"/>
          </w:tcPr>
          <w:p>
            <w:pPr>
              <w:pStyle w:val="单元格样式4"/>
            </w:pPr>
            <w:r>
              <w:t xml:space="preserve">6.87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19.08</w:t>
            </w:r>
          </w:p>
        </w:tc>
        <w:tc>
          <w:tcPr>
            <w:tcW w:w="2551" w:type="dxa"/>
            <w:vAlign w:val="center"/>
          </w:tcPr>
          <w:p>
            <w:pPr>
              <w:pStyle w:val="单元格样式4"/>
            </w:pPr>
          </w:p>
        </w:tc>
        <w:tc>
          <w:tcPr>
            <w:tcW w:w="2551" w:type="dxa"/>
            <w:vAlign w:val="center"/>
          </w:tcPr>
          <w:p>
            <w:pPr>
              <w:pStyle w:val="单元格样式4"/>
            </w:pPr>
            <w:r>
              <w:t xml:space="preserve">19.08</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1.57</w:t>
            </w:r>
          </w:p>
        </w:tc>
        <w:tc>
          <w:tcPr>
            <w:tcW w:w="2551" w:type="dxa"/>
            <w:vAlign w:val="center"/>
          </w:tcPr>
          <w:p>
            <w:pPr>
              <w:pStyle w:val="单元格样式4"/>
            </w:pPr>
          </w:p>
        </w:tc>
        <w:tc>
          <w:tcPr>
            <w:tcW w:w="2551" w:type="dxa"/>
            <w:vAlign w:val="center"/>
          </w:tcPr>
          <w:p>
            <w:pPr>
              <w:pStyle w:val="单元格样式4"/>
            </w:pPr>
            <w:r>
              <w:t xml:space="preserve">1.57</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21.17</w:t>
            </w:r>
          </w:p>
        </w:tc>
        <w:tc>
          <w:tcPr>
            <w:tcW w:w="2551" w:type="dxa"/>
            <w:vAlign w:val="center"/>
          </w:tcPr>
          <w:p>
            <w:pPr>
              <w:pStyle w:val="单元格样式4"/>
            </w:pPr>
            <w:r>
              <w:t xml:space="preserve">21.17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21.17</w:t>
            </w:r>
          </w:p>
        </w:tc>
        <w:tc>
          <w:tcPr>
            <w:tcW w:w="2551" w:type="dxa"/>
            <w:vAlign w:val="center"/>
          </w:tcPr>
          <w:p>
            <w:pPr>
              <w:pStyle w:val="单元格样式4"/>
            </w:pPr>
            <w:r>
              <w:t xml:space="preserve">21.17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200.00</w:t>
            </w:r>
          </w:p>
        </w:tc>
        <w:tc>
          <w:tcPr>
            <w:tcW w:w="2551" w:type="dxa"/>
            <w:vAlign w:val="center"/>
          </w:tcPr>
          <w:p>
            <w:pPr>
              <w:pStyle w:val="单元格样式7"/>
            </w:pPr>
          </w:p>
        </w:tc>
        <w:tc>
          <w:tcPr>
            <w:tcW w:w="2551" w:type="dxa"/>
            <w:vAlign w:val="center"/>
          </w:tcPr>
          <w:p>
            <w:pPr>
              <w:pStyle w:val="单元格样式7"/>
            </w:pPr>
            <w:r>
              <w:t xml:space="preserve">200.00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石家庄市藁城区数据和政务服务局本级2026年单位预算信息公开情况说明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按照《中华人民共和国预算法》、《地方预决算公开操作规程》和《关于进一步推进预算公开工作的实施意见》规定，现将石家庄市藁城区数据和政务服务局本级2026年单位预算公开如下：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局机关事务：贯彻落实党中央、国务院和省委、省政府，市委、市政府，区委、区政府关于推进政府职能转变和“放管服”改革、行政审批制度改革、政务服务管理、公共资源交易管理、社会信用体系建设有关方针政策和法律法规。贯彻落实地方性法规、政府规章，制定有关政策落实措施并组织实施。承担区政府推进政府职能转变和“放管服”改革协调小组办公室的日常工作。</w:t>
      </w:r>
    </w:p>
    <w:p>
      <w:pPr>
        <w:pStyle w:val="插入文本样式-插入单位职责文件"/>
      </w:pPr>
      <w:r>
        <w:t xml:space="preserve">负责投资项目、商事登记、市场服务、文教体卫、社会事务、住建交通、生态环境、安全生产、农林畜水、经贸商务、城市管理等方面行政审批事项的办理及相关行政性收费，并承担相应的法律责任。负责区直部门已划转行政许可事项涉及的现场勘验、审图、联合验收等工作。负责对全区行政审批政务服务行为进行监督检查。</w:t>
      </w:r>
    </w:p>
    <w:p>
      <w:pPr>
        <w:pStyle w:val="插入文本样式-插入单位职责文件"/>
      </w:pPr>
      <w:r>
        <w:t xml:space="preserve">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插入文本样式-插入单位职责文件"/>
      </w:pPr>
      <w:r>
        <w:t xml:space="preserve">承办区委、区政府交办的其他事项</w:t>
      </w:r>
    </w:p>
    <w:p>
      <w:pPr>
        <w:pStyle w:val="插入文本样式-插入单位职责文件"/>
      </w:pPr>
      <w:r>
        <w:t xml:space="preserve">2、后勤事务：大厅的工作场所的安全保卫、消防工作，制定各项安全防范制度和措施。</w:t>
      </w:r>
    </w:p>
    <w:p>
      <w:pPr>
        <w:pStyle w:val="插入文本样式-插入单位职责文件"/>
      </w:pPr>
      <w:r>
        <w:t xml:space="preserve">大厅的环境卫生、绿化、美化以及大厅办公设施的维护管理购置工作。</w:t>
      </w:r>
    </w:p>
    <w:p>
      <w:pPr>
        <w:pStyle w:val="插入文本样式-插入单位职责文件"/>
      </w:pPr>
      <w:r>
        <w:t xml:space="preserve">负责局的房屋维修，水电暖通讯设备使用、管理及维修，对中央空调等大型设备进行定期维护。</w:t>
      </w:r>
    </w:p>
    <w:p>
      <w:pPr>
        <w:pStyle w:val="插入文本样式-插入单位职责文件"/>
      </w:pPr>
      <w:r>
        <w:t xml:space="preserve">负责局水、电、暖、网、办公用品等硬、软件的管理</w:t>
      </w:r>
    </w:p>
    <w:p>
      <w:pPr>
        <w:pStyle w:val="插入文本样式-插入单位职责文件"/>
      </w:pPr>
      <w:r>
        <w:t xml:space="preserve">3、负责协调派驻部门行政审批事项的办理工作，规范、管理和监督派驻部门的行政审批行为。</w:t>
      </w:r>
    </w:p>
    <w:p>
      <w:pPr>
        <w:pStyle w:val="插入文本样式-插入单位职责文件"/>
      </w:pPr>
      <w:r>
        <w:t xml:space="preserve">4、负责行政审批信息化工作，区级行政审批信息资料的保管、整理、统计、编目和定期检查工作</w:t>
      </w:r>
    </w:p>
    <w:p>
      <w:pPr>
        <w:pStyle w:val="插入文本样式-插入单位职责文件"/>
      </w:pPr>
      <w:r>
        <w:t xml:space="preserve">5、拟订全区公共资源交易管理制度、规则并组织实施；编制公共资源交易目录，建设、管理公共资源交易电子服务系统，推进公共资源交易领域信用体系建设；负责监督区本级公共资源交易项目进场交易，并对场内交易活动进行监督，组织协调各行业主管部门对公共资源交易活动实施监督，将发现的违法违规问题移送有关部门处理；协调开展区本级公共资源交易活动的联动执法。</w:t>
      </w:r>
    </w:p>
    <w:p>
      <w:pPr>
        <w:pStyle w:val="插入文本样式-插入单位职责文件"/>
      </w:pPr>
      <w:r>
        <w:t xml:space="preserve">6、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互联网+政务服务”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w:t>
      </w:r>
    </w:p>
    <w:p>
      <w:pPr>
        <w:pStyle w:val="插入文本样式-插入单位职责文件"/>
      </w:pPr>
      <w:r>
        <w:t xml:space="preserve">7、负责拟订电子政务、智慧城市和全区数据资源发展规划和管理办法，提出数据产业发展综合性建议，协调解决数据资源发展、信息化建设中的重大问题，组织协调推进全区政务数据和公共资源的目录制定，归集管理、整理利用、共享开放</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石家庄市藁城区数据和政务服务局本级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1781.78万元，其中：一般公共预算收入1581.78万元，基金预算收入200.00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藁城区数据和政务服务局本级年度单位预算中支出预算的总体情况。2026年支出预算1781.78万元，其中基本支出1276.85万元，包括人员经费1202.17万元和日常公用经费74.68万元；项目支出504.93万元，主要为第三方中介服务费15万元；公共资源交易中心房租5万元；劳务派遣人员经费221.93万元；数政局履职工作经费7万元；智慧城市运行维护200万元；租赁办公用房费用56万元。；预计下年使用的单位资金结余0.00万元。委托业务费共计安排215.00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1781.78万元，较2025年预算增加4.95万元，其中：基本支出减少60.56万元，主要为人员变化项目支出增加65.51万元，主要为因部分业务变化，预算项目有部分变化。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2026年，我单位机关运行经费共计安排74.68万元，主要用于日常维修、办公用房水电费、办公用房取暖费、办公用房物业管理费等日常运行支出。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1、第三方中介服务费绩效目标表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第三方中介服务费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预算资金15万元，用于第三方中介服务费项目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4.50</w:t>
            </w:r>
          </w:p>
        </w:tc>
        <w:tc>
          <w:tcPr>
            <w:tcW w:w="2835" w:type="dxa"/>
            <w:vAlign w:val="center"/>
          </w:tcPr>
          <w:p>
            <w:pPr>
              <w:pStyle w:val="单元格样式3"/>
            </w:pPr>
            <w:r>
              <w:t xml:space="preserve">9.00</w:t>
            </w:r>
          </w:p>
        </w:tc>
        <w:tc>
          <w:tcPr>
            <w:tcW w:w="2551" w:type="dxa"/>
            <w:vAlign w:val="center"/>
          </w:tcPr>
          <w:p>
            <w:pPr>
              <w:pStyle w:val="单元格样式3"/>
            </w:pPr>
            <w:r>
              <w:t xml:space="preserve">13.50</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1.根据上级文件要求，承担我局纳入审批程序的第三方中介服务费用，提高政务服务质量。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第三方中介服务招标标段</w:t>
            </w:r>
          </w:p>
        </w:tc>
        <w:tc>
          <w:tcPr>
            <w:tcW w:w="5386" w:type="dxa"/>
            <w:vAlign w:val="center"/>
          </w:tcPr>
          <w:p>
            <w:pPr>
              <w:pStyle w:val="单元格样式2"/>
            </w:pPr>
            <w:r>
              <w:t xml:space="preserve"> 第三方中介服务招标标段</w:t>
            </w:r>
          </w:p>
        </w:tc>
        <w:tc>
          <w:tcPr>
            <w:tcW w:w="2268" w:type="dxa"/>
            <w:vAlign w:val="center"/>
          </w:tcPr>
          <w:p>
            <w:pPr>
              <w:pStyle w:val="单元格样式2"/>
            </w:pPr>
            <w:r>
              <w:t xml:space="preserve">≥5个</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服务合格情况与总服务数量比例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服务完成及时情况</w:t>
            </w:r>
          </w:p>
        </w:tc>
        <w:tc>
          <w:tcPr>
            <w:tcW w:w="5386" w:type="dxa"/>
            <w:vAlign w:val="center"/>
          </w:tcPr>
          <w:p>
            <w:pPr>
              <w:pStyle w:val="单元格样式2"/>
            </w:pPr>
            <w:r>
              <w:t xml:space="preserve">按约定日期完成</w:t>
            </w:r>
          </w:p>
        </w:tc>
        <w:tc>
          <w:tcPr>
            <w:tcW w:w="2268" w:type="dxa"/>
            <w:vAlign w:val="center"/>
          </w:tcPr>
          <w:p>
            <w:pPr>
              <w:pStyle w:val="单元格样式2"/>
            </w:pPr>
            <w:r>
              <w:t xml:space="preserve">2026年1月1日到2026年12月31日</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预算资金成本</w:t>
            </w:r>
          </w:p>
        </w:tc>
        <w:tc>
          <w:tcPr>
            <w:tcW w:w="5386" w:type="dxa"/>
            <w:vAlign w:val="center"/>
          </w:tcPr>
          <w:p>
            <w:pPr>
              <w:pStyle w:val="单元格样式2"/>
            </w:pPr>
            <w:r>
              <w:t xml:space="preserve">严控预算资金成本</w:t>
            </w:r>
          </w:p>
        </w:tc>
        <w:tc>
          <w:tcPr>
            <w:tcW w:w="2268" w:type="dxa"/>
            <w:vAlign w:val="center"/>
          </w:tcPr>
          <w:p>
            <w:pPr>
              <w:pStyle w:val="单元格样式2"/>
            </w:pPr>
            <w:r>
              <w:t xml:space="preserve">按实际发放标准</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提高政务工作质量情况</w:t>
            </w:r>
          </w:p>
        </w:tc>
        <w:tc>
          <w:tcPr>
            <w:tcW w:w="5386" w:type="dxa"/>
            <w:vAlign w:val="center"/>
          </w:tcPr>
          <w:p>
            <w:pPr>
              <w:pStyle w:val="单元格样式2"/>
            </w:pPr>
            <w:r>
              <w:t xml:space="preserve">有效提高政务工作质量</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满意程度 </w:t>
            </w:r>
          </w:p>
        </w:tc>
        <w:tc>
          <w:tcPr>
            <w:tcW w:w="5386" w:type="dxa"/>
            <w:vAlign w:val="center"/>
          </w:tcPr>
          <w:p>
            <w:pPr>
              <w:pStyle w:val="单元格样式2"/>
            </w:pPr>
            <w:r>
              <w:t xml:space="preserve">满意程度 </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2、公共资源交易中心房租绩效目标表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公共资源交易中心房租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预算资金5万元，用于租赁办公用房费用项目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3.00</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1.通过租赁办公用房，为公共资源交易中心办理业务提供场所，保障工作正常进行。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房屋租赁面积</w:t>
            </w:r>
          </w:p>
        </w:tc>
        <w:tc>
          <w:tcPr>
            <w:tcW w:w="5386" w:type="dxa"/>
            <w:vAlign w:val="center"/>
          </w:tcPr>
          <w:p>
            <w:pPr>
              <w:pStyle w:val="单元格样式2"/>
            </w:pPr>
            <w:r>
              <w:t xml:space="preserve">房屋租赁面积</w:t>
            </w:r>
          </w:p>
        </w:tc>
        <w:tc>
          <w:tcPr>
            <w:tcW w:w="2268" w:type="dxa"/>
            <w:vAlign w:val="center"/>
          </w:tcPr>
          <w:p>
            <w:pPr>
              <w:pStyle w:val="单元格样式2"/>
            </w:pPr>
            <w:r>
              <w:t xml:space="preserve">≥1421.46平方米</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租赁合同</w:t>
            </w:r>
          </w:p>
        </w:tc>
        <w:tc>
          <w:tcPr>
            <w:tcW w:w="5386" w:type="dxa"/>
            <w:vAlign w:val="center"/>
          </w:tcPr>
          <w:p>
            <w:pPr>
              <w:pStyle w:val="单元格样式2"/>
            </w:pPr>
            <w:r>
              <w:t xml:space="preserve">保质完成</w:t>
            </w:r>
          </w:p>
        </w:tc>
        <w:tc>
          <w:tcPr>
            <w:tcW w:w="2268" w:type="dxa"/>
            <w:vAlign w:val="center"/>
          </w:tcPr>
          <w:p>
            <w:pPr>
              <w:pStyle w:val="单元格样式2"/>
            </w:pPr>
            <w:r>
              <w:t xml:space="preserve">保质完成</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支付完成及时</w:t>
            </w:r>
          </w:p>
        </w:tc>
        <w:tc>
          <w:tcPr>
            <w:tcW w:w="5386" w:type="dxa"/>
            <w:vAlign w:val="center"/>
          </w:tcPr>
          <w:p>
            <w:pPr>
              <w:pStyle w:val="单元格样式2"/>
            </w:pPr>
            <w:r>
              <w:t xml:space="preserve">支付完成及时</w:t>
            </w:r>
          </w:p>
        </w:tc>
        <w:tc>
          <w:tcPr>
            <w:tcW w:w="2268" w:type="dxa"/>
            <w:vAlign w:val="center"/>
          </w:tcPr>
          <w:p>
            <w:pPr>
              <w:pStyle w:val="单元格样式2"/>
            </w:pPr>
            <w:r>
              <w:t xml:space="preserve">按照合同，每半年支付一次</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预算单位资金成本</w:t>
            </w:r>
          </w:p>
        </w:tc>
        <w:tc>
          <w:tcPr>
            <w:tcW w:w="5386" w:type="dxa"/>
            <w:vAlign w:val="center"/>
          </w:tcPr>
          <w:p>
            <w:pPr>
              <w:pStyle w:val="单元格样式2"/>
            </w:pPr>
            <w:r>
              <w:t xml:space="preserve">严控预算资金成本</w:t>
            </w:r>
          </w:p>
        </w:tc>
        <w:tc>
          <w:tcPr>
            <w:tcW w:w="2268" w:type="dxa"/>
            <w:vAlign w:val="center"/>
          </w:tcPr>
          <w:p>
            <w:pPr>
              <w:pStyle w:val="单元格样式2"/>
            </w:pPr>
            <w:r>
              <w:t xml:space="preserve">≤5万元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保障机关工作正常高效运转</w:t>
            </w:r>
          </w:p>
        </w:tc>
        <w:tc>
          <w:tcPr>
            <w:tcW w:w="5386" w:type="dxa"/>
            <w:vAlign w:val="center"/>
          </w:tcPr>
          <w:p>
            <w:pPr>
              <w:pStyle w:val="单元格样式2"/>
            </w:pPr>
            <w:r>
              <w:t xml:space="preserve">保障机关工作正常高效运转</w:t>
            </w:r>
          </w:p>
        </w:tc>
        <w:tc>
          <w:tcPr>
            <w:tcW w:w="2268" w:type="dxa"/>
            <w:vAlign w:val="center"/>
          </w:tcPr>
          <w:p>
            <w:pPr>
              <w:pStyle w:val="单元格样式2"/>
            </w:pPr>
            <w:r>
              <w:t xml:space="preserve">有效保障</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房屋使用者满意度</w:t>
            </w:r>
          </w:p>
        </w:tc>
        <w:tc>
          <w:tcPr>
            <w:tcW w:w="5386" w:type="dxa"/>
            <w:vAlign w:val="center"/>
          </w:tcPr>
          <w:p>
            <w:pPr>
              <w:pStyle w:val="单元格样式2"/>
            </w:pPr>
            <w:r>
              <w:t xml:space="preserve">房屋使用者满意度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3、劳务派遣人员经费绩效目标表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劳务派遣人员经费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221.93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221.93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预算资金221.93万元，用于劳务派遣人员经费项目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66.58</w:t>
            </w:r>
          </w:p>
        </w:tc>
        <w:tc>
          <w:tcPr>
            <w:tcW w:w="2835" w:type="dxa"/>
            <w:vAlign w:val="center"/>
          </w:tcPr>
          <w:p>
            <w:pPr>
              <w:pStyle w:val="单元格样式3"/>
            </w:pPr>
            <w:r>
              <w:t xml:space="preserve">133.15</w:t>
            </w:r>
          </w:p>
        </w:tc>
        <w:tc>
          <w:tcPr>
            <w:tcW w:w="2551" w:type="dxa"/>
            <w:vAlign w:val="center"/>
          </w:tcPr>
          <w:p>
            <w:pPr>
              <w:pStyle w:val="单元格样式3"/>
            </w:pPr>
            <w:r>
              <w:t xml:space="preserve">199.74</w:t>
            </w:r>
          </w:p>
        </w:tc>
        <w:tc>
          <w:tcPr>
            <w:tcW w:w="3544" w:type="dxa"/>
            <w:gridSpan w:val="2"/>
            <w:vAlign w:val="center"/>
          </w:tcPr>
          <w:p>
            <w:pPr>
              <w:pStyle w:val="单元格样式3"/>
            </w:pPr>
            <w:r>
              <w:t xml:space="preserve">221.93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1.通过劳务派遣制人员，更好的更高效的办理业务，为人民群众提供便利，办事速度加快</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劳务派遣人数</w:t>
            </w:r>
          </w:p>
        </w:tc>
        <w:tc>
          <w:tcPr>
            <w:tcW w:w="5386" w:type="dxa"/>
            <w:vAlign w:val="center"/>
          </w:tcPr>
          <w:p>
            <w:pPr>
              <w:pStyle w:val="单元格样式2"/>
            </w:pPr>
            <w:r>
              <w:t xml:space="preserve">劳务派遣人数</w:t>
            </w:r>
          </w:p>
        </w:tc>
        <w:tc>
          <w:tcPr>
            <w:tcW w:w="2268" w:type="dxa"/>
            <w:vAlign w:val="center"/>
          </w:tcPr>
          <w:p>
            <w:pPr>
              <w:pStyle w:val="单元格样式2"/>
            </w:pPr>
            <w:r>
              <w:t xml:space="preserve">≥53人</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发放完成率</w:t>
            </w:r>
          </w:p>
        </w:tc>
        <w:tc>
          <w:tcPr>
            <w:tcW w:w="5386" w:type="dxa"/>
            <w:vAlign w:val="center"/>
          </w:tcPr>
          <w:p>
            <w:pPr>
              <w:pStyle w:val="单元格样式2"/>
            </w:pPr>
            <w:r>
              <w:t xml:space="preserve">实发工资占总发放工资比例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w:t>
            </w:r>
          </w:p>
        </w:tc>
        <w:tc>
          <w:tcPr>
            <w:tcW w:w="5386" w:type="dxa"/>
            <w:vAlign w:val="center"/>
          </w:tcPr>
          <w:p>
            <w:pPr>
              <w:pStyle w:val="单元格样式2"/>
            </w:pPr>
            <w:r>
              <w:t xml:space="preserve">及时发放时间</w:t>
            </w:r>
          </w:p>
        </w:tc>
        <w:tc>
          <w:tcPr>
            <w:tcW w:w="2268" w:type="dxa"/>
            <w:vAlign w:val="center"/>
          </w:tcPr>
          <w:p>
            <w:pPr>
              <w:pStyle w:val="单元格样式2"/>
            </w:pPr>
            <w:r>
              <w:t xml:space="preserve">及时发放</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vAlign w:val="center"/>
          </w:tcPr>
          <w:p>
            <w:pPr>
              <w:pStyle w:val="单元格样式2"/>
            </w:pPr>
            <w:r>
              <w:t xml:space="preserve">不超过单位资金成本</w:t>
            </w:r>
          </w:p>
        </w:tc>
        <w:tc>
          <w:tcPr>
            <w:tcW w:w="2268" w:type="dxa"/>
            <w:vAlign w:val="center"/>
          </w:tcPr>
          <w:p>
            <w:pPr>
              <w:pStyle w:val="单元格样式2"/>
            </w:pPr>
            <w:r>
              <w:t xml:space="preserve">按实际发放标准</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保证机关工作正常高效运转</w:t>
            </w:r>
          </w:p>
        </w:tc>
        <w:tc>
          <w:tcPr>
            <w:tcW w:w="5386" w:type="dxa"/>
            <w:vAlign w:val="center"/>
          </w:tcPr>
          <w:p>
            <w:pPr>
              <w:pStyle w:val="单元格样式2"/>
            </w:pPr>
            <w:r>
              <w:t xml:space="preserve">保证机关工作正常高效运转</w:t>
            </w:r>
          </w:p>
        </w:tc>
        <w:tc>
          <w:tcPr>
            <w:tcW w:w="2268" w:type="dxa"/>
            <w:vAlign w:val="center"/>
          </w:tcPr>
          <w:p>
            <w:pPr>
              <w:pStyle w:val="单元格样式2"/>
            </w:pPr>
            <w:r>
              <w:t xml:space="preserve">有效保障</w:t>
            </w:r>
          </w:p>
        </w:tc>
        <w:tc>
          <w:tcPr>
            <w:tcW w:w="1276" w:type="dxa"/>
            <w:vAlign w:val="center"/>
          </w:tcPr>
          <w:p>
            <w:pPr>
              <w:pStyle w:val="单元格样式2"/>
            </w:pPr>
            <w:r>
              <w:t xml:space="preserve">年度工资计划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满意程度 </w:t>
            </w:r>
          </w:p>
        </w:tc>
        <w:tc>
          <w:tcPr>
            <w:tcW w:w="5386" w:type="dxa"/>
            <w:vAlign w:val="center"/>
          </w:tcPr>
          <w:p>
            <w:pPr>
              <w:pStyle w:val="单元格样式2"/>
            </w:pPr>
            <w:r>
              <w:t xml:space="preserve">满意程度 </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年度工资计划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4、数政局履职工作经费绩效目标表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数政局履职工作经费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预算资金7万元，用于数政局履职工作经费项目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2.10</w:t>
            </w:r>
          </w:p>
        </w:tc>
        <w:tc>
          <w:tcPr>
            <w:tcW w:w="2835" w:type="dxa"/>
            <w:vAlign w:val="center"/>
          </w:tcPr>
          <w:p>
            <w:pPr>
              <w:pStyle w:val="单元格样式3"/>
            </w:pPr>
            <w:r>
              <w:t xml:space="preserve">4.20</w:t>
            </w:r>
          </w:p>
        </w:tc>
        <w:tc>
          <w:tcPr>
            <w:tcW w:w="2551" w:type="dxa"/>
            <w:vAlign w:val="center"/>
          </w:tcPr>
          <w:p>
            <w:pPr>
              <w:pStyle w:val="单元格样式3"/>
            </w:pPr>
            <w:r>
              <w:t xml:space="preserve">6.30</w:t>
            </w:r>
          </w:p>
        </w:tc>
        <w:tc>
          <w:tcPr>
            <w:tcW w:w="3544" w:type="dxa"/>
            <w:gridSpan w:val="2"/>
            <w:vAlign w:val="center"/>
          </w:tcPr>
          <w:p>
            <w:pPr>
              <w:pStyle w:val="单元格样式3"/>
            </w:pPr>
            <w:r>
              <w:t xml:space="preserve">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1.通过履职经费更好地完成工作业务，为人民群众更加便捷高效地办事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维护覆盖情况</w:t>
            </w:r>
          </w:p>
        </w:tc>
        <w:tc>
          <w:tcPr>
            <w:tcW w:w="5386" w:type="dxa"/>
            <w:vAlign w:val="center"/>
          </w:tcPr>
          <w:p>
            <w:pPr>
              <w:pStyle w:val="单元格样式2"/>
            </w:pPr>
            <w:r>
              <w:t xml:space="preserve">全面覆盖</w:t>
            </w:r>
          </w:p>
        </w:tc>
        <w:tc>
          <w:tcPr>
            <w:tcW w:w="2268" w:type="dxa"/>
            <w:vAlign w:val="center"/>
          </w:tcPr>
          <w:p>
            <w:pPr>
              <w:pStyle w:val="单元格样式2"/>
            </w:pPr>
            <w:r>
              <w:t xml:space="preserve">全面覆盖</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完成时间</w:t>
            </w:r>
          </w:p>
        </w:tc>
        <w:tc>
          <w:tcPr>
            <w:tcW w:w="2268" w:type="dxa"/>
            <w:vAlign w:val="center"/>
          </w:tcPr>
          <w:p>
            <w:pPr>
              <w:pStyle w:val="单元格样式2"/>
            </w:pPr>
            <w:r>
              <w:t xml:space="preserve">2026年1月1日到2026年12月31日</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vAlign w:val="center"/>
          </w:tcPr>
          <w:p>
            <w:pPr>
              <w:pStyle w:val="单元格样式2"/>
            </w:pPr>
            <w:r>
              <w:t xml:space="preserve">单位资金成本</w:t>
            </w:r>
          </w:p>
        </w:tc>
        <w:tc>
          <w:tcPr>
            <w:tcW w:w="2268" w:type="dxa"/>
            <w:vAlign w:val="center"/>
          </w:tcPr>
          <w:p>
            <w:pPr>
              <w:pStyle w:val="单元格样式2"/>
            </w:pPr>
            <w:r>
              <w:t xml:space="preserve">按实际标准发放</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保障政务服务执行，有效提升政务服务能力</w:t>
            </w:r>
          </w:p>
        </w:tc>
        <w:tc>
          <w:tcPr>
            <w:tcW w:w="5386" w:type="dxa"/>
            <w:vAlign w:val="center"/>
          </w:tcPr>
          <w:p>
            <w:pPr>
              <w:pStyle w:val="单元格样式2"/>
            </w:pPr>
            <w:r>
              <w:t xml:space="preserve">保障政务服务执行，有效提升政务服务能力</w:t>
            </w: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满意程度 </w:t>
            </w:r>
          </w:p>
        </w:tc>
        <w:tc>
          <w:tcPr>
            <w:tcW w:w="5386" w:type="dxa"/>
            <w:vAlign w:val="center"/>
          </w:tcPr>
          <w:p>
            <w:pPr>
              <w:pStyle w:val="单元格样式2"/>
            </w:pPr>
            <w:r>
              <w:t xml:space="preserve">满意程度 </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5、智慧城市项目运行维护绩效目标表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13010926P000134100103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智慧城市项目运行维护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通过智慧城市项目运行维护经费更好地完成工作业务，为人民群众更加便捷高效地办事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80.00</w:t>
            </w:r>
          </w:p>
        </w:tc>
        <w:tc>
          <w:tcPr>
            <w:tcW w:w="2835" w:type="dxa"/>
            <w:vAlign w:val="center"/>
          </w:tcPr>
          <w:p>
            <w:pPr>
              <w:pStyle w:val="单元格样式3"/>
            </w:pPr>
            <w:r>
              <w:t xml:space="preserve">120.00</w:t>
            </w:r>
          </w:p>
        </w:tc>
        <w:tc>
          <w:tcPr>
            <w:tcW w:w="2551" w:type="dxa"/>
            <w:vAlign w:val="center"/>
          </w:tcPr>
          <w:p>
            <w:pPr>
              <w:pStyle w:val="单元格样式3"/>
            </w:pPr>
            <w:r>
              <w:t xml:space="preserve">180.00</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1.通过智慧城市项目运行维护经费更好地完成工作业务，为人民群众更加便捷高效地办事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维护覆盖情况</w:t>
            </w:r>
          </w:p>
        </w:tc>
        <w:tc>
          <w:tcPr>
            <w:tcW w:w="5386" w:type="dxa"/>
            <w:vAlign w:val="center"/>
          </w:tcPr>
          <w:p>
            <w:pPr>
              <w:pStyle w:val="单元格样式2"/>
            </w:pPr>
            <w:r>
              <w:t xml:space="preserve">维护覆盖情况</w:t>
            </w:r>
          </w:p>
        </w:tc>
        <w:tc>
          <w:tcPr>
            <w:tcW w:w="2268" w:type="dxa"/>
            <w:vAlign w:val="center"/>
          </w:tcPr>
          <w:p>
            <w:pPr>
              <w:pStyle w:val="单元格样式2"/>
            </w:pPr>
            <w:r>
              <w:t xml:space="preserve">全面覆盖</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≤200万元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保障相关业务、工作等开展的情况</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满意程度 </w:t>
            </w:r>
          </w:p>
        </w:tc>
        <w:tc>
          <w:tcPr>
            <w:tcW w:w="5386" w:type="dxa"/>
            <w:vAlign w:val="center"/>
          </w:tcPr>
          <w:p>
            <w:pPr>
              <w:pStyle w:val="单元格样式2"/>
            </w:pPr>
            <w:r>
              <w:t xml:space="preserve">满意程度 </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6、租赁办公用房费用绩效目标表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13010926P00013410009P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租赁办公用房费用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预算资金56万元，用于租赁办公用房费用项目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28.00</w:t>
            </w:r>
          </w:p>
        </w:tc>
        <w:tc>
          <w:tcPr>
            <w:tcW w:w="2551" w:type="dxa"/>
            <w:vAlign w:val="center"/>
          </w:tcPr>
          <w:p>
            <w:pPr>
              <w:pStyle w:val="单元格样式3"/>
            </w:pPr>
            <w:r>
              <w:t xml:space="preserve">50.40</w:t>
            </w:r>
          </w:p>
        </w:tc>
        <w:tc>
          <w:tcPr>
            <w:tcW w:w="3544" w:type="dxa"/>
            <w:gridSpan w:val="2"/>
            <w:vAlign w:val="center"/>
          </w:tcPr>
          <w:p>
            <w:pPr>
              <w:pStyle w:val="单元格样式3"/>
            </w:pPr>
            <w:r>
              <w:t xml:space="preserve">56.00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1.过租赁办公用房，为数据和政务服务局办理业务提供场所，保障工作正常进行。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房屋租赁面积</w:t>
            </w:r>
          </w:p>
        </w:tc>
        <w:tc>
          <w:tcPr>
            <w:tcW w:w="5386" w:type="dxa"/>
            <w:vAlign w:val="center"/>
          </w:tcPr>
          <w:p>
            <w:pPr>
              <w:pStyle w:val="单元格样式2"/>
            </w:pPr>
            <w:r>
              <w:t xml:space="preserve">房屋租赁面积</w:t>
            </w:r>
          </w:p>
        </w:tc>
        <w:tc>
          <w:tcPr>
            <w:tcW w:w="2268" w:type="dxa"/>
            <w:vAlign w:val="center"/>
          </w:tcPr>
          <w:p>
            <w:pPr>
              <w:pStyle w:val="单元格样式2"/>
            </w:pPr>
            <w:r>
              <w:t xml:space="preserve">≥2600平方米</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租赁合同</w:t>
            </w:r>
          </w:p>
        </w:tc>
        <w:tc>
          <w:tcPr>
            <w:tcW w:w="5386" w:type="dxa"/>
            <w:vAlign w:val="center"/>
          </w:tcPr>
          <w:p>
            <w:pPr>
              <w:pStyle w:val="单元格样式2"/>
            </w:pPr>
            <w:r>
              <w:t xml:space="preserve">保质完成</w:t>
            </w:r>
          </w:p>
        </w:tc>
        <w:tc>
          <w:tcPr>
            <w:tcW w:w="2268" w:type="dxa"/>
            <w:vAlign w:val="center"/>
          </w:tcPr>
          <w:p>
            <w:pPr>
              <w:pStyle w:val="单元格样式2"/>
            </w:pPr>
            <w:r>
              <w:t xml:space="preserve">保质完成</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支付完成及时</w:t>
            </w:r>
          </w:p>
        </w:tc>
        <w:tc>
          <w:tcPr>
            <w:tcW w:w="5386" w:type="dxa"/>
            <w:vAlign w:val="center"/>
          </w:tcPr>
          <w:p>
            <w:pPr>
              <w:pStyle w:val="单元格样式2"/>
            </w:pPr>
            <w:r>
              <w:t xml:space="preserve">支付完成及时</w:t>
            </w:r>
          </w:p>
        </w:tc>
        <w:tc>
          <w:tcPr>
            <w:tcW w:w="2268" w:type="dxa"/>
            <w:vAlign w:val="center"/>
          </w:tcPr>
          <w:p>
            <w:pPr>
              <w:pStyle w:val="单元格样式2"/>
            </w:pPr>
            <w:r>
              <w:t xml:space="preserve">按照合同，每半年支付一次</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vAlign w:val="center"/>
          </w:tcPr>
          <w:p>
            <w:pPr>
              <w:pStyle w:val="单元格样式2"/>
            </w:pPr>
            <w:r>
              <w:t xml:space="preserve">每平方米所需的资金成本</w:t>
            </w:r>
          </w:p>
        </w:tc>
        <w:tc>
          <w:tcPr>
            <w:tcW w:w="2268" w:type="dxa"/>
            <w:vAlign w:val="center"/>
          </w:tcPr>
          <w:p>
            <w:pPr>
              <w:pStyle w:val="单元格样式2"/>
            </w:pPr>
            <w:r>
              <w:t xml:space="preserve">≤215平方米</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保障机关工作正常高效运转</w:t>
            </w:r>
          </w:p>
        </w:tc>
        <w:tc>
          <w:tcPr>
            <w:tcW w:w="5386" w:type="dxa"/>
            <w:vAlign w:val="center"/>
          </w:tcPr>
          <w:p>
            <w:pPr>
              <w:pStyle w:val="单元格样式2"/>
            </w:pPr>
            <w:r>
              <w:t xml:space="preserve">保障机关工作正常高效运转</w:t>
            </w:r>
          </w:p>
        </w:tc>
        <w:tc>
          <w:tcPr>
            <w:tcW w:w="2268" w:type="dxa"/>
            <w:vAlign w:val="center"/>
          </w:tcPr>
          <w:p>
            <w:pPr>
              <w:pStyle w:val="单元格样式2"/>
            </w:pPr>
            <w:r>
              <w:t xml:space="preserve">有效保障</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房屋使用者满意度</w:t>
            </w:r>
          </w:p>
        </w:tc>
        <w:tc>
          <w:tcPr>
            <w:tcW w:w="5386" w:type="dxa"/>
            <w:vAlign w:val="center"/>
          </w:tcPr>
          <w:p>
            <w:pPr>
              <w:pStyle w:val="单元格样式2"/>
            </w:pPr>
            <w:r>
              <w:t xml:space="preserve">房屋使用者满意度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215.00</w:t>
            </w:r>
          </w:p>
        </w:tc>
        <w:tc>
          <w:tcPr>
            <w:tcW w:w="964" w:type="dxa"/>
            <w:vAlign w:val="center"/>
          </w:tcPr>
          <w:p>
            <w:pPr>
              <w:pStyle w:val="单元格样式7"/>
            </w:pPr>
            <w:r>
              <w:t xml:space="preserve">15.00</w:t>
            </w:r>
          </w:p>
        </w:tc>
        <w:tc>
          <w:tcPr>
            <w:tcW w:w="964" w:type="dxa"/>
            <w:vAlign w:val="center"/>
          </w:tcPr>
          <w:p>
            <w:pPr>
              <w:pStyle w:val="单元格样式7"/>
            </w:pPr>
            <w:r>
              <w:t xml:space="preserve">200.00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215.00</w:t>
            </w:r>
          </w:p>
        </w:tc>
      </w:tr>
      <w:tr>
        <w:tblPrEx>
          <w:jc w:val="center"/>
          <w:tblLayout w:type="fixed"/>
        </w:tblPrEx>
        <w:trPr>
          <w:jc w:val="center"/>
        </w:trPr>
        <w:tc>
          <w:tcPr>
            <w:tcW w:w="1701" w:type="dxa"/>
            <w:vAlign w:val="center"/>
          </w:tcPr>
          <w:p>
            <w:pPr>
              <w:pStyle w:val="单元格样式6"/>
            </w:pPr>
            <w:r>
              <w:t xml:space="preserve">石家庄市藁城区数据和政务服务局本级小计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215.00</w:t>
            </w:r>
          </w:p>
        </w:tc>
        <w:tc>
          <w:tcPr>
            <w:tcW w:w="964" w:type="dxa"/>
            <w:vAlign w:val="center"/>
          </w:tcPr>
          <w:p>
            <w:pPr>
              <w:pStyle w:val="单元格样式7"/>
            </w:pPr>
            <w:r>
              <w:t xml:space="preserve">15.00</w:t>
            </w:r>
          </w:p>
        </w:tc>
        <w:tc>
          <w:tcPr>
            <w:tcW w:w="964" w:type="dxa"/>
            <w:vAlign w:val="center"/>
          </w:tcPr>
          <w:p>
            <w:pPr>
              <w:pStyle w:val="单元格样式7"/>
            </w:pPr>
            <w:r>
              <w:t xml:space="preserve">200.00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215.00</w:t>
            </w:r>
          </w:p>
        </w:tc>
      </w:tr>
      <w:tr>
        <w:tblPrEx>
          <w:jc w:val="center"/>
          <w:tblLayout w:type="fixed"/>
        </w:tblPrEx>
        <w:trPr>
          <w:jc w:val="center"/>
        </w:trPr>
        <w:tc>
          <w:tcPr>
            <w:tcW w:w="1701" w:type="dxa"/>
            <w:vAlign w:val="center"/>
          </w:tcPr>
          <w:p>
            <w:pPr>
              <w:pStyle w:val="单元格样式2"/>
            </w:pPr>
            <w:r>
              <w:t xml:space="preserve">第三方中介服务费</w:t>
            </w:r>
          </w:p>
        </w:tc>
        <w:tc>
          <w:tcPr>
            <w:tcW w:w="964" w:type="dxa"/>
            <w:vAlign w:val="center"/>
          </w:tcPr>
          <w:p>
            <w:pPr>
              <w:pStyle w:val="单元格样式4"/>
            </w:pPr>
            <w:r>
              <w:t xml:space="preserve">15.00</w:t>
            </w:r>
          </w:p>
        </w:tc>
        <w:tc>
          <w:tcPr>
            <w:tcW w:w="1134" w:type="dxa"/>
            <w:vAlign w:val="center"/>
          </w:tcPr>
          <w:p>
            <w:pPr>
              <w:pStyle w:val="单元格样式2"/>
            </w:pPr>
            <w:r>
              <w:t xml:space="preserve">评审咨询服务</w:t>
            </w:r>
          </w:p>
        </w:tc>
        <w:tc>
          <w:tcPr>
            <w:tcW w:w="1134" w:type="dxa"/>
            <w:vAlign w:val="center"/>
          </w:tcPr>
          <w:p>
            <w:pPr>
              <w:pStyle w:val="单元格样式2"/>
            </w:pPr>
            <w:r>
              <w:t xml:space="preserve">C20030900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15.00</w:t>
            </w:r>
          </w:p>
        </w:tc>
        <w:tc>
          <w:tcPr>
            <w:tcW w:w="964" w:type="dxa"/>
            <w:vAlign w:val="center"/>
          </w:tcPr>
          <w:p>
            <w:pPr>
              <w:pStyle w:val="单元格样式4"/>
            </w:pPr>
            <w:r>
              <w:t xml:space="preserve">15.00</w:t>
            </w:r>
          </w:p>
        </w:tc>
        <w:tc>
          <w:tcPr>
            <w:tcW w:w="964" w:type="dxa"/>
            <w:vAlign w:val="center"/>
          </w:tcPr>
          <w:p>
            <w:pPr>
              <w:pStyle w:val="单元格样式4"/>
            </w:pPr>
            <w:r>
              <w:t xml:space="preserve">15.00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15.00</w:t>
            </w:r>
          </w:p>
        </w:tc>
      </w:tr>
      <w:tr>
        <w:tblPrEx>
          <w:jc w:val="center"/>
          <w:tblLayout w:type="fixed"/>
        </w:tblPrEx>
        <w:trPr>
          <w:jc w:val="center"/>
        </w:trPr>
        <w:tc>
          <w:tcPr>
            <w:tcW w:w="1701" w:type="dxa"/>
            <w:vAlign w:val="center"/>
          </w:tcPr>
          <w:p>
            <w:pPr>
              <w:pStyle w:val="单元格样式2"/>
            </w:pPr>
            <w:r>
              <w:t xml:space="preserve">智慧城市项目运行维护</w:t>
            </w:r>
          </w:p>
        </w:tc>
        <w:tc>
          <w:tcPr>
            <w:tcW w:w="964" w:type="dxa"/>
            <w:vAlign w:val="center"/>
          </w:tcPr>
          <w:p>
            <w:pPr>
              <w:pStyle w:val="单元格样式4"/>
            </w:pPr>
            <w:r>
              <w:t xml:space="preserve">200.00</w:t>
            </w:r>
          </w:p>
        </w:tc>
        <w:tc>
          <w:tcPr>
            <w:tcW w:w="1134" w:type="dxa"/>
            <w:vAlign w:val="center"/>
          </w:tcPr>
          <w:p>
            <w:pPr>
              <w:pStyle w:val="单元格样式2"/>
            </w:pPr>
            <w:r>
              <w:t xml:space="preserve">基础环境运维服务</w:t>
            </w:r>
          </w:p>
        </w:tc>
        <w:tc>
          <w:tcPr>
            <w:tcW w:w="1134" w:type="dxa"/>
            <w:vAlign w:val="center"/>
          </w:tcPr>
          <w:p>
            <w:pPr>
              <w:pStyle w:val="单元格样式2"/>
            </w:pPr>
            <w:r>
              <w:t xml:space="preserve">C16070100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200.00</w:t>
            </w:r>
          </w:p>
        </w:tc>
        <w:tc>
          <w:tcPr>
            <w:tcW w:w="964" w:type="dxa"/>
            <w:vAlign w:val="center"/>
          </w:tcPr>
          <w:p>
            <w:pPr>
              <w:pStyle w:val="单元格样式4"/>
            </w:pPr>
            <w:r>
              <w:t xml:space="preserve">200.00</w:t>
            </w:r>
          </w:p>
        </w:tc>
        <w:tc>
          <w:tcPr>
            <w:tcW w:w="964" w:type="dxa"/>
            <w:vAlign w:val="center"/>
          </w:tcPr>
          <w:p>
            <w:pPr>
              <w:pStyle w:val="单元格样式4"/>
            </w:pPr>
          </w:p>
        </w:tc>
        <w:tc>
          <w:tcPr>
            <w:tcW w:w="964" w:type="dxa"/>
            <w:vAlign w:val="center"/>
          </w:tcPr>
          <w:p>
            <w:pPr>
              <w:pStyle w:val="单元格样式4"/>
            </w:pPr>
            <w:r>
              <w:t xml:space="preserve">200.00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石家庄市藁城区数据和政务服务局本级上年末固定资产金额为274.04万元（详见下表）。本年度拟购置固定资产总额为0.00万元，已按要求列入政府采购预算，详见政府采购预算表。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302001石家庄市藁城区数据和政务服务局本级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274.04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282</w:t>
            </w:r>
          </w:p>
        </w:tc>
        <w:tc>
          <w:tcPr>
            <w:tcW w:w="2835" w:type="dxa"/>
            <w:vAlign w:val="center"/>
          </w:tcPr>
          <w:p>
            <w:pPr>
              <w:pStyle w:val="单元格样式4"/>
            </w:pPr>
            <w:r>
              <w:t xml:space="preserve">274.04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2026-02-28T15:30:31Z</dcterms:created>
  <dcterms:modified xsi:type="dcterms:W3CDTF">2026-02-28T15:30:31Z</dcterms:modified>
</cp:coreProperties>
</file>