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一、石家庄市藁城区梅花镇人民政府本级收支预算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一、石家庄市藁城区梅花镇人民政府本级收支预算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1664.66</w:t>
            </w:r>
          </w:p>
        </w:tc>
        <w:tc>
          <w:tcPr>
            <w:tcW w:w="4535" w:type="dxa"/>
            <w:vAlign w:val="center"/>
          </w:tcPr>
          <w:p>
            <w:pPr>
              <w:pStyle w:val="12"/>
            </w:pPr>
            <w:r>
              <w:t>一、一般公共服务支出</w:t>
            </w:r>
          </w:p>
        </w:tc>
        <w:tc>
          <w:tcPr>
            <w:tcW w:w="2126" w:type="dxa"/>
            <w:vAlign w:val="center"/>
          </w:tcPr>
          <w:p>
            <w:pPr>
              <w:pStyle w:val="11"/>
            </w:pPr>
            <w:r>
              <w:t>1308.73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1664.66</w:t>
            </w:r>
          </w:p>
        </w:tc>
        <w:tc>
          <w:tcPr>
            <w:tcW w:w="4535" w:type="dxa"/>
            <w:vAlign w:val="center"/>
          </w:tcPr>
          <w:p>
            <w:pPr>
              <w:pStyle w:val="14"/>
            </w:pPr>
            <w:r>
              <w:t>本年支出合计</w:t>
            </w:r>
          </w:p>
        </w:tc>
        <w:tc>
          <w:tcPr>
            <w:tcW w:w="2126" w:type="dxa"/>
            <w:vAlign w:val="center"/>
          </w:tcPr>
          <w:p>
            <w:pPr>
              <w:pStyle w:val="15"/>
            </w:pPr>
            <w:r>
              <w:t>1732.66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68.00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1732.66</w:t>
            </w:r>
          </w:p>
        </w:tc>
        <w:tc>
          <w:tcPr>
            <w:tcW w:w="4535" w:type="dxa"/>
            <w:vAlign w:val="center"/>
          </w:tcPr>
          <w:p>
            <w:pPr>
              <w:pStyle w:val="14"/>
            </w:pPr>
            <w:r>
              <w:t>支出总计</w:t>
            </w:r>
          </w:p>
        </w:tc>
        <w:tc>
          <w:tcPr>
            <w:tcW w:w="2126" w:type="dxa"/>
            <w:vAlign w:val="center"/>
          </w:tcPr>
          <w:p>
            <w:pPr>
              <w:pStyle w:val="15"/>
            </w:pPr>
            <w:r>
              <w:t>1732.66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1732.66</w:t>
            </w:r>
          </w:p>
        </w:tc>
        <w:tc>
          <w:tcPr>
            <w:tcW w:w="1134" w:type="dxa"/>
            <w:vAlign w:val="center"/>
          </w:tcPr>
          <w:p>
            <w:pPr>
              <w:pStyle w:val="15"/>
            </w:pPr>
            <w:r>
              <w:t>1664.66</w:t>
            </w:r>
          </w:p>
        </w:tc>
        <w:tc>
          <w:tcPr>
            <w:tcW w:w="1134" w:type="dxa"/>
            <w:vAlign w:val="center"/>
          </w:tcPr>
          <w:p>
            <w:pPr>
              <w:pStyle w:val="15"/>
            </w:pPr>
            <w:r>
              <w:t>1664.66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1308.73</w:t>
            </w:r>
          </w:p>
        </w:tc>
        <w:tc>
          <w:tcPr>
            <w:tcW w:w="1134" w:type="dxa"/>
            <w:vAlign w:val="center"/>
          </w:tcPr>
          <w:p>
            <w:pPr>
              <w:pStyle w:val="11"/>
            </w:pPr>
            <w:r>
              <w:t>1308.73</w:t>
            </w:r>
          </w:p>
        </w:tc>
        <w:tc>
          <w:tcPr>
            <w:tcW w:w="1134" w:type="dxa"/>
            <w:vAlign w:val="center"/>
          </w:tcPr>
          <w:p>
            <w:pPr>
              <w:pStyle w:val="11"/>
            </w:pPr>
            <w:r>
              <w:t>1308.73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1308.73</w:t>
            </w:r>
          </w:p>
        </w:tc>
        <w:tc>
          <w:tcPr>
            <w:tcW w:w="1134" w:type="dxa"/>
            <w:vAlign w:val="center"/>
          </w:tcPr>
          <w:p>
            <w:pPr>
              <w:pStyle w:val="11"/>
            </w:pPr>
            <w:r>
              <w:t>1308.73</w:t>
            </w:r>
          </w:p>
        </w:tc>
        <w:tc>
          <w:tcPr>
            <w:tcW w:w="1134" w:type="dxa"/>
            <w:vAlign w:val="center"/>
          </w:tcPr>
          <w:p>
            <w:pPr>
              <w:pStyle w:val="11"/>
            </w:pPr>
            <w:r>
              <w:t>1308.73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1077.30</w:t>
            </w:r>
          </w:p>
        </w:tc>
        <w:tc>
          <w:tcPr>
            <w:tcW w:w="1134" w:type="dxa"/>
            <w:vAlign w:val="center"/>
          </w:tcPr>
          <w:p>
            <w:pPr>
              <w:pStyle w:val="11"/>
            </w:pPr>
            <w:r>
              <w:t>1077.30</w:t>
            </w:r>
          </w:p>
        </w:tc>
        <w:tc>
          <w:tcPr>
            <w:tcW w:w="1134" w:type="dxa"/>
            <w:vAlign w:val="center"/>
          </w:tcPr>
          <w:p>
            <w:pPr>
              <w:pStyle w:val="11"/>
            </w:pPr>
            <w:r>
              <w:t>1077.30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231.43</w:t>
            </w:r>
          </w:p>
        </w:tc>
        <w:tc>
          <w:tcPr>
            <w:tcW w:w="1134" w:type="dxa"/>
            <w:vAlign w:val="center"/>
          </w:tcPr>
          <w:p>
            <w:pPr>
              <w:pStyle w:val="11"/>
            </w:pPr>
            <w:r>
              <w:t>231.43</w:t>
            </w:r>
          </w:p>
        </w:tc>
        <w:tc>
          <w:tcPr>
            <w:tcW w:w="1134" w:type="dxa"/>
            <w:vAlign w:val="center"/>
          </w:tcPr>
          <w:p>
            <w:pPr>
              <w:pStyle w:val="11"/>
            </w:pPr>
            <w:r>
              <w:t>231.43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110.71</w:t>
            </w:r>
          </w:p>
        </w:tc>
        <w:tc>
          <w:tcPr>
            <w:tcW w:w="1134" w:type="dxa"/>
            <w:vAlign w:val="center"/>
          </w:tcPr>
          <w:p>
            <w:pPr>
              <w:pStyle w:val="11"/>
            </w:pPr>
            <w:r>
              <w:t>110.71</w:t>
            </w:r>
          </w:p>
        </w:tc>
        <w:tc>
          <w:tcPr>
            <w:tcW w:w="1134" w:type="dxa"/>
            <w:vAlign w:val="center"/>
          </w:tcPr>
          <w:p>
            <w:pPr>
              <w:pStyle w:val="11"/>
            </w:pPr>
            <w:r>
              <w:t>110.71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106.83</w:t>
            </w:r>
          </w:p>
        </w:tc>
        <w:tc>
          <w:tcPr>
            <w:tcW w:w="1134" w:type="dxa"/>
            <w:vAlign w:val="center"/>
          </w:tcPr>
          <w:p>
            <w:pPr>
              <w:pStyle w:val="11"/>
            </w:pPr>
            <w:r>
              <w:t>106.83</w:t>
            </w:r>
          </w:p>
        </w:tc>
        <w:tc>
          <w:tcPr>
            <w:tcW w:w="1134" w:type="dxa"/>
            <w:vAlign w:val="center"/>
          </w:tcPr>
          <w:p>
            <w:pPr>
              <w:pStyle w:val="11"/>
            </w:pPr>
            <w:r>
              <w:t>106.83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106.83</w:t>
            </w:r>
          </w:p>
        </w:tc>
        <w:tc>
          <w:tcPr>
            <w:tcW w:w="1134" w:type="dxa"/>
            <w:vAlign w:val="center"/>
          </w:tcPr>
          <w:p>
            <w:pPr>
              <w:pStyle w:val="11"/>
            </w:pPr>
            <w:r>
              <w:t>106.83</w:t>
            </w:r>
          </w:p>
        </w:tc>
        <w:tc>
          <w:tcPr>
            <w:tcW w:w="1134" w:type="dxa"/>
            <w:vAlign w:val="center"/>
          </w:tcPr>
          <w:p>
            <w:pPr>
              <w:pStyle w:val="11"/>
            </w:pPr>
            <w:r>
              <w:t>106.83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54.28</w:t>
            </w:r>
          </w:p>
        </w:tc>
        <w:tc>
          <w:tcPr>
            <w:tcW w:w="1134" w:type="dxa"/>
            <w:vAlign w:val="center"/>
          </w:tcPr>
          <w:p>
            <w:pPr>
              <w:pStyle w:val="11"/>
            </w:pPr>
            <w:r>
              <w:t>54.28</w:t>
            </w:r>
          </w:p>
        </w:tc>
        <w:tc>
          <w:tcPr>
            <w:tcW w:w="1134" w:type="dxa"/>
            <w:vAlign w:val="center"/>
          </w:tcPr>
          <w:p>
            <w:pPr>
              <w:pStyle w:val="11"/>
            </w:pPr>
            <w:r>
              <w:t>54.28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50.28</w:t>
            </w:r>
          </w:p>
        </w:tc>
        <w:tc>
          <w:tcPr>
            <w:tcW w:w="1134" w:type="dxa"/>
            <w:vAlign w:val="center"/>
          </w:tcPr>
          <w:p>
            <w:pPr>
              <w:pStyle w:val="11"/>
            </w:pPr>
            <w:r>
              <w:t>50.28</w:t>
            </w:r>
          </w:p>
        </w:tc>
        <w:tc>
          <w:tcPr>
            <w:tcW w:w="1134" w:type="dxa"/>
            <w:vAlign w:val="center"/>
          </w:tcPr>
          <w:p>
            <w:pPr>
              <w:pStyle w:val="11"/>
            </w:pPr>
            <w:r>
              <w:t>50.28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35.49</w:t>
            </w:r>
          </w:p>
        </w:tc>
        <w:tc>
          <w:tcPr>
            <w:tcW w:w="1134" w:type="dxa"/>
            <w:vAlign w:val="center"/>
          </w:tcPr>
          <w:p>
            <w:pPr>
              <w:pStyle w:val="11"/>
            </w:pPr>
            <w:r>
              <w:t>35.49</w:t>
            </w:r>
          </w:p>
        </w:tc>
        <w:tc>
          <w:tcPr>
            <w:tcW w:w="1134" w:type="dxa"/>
            <w:vAlign w:val="center"/>
          </w:tcPr>
          <w:p>
            <w:pPr>
              <w:pStyle w:val="11"/>
            </w:pPr>
            <w:r>
              <w:t>35.49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14.79</w:t>
            </w:r>
          </w:p>
        </w:tc>
        <w:tc>
          <w:tcPr>
            <w:tcW w:w="1134" w:type="dxa"/>
            <w:vAlign w:val="center"/>
          </w:tcPr>
          <w:p>
            <w:pPr>
              <w:pStyle w:val="11"/>
            </w:pPr>
            <w:r>
              <w:t>14.79</w:t>
            </w:r>
          </w:p>
        </w:tc>
        <w:tc>
          <w:tcPr>
            <w:tcW w:w="1134" w:type="dxa"/>
            <w:vAlign w:val="center"/>
          </w:tcPr>
          <w:p>
            <w:pPr>
              <w:pStyle w:val="11"/>
            </w:pPr>
            <w:r>
              <w:t>14.79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138.00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138.00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15.19</w:t>
            </w:r>
          </w:p>
        </w:tc>
        <w:tc>
          <w:tcPr>
            <w:tcW w:w="1134" w:type="dxa"/>
            <w:vAlign w:val="center"/>
          </w:tcPr>
          <w:p>
            <w:pPr>
              <w:pStyle w:val="11"/>
            </w:pPr>
            <w:r>
              <w:t>15.19</w:t>
            </w:r>
          </w:p>
        </w:tc>
        <w:tc>
          <w:tcPr>
            <w:tcW w:w="1134" w:type="dxa"/>
            <w:vAlign w:val="center"/>
          </w:tcPr>
          <w:p>
            <w:pPr>
              <w:pStyle w:val="11"/>
            </w:pPr>
            <w:r>
              <w:t>15.19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15.19</w:t>
            </w:r>
          </w:p>
        </w:tc>
        <w:tc>
          <w:tcPr>
            <w:tcW w:w="1134" w:type="dxa"/>
            <w:vAlign w:val="center"/>
          </w:tcPr>
          <w:p>
            <w:pPr>
              <w:pStyle w:val="11"/>
            </w:pPr>
            <w:r>
              <w:t>15.19</w:t>
            </w:r>
          </w:p>
        </w:tc>
        <w:tc>
          <w:tcPr>
            <w:tcW w:w="1134" w:type="dxa"/>
            <w:vAlign w:val="center"/>
          </w:tcPr>
          <w:p>
            <w:pPr>
              <w:pStyle w:val="11"/>
            </w:pPr>
            <w:r>
              <w:t>15.19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15.19</w:t>
            </w:r>
          </w:p>
        </w:tc>
        <w:tc>
          <w:tcPr>
            <w:tcW w:w="1134" w:type="dxa"/>
            <w:vAlign w:val="center"/>
          </w:tcPr>
          <w:p>
            <w:pPr>
              <w:pStyle w:val="11"/>
            </w:pPr>
            <w:r>
              <w:t>15.19</w:t>
            </w:r>
          </w:p>
        </w:tc>
        <w:tc>
          <w:tcPr>
            <w:tcW w:w="1134" w:type="dxa"/>
            <w:vAlign w:val="center"/>
          </w:tcPr>
          <w:p>
            <w:pPr>
              <w:pStyle w:val="11"/>
            </w:pPr>
            <w:r>
              <w:t>15.19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78.55</w:t>
            </w:r>
          </w:p>
        </w:tc>
        <w:tc>
          <w:tcPr>
            <w:tcW w:w="1134" w:type="dxa"/>
            <w:vAlign w:val="center"/>
          </w:tcPr>
          <w:p>
            <w:pPr>
              <w:pStyle w:val="11"/>
            </w:pPr>
            <w:r>
              <w:t>78.55</w:t>
            </w:r>
          </w:p>
        </w:tc>
        <w:tc>
          <w:tcPr>
            <w:tcW w:w="1134" w:type="dxa"/>
            <w:vAlign w:val="center"/>
          </w:tcPr>
          <w:p>
            <w:pPr>
              <w:pStyle w:val="11"/>
            </w:pPr>
            <w:r>
              <w:t>78.55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78.55</w:t>
            </w:r>
          </w:p>
        </w:tc>
        <w:tc>
          <w:tcPr>
            <w:tcW w:w="1134" w:type="dxa"/>
            <w:vAlign w:val="center"/>
          </w:tcPr>
          <w:p>
            <w:pPr>
              <w:pStyle w:val="11"/>
            </w:pPr>
            <w:r>
              <w:t>78.55</w:t>
            </w:r>
          </w:p>
        </w:tc>
        <w:tc>
          <w:tcPr>
            <w:tcW w:w="1134" w:type="dxa"/>
            <w:vAlign w:val="center"/>
          </w:tcPr>
          <w:p>
            <w:pPr>
              <w:pStyle w:val="11"/>
            </w:pPr>
            <w:r>
              <w:t>78.55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78.55</w:t>
            </w:r>
          </w:p>
        </w:tc>
        <w:tc>
          <w:tcPr>
            <w:tcW w:w="1134" w:type="dxa"/>
            <w:vAlign w:val="center"/>
          </w:tcPr>
          <w:p>
            <w:pPr>
              <w:pStyle w:val="11"/>
            </w:pPr>
            <w:r>
              <w:t>78.55</w:t>
            </w:r>
          </w:p>
        </w:tc>
        <w:tc>
          <w:tcPr>
            <w:tcW w:w="1134" w:type="dxa"/>
            <w:vAlign w:val="center"/>
          </w:tcPr>
          <w:p>
            <w:pPr>
              <w:pStyle w:val="11"/>
            </w:pPr>
            <w:r>
              <w:t>78.55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1732.66</w:t>
            </w:r>
          </w:p>
        </w:tc>
        <w:tc>
          <w:tcPr>
            <w:tcW w:w="1361" w:type="dxa"/>
            <w:vAlign w:val="center"/>
          </w:tcPr>
          <w:p>
            <w:pPr>
              <w:pStyle w:val="15"/>
            </w:pPr>
            <w:r>
              <w:t>1312.95</w:t>
            </w:r>
          </w:p>
        </w:tc>
        <w:tc>
          <w:tcPr>
            <w:tcW w:w="1361" w:type="dxa"/>
            <w:vAlign w:val="center"/>
          </w:tcPr>
          <w:p>
            <w:pPr>
              <w:pStyle w:val="15"/>
            </w:pPr>
            <w:r>
              <w:t>419.70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1308.73</w:t>
            </w:r>
          </w:p>
        </w:tc>
        <w:tc>
          <w:tcPr>
            <w:tcW w:w="1361" w:type="dxa"/>
            <w:vAlign w:val="center"/>
          </w:tcPr>
          <w:p>
            <w:pPr>
              <w:pStyle w:val="11"/>
            </w:pPr>
            <w:r>
              <w:t>1077.30</w:t>
            </w:r>
          </w:p>
        </w:tc>
        <w:tc>
          <w:tcPr>
            <w:tcW w:w="1361" w:type="dxa"/>
            <w:vAlign w:val="center"/>
          </w:tcPr>
          <w:p>
            <w:pPr>
              <w:pStyle w:val="11"/>
            </w:pPr>
            <w:r>
              <w:t>231.43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1308.73</w:t>
            </w:r>
          </w:p>
        </w:tc>
        <w:tc>
          <w:tcPr>
            <w:tcW w:w="1361" w:type="dxa"/>
            <w:vAlign w:val="center"/>
          </w:tcPr>
          <w:p>
            <w:pPr>
              <w:pStyle w:val="11"/>
            </w:pPr>
            <w:r>
              <w:t>1077.30</w:t>
            </w:r>
          </w:p>
        </w:tc>
        <w:tc>
          <w:tcPr>
            <w:tcW w:w="1361" w:type="dxa"/>
            <w:vAlign w:val="center"/>
          </w:tcPr>
          <w:p>
            <w:pPr>
              <w:pStyle w:val="11"/>
            </w:pPr>
            <w:r>
              <w:t>231.43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1077.30</w:t>
            </w:r>
          </w:p>
        </w:tc>
        <w:tc>
          <w:tcPr>
            <w:tcW w:w="1361" w:type="dxa"/>
            <w:vAlign w:val="center"/>
          </w:tcPr>
          <w:p>
            <w:pPr>
              <w:pStyle w:val="11"/>
            </w:pPr>
            <w:r>
              <w:t>1077.30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231.43</w:t>
            </w:r>
          </w:p>
        </w:tc>
        <w:tc>
          <w:tcPr>
            <w:tcW w:w="1361" w:type="dxa"/>
            <w:vAlign w:val="center"/>
          </w:tcPr>
          <w:p>
            <w:pPr>
              <w:pStyle w:val="11"/>
            </w:pPr>
          </w:p>
        </w:tc>
        <w:tc>
          <w:tcPr>
            <w:tcW w:w="1361" w:type="dxa"/>
            <w:vAlign w:val="center"/>
          </w:tcPr>
          <w:p>
            <w:pPr>
              <w:pStyle w:val="11"/>
            </w:pPr>
            <w:r>
              <w:t>231.43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110.71</w:t>
            </w:r>
          </w:p>
        </w:tc>
        <w:tc>
          <w:tcPr>
            <w:tcW w:w="1361" w:type="dxa"/>
            <w:vAlign w:val="center"/>
          </w:tcPr>
          <w:p>
            <w:pPr>
              <w:pStyle w:val="11"/>
            </w:pPr>
            <w:r>
              <w:t>106.83</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106.83</w:t>
            </w:r>
          </w:p>
        </w:tc>
        <w:tc>
          <w:tcPr>
            <w:tcW w:w="1361" w:type="dxa"/>
            <w:vAlign w:val="center"/>
          </w:tcPr>
          <w:p>
            <w:pPr>
              <w:pStyle w:val="11"/>
            </w:pPr>
            <w:r>
              <w:t>106.83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106.83</w:t>
            </w:r>
          </w:p>
        </w:tc>
        <w:tc>
          <w:tcPr>
            <w:tcW w:w="1361" w:type="dxa"/>
            <w:vAlign w:val="center"/>
          </w:tcPr>
          <w:p>
            <w:pPr>
              <w:pStyle w:val="11"/>
            </w:pPr>
            <w:r>
              <w:t>106.83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54.28</w:t>
            </w:r>
          </w:p>
        </w:tc>
        <w:tc>
          <w:tcPr>
            <w:tcW w:w="1361" w:type="dxa"/>
            <w:vAlign w:val="center"/>
          </w:tcPr>
          <w:p>
            <w:pPr>
              <w:pStyle w:val="11"/>
            </w:pPr>
            <w:r>
              <w:t>50.28</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2100199</w:t>
            </w:r>
          </w:p>
        </w:tc>
        <w:tc>
          <w:tcPr>
            <w:tcW w:w="4535" w:type="dxa"/>
            <w:vAlign w:val="center"/>
          </w:tcPr>
          <w:p>
            <w:pPr>
              <w:pStyle w:val="12"/>
            </w:pPr>
            <w:r>
              <w:t>其他卫生健康管理事务支出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50.28</w:t>
            </w:r>
          </w:p>
        </w:tc>
        <w:tc>
          <w:tcPr>
            <w:tcW w:w="1361" w:type="dxa"/>
            <w:vAlign w:val="center"/>
          </w:tcPr>
          <w:p>
            <w:pPr>
              <w:pStyle w:val="11"/>
            </w:pPr>
            <w:r>
              <w:t>50.28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35.49</w:t>
            </w:r>
          </w:p>
        </w:tc>
        <w:tc>
          <w:tcPr>
            <w:tcW w:w="1361" w:type="dxa"/>
            <w:vAlign w:val="center"/>
          </w:tcPr>
          <w:p>
            <w:pPr>
              <w:pStyle w:val="11"/>
            </w:pPr>
            <w:r>
              <w:t>35.49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14.79</w:t>
            </w:r>
          </w:p>
        </w:tc>
        <w:tc>
          <w:tcPr>
            <w:tcW w:w="1361" w:type="dxa"/>
            <w:vAlign w:val="center"/>
          </w:tcPr>
          <w:p>
            <w:pPr>
              <w:pStyle w:val="11"/>
            </w:pPr>
            <w:r>
              <w:t>14.79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68.00</w:t>
            </w:r>
          </w:p>
        </w:tc>
        <w:tc>
          <w:tcPr>
            <w:tcW w:w="1361" w:type="dxa"/>
            <w:vAlign w:val="center"/>
          </w:tcPr>
          <w:p>
            <w:pPr>
              <w:pStyle w:val="11"/>
            </w:pPr>
          </w:p>
        </w:tc>
        <w:tc>
          <w:tcPr>
            <w:tcW w:w="1361" w:type="dxa"/>
            <w:vAlign w:val="center"/>
          </w:tcPr>
          <w:p>
            <w:pPr>
              <w:pStyle w:val="11"/>
            </w:pPr>
            <w:r>
              <w:t>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15.19</w:t>
            </w:r>
          </w:p>
        </w:tc>
        <w:tc>
          <w:tcPr>
            <w:tcW w:w="1361" w:type="dxa"/>
            <w:vAlign w:val="center"/>
          </w:tcPr>
          <w:p>
            <w:pPr>
              <w:pStyle w:val="11"/>
            </w:pPr>
          </w:p>
        </w:tc>
        <w:tc>
          <w:tcPr>
            <w:tcW w:w="1361" w:type="dxa"/>
            <w:vAlign w:val="center"/>
          </w:tcPr>
          <w:p>
            <w:pPr>
              <w:pStyle w:val="11"/>
            </w:pPr>
            <w:r>
              <w:t>15.19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15.19</w:t>
            </w:r>
          </w:p>
        </w:tc>
        <w:tc>
          <w:tcPr>
            <w:tcW w:w="1361" w:type="dxa"/>
            <w:vAlign w:val="center"/>
          </w:tcPr>
          <w:p>
            <w:pPr>
              <w:pStyle w:val="11"/>
            </w:pPr>
          </w:p>
        </w:tc>
        <w:tc>
          <w:tcPr>
            <w:tcW w:w="1361" w:type="dxa"/>
            <w:vAlign w:val="center"/>
          </w:tcPr>
          <w:p>
            <w:pPr>
              <w:pStyle w:val="11"/>
            </w:pPr>
            <w:r>
              <w:t>15.19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15.19</w:t>
            </w:r>
          </w:p>
        </w:tc>
        <w:tc>
          <w:tcPr>
            <w:tcW w:w="1361" w:type="dxa"/>
            <w:vAlign w:val="center"/>
          </w:tcPr>
          <w:p>
            <w:pPr>
              <w:pStyle w:val="11"/>
            </w:pPr>
          </w:p>
        </w:tc>
        <w:tc>
          <w:tcPr>
            <w:tcW w:w="1361" w:type="dxa"/>
            <w:vAlign w:val="center"/>
          </w:tcPr>
          <w:p>
            <w:pPr>
              <w:pStyle w:val="11"/>
            </w:pPr>
            <w:r>
              <w:t>15.19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78.55</w:t>
            </w:r>
          </w:p>
        </w:tc>
        <w:tc>
          <w:tcPr>
            <w:tcW w:w="1361" w:type="dxa"/>
            <w:vAlign w:val="center"/>
          </w:tcPr>
          <w:p>
            <w:pPr>
              <w:pStyle w:val="11"/>
            </w:pPr>
            <w:r>
              <w:t>78.55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78.55</w:t>
            </w:r>
          </w:p>
        </w:tc>
        <w:tc>
          <w:tcPr>
            <w:tcW w:w="1361" w:type="dxa"/>
            <w:vAlign w:val="center"/>
          </w:tcPr>
          <w:p>
            <w:pPr>
              <w:pStyle w:val="11"/>
            </w:pPr>
            <w:r>
              <w:t>78.55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78.55</w:t>
            </w:r>
          </w:p>
        </w:tc>
        <w:tc>
          <w:tcPr>
            <w:tcW w:w="1361" w:type="dxa"/>
            <w:vAlign w:val="center"/>
          </w:tcPr>
          <w:p>
            <w:pPr>
              <w:pStyle w:val="11"/>
            </w:pPr>
            <w:r>
              <w:t>78.55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1664.66</w:t>
            </w:r>
          </w:p>
        </w:tc>
        <w:tc>
          <w:tcPr>
            <w:tcW w:w="3402" w:type="dxa"/>
            <w:vAlign w:val="center"/>
          </w:tcPr>
          <w:p>
            <w:pPr>
              <w:pStyle w:val="12"/>
            </w:pPr>
            <w:r>
              <w:t>一、一般公共服务支出</w:t>
            </w:r>
          </w:p>
        </w:tc>
        <w:tc>
          <w:tcPr>
            <w:tcW w:w="1474" w:type="dxa"/>
            <w:vAlign w:val="center"/>
          </w:tcPr>
          <w:p>
            <w:pPr>
              <w:pStyle w:val="11"/>
            </w:pPr>
            <w:r>
              <w:t>1308.73</w:t>
            </w:r>
          </w:p>
        </w:tc>
        <w:tc>
          <w:tcPr>
            <w:tcW w:w="1474" w:type="dxa"/>
            <w:vAlign w:val="center"/>
          </w:tcPr>
          <w:p>
            <w:pPr>
              <w:pStyle w:val="11"/>
            </w:pPr>
            <w:r>
              <w:t>1308.73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27.20</w:t>
            </w:r>
          </w:p>
        </w:tc>
        <w:tc>
          <w:tcPr>
            <w:tcW w:w="1474" w:type="dxa"/>
            <w:vAlign w:val="center"/>
          </w:tcPr>
          <w:p>
            <w:pPr>
              <w:pStyle w:val="11"/>
            </w:pPr>
            <w:r>
              <w:t>27.20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110.71</w:t>
            </w:r>
          </w:p>
        </w:tc>
        <w:tc>
          <w:tcPr>
            <w:tcW w:w="1474" w:type="dxa"/>
            <w:vAlign w:val="center"/>
          </w:tcPr>
          <w:p>
            <w:pPr>
              <w:pStyle w:val="11"/>
            </w:pPr>
            <w:r>
              <w:t>110.71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54.28</w:t>
            </w:r>
          </w:p>
        </w:tc>
        <w:tc>
          <w:tcPr>
            <w:tcW w:w="1474" w:type="dxa"/>
            <w:vAlign w:val="center"/>
          </w:tcPr>
          <w:p>
            <w:pPr>
              <w:pStyle w:val="11"/>
            </w:pPr>
            <w:r>
              <w:t>54.28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138.00</w:t>
            </w:r>
          </w:p>
        </w:tc>
        <w:tc>
          <w:tcPr>
            <w:tcW w:w="1474" w:type="dxa"/>
            <w:vAlign w:val="center"/>
          </w:tcPr>
          <w:p>
            <w:pPr>
              <w:pStyle w:val="11"/>
            </w:pPr>
            <w:r>
              <w:t>138.00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15.19</w:t>
            </w:r>
          </w:p>
        </w:tc>
        <w:tc>
          <w:tcPr>
            <w:tcW w:w="1474" w:type="dxa"/>
            <w:vAlign w:val="center"/>
          </w:tcPr>
          <w:p>
            <w:pPr>
              <w:pStyle w:val="11"/>
            </w:pPr>
            <w:r>
              <w:t>15.19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78.55</w:t>
            </w:r>
          </w:p>
        </w:tc>
        <w:tc>
          <w:tcPr>
            <w:tcW w:w="1474" w:type="dxa"/>
            <w:vAlign w:val="center"/>
          </w:tcPr>
          <w:p>
            <w:pPr>
              <w:pStyle w:val="11"/>
            </w:pPr>
            <w:r>
              <w:t>78.55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1664.66</w:t>
            </w:r>
          </w:p>
        </w:tc>
        <w:tc>
          <w:tcPr>
            <w:tcW w:w="3402" w:type="dxa"/>
            <w:vAlign w:val="center"/>
          </w:tcPr>
          <w:p>
            <w:pPr>
              <w:pStyle w:val="14"/>
            </w:pPr>
            <w:r>
              <w:t>本年支出合计</w:t>
            </w:r>
          </w:p>
        </w:tc>
        <w:tc>
          <w:tcPr>
            <w:tcW w:w="1474" w:type="dxa"/>
            <w:vAlign w:val="center"/>
          </w:tcPr>
          <w:p>
            <w:pPr>
              <w:pStyle w:val="15"/>
            </w:pPr>
            <w:r>
              <w:t>1732.66</w:t>
            </w:r>
          </w:p>
        </w:tc>
        <w:tc>
          <w:tcPr>
            <w:tcW w:w="1474" w:type="dxa"/>
            <w:vAlign w:val="center"/>
          </w:tcPr>
          <w:p>
            <w:pPr>
              <w:pStyle w:val="15"/>
            </w:pPr>
            <w:r>
              <w:t>1732.66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68.00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68.00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1732.66</w:t>
            </w:r>
          </w:p>
        </w:tc>
        <w:tc>
          <w:tcPr>
            <w:tcW w:w="3402" w:type="dxa"/>
            <w:vAlign w:val="center"/>
          </w:tcPr>
          <w:p>
            <w:pPr>
              <w:pStyle w:val="14"/>
            </w:pPr>
            <w:r>
              <w:t>支出总计</w:t>
            </w:r>
          </w:p>
        </w:tc>
        <w:tc>
          <w:tcPr>
            <w:tcW w:w="1474" w:type="dxa"/>
            <w:vAlign w:val="center"/>
          </w:tcPr>
          <w:p>
            <w:pPr>
              <w:pStyle w:val="15"/>
            </w:pPr>
            <w:r>
              <w:t>1732.66</w:t>
            </w:r>
          </w:p>
        </w:tc>
        <w:tc>
          <w:tcPr>
            <w:tcW w:w="1474" w:type="dxa"/>
            <w:vAlign w:val="center"/>
          </w:tcPr>
          <w:p>
            <w:pPr>
              <w:pStyle w:val="15"/>
            </w:pPr>
            <w:r>
              <w:t>1732.66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1732.66</w:t>
            </w:r>
          </w:p>
        </w:tc>
        <w:tc>
          <w:tcPr>
            <w:tcW w:w="2551" w:type="dxa"/>
            <w:vAlign w:val="center"/>
          </w:tcPr>
          <w:p>
            <w:pPr>
              <w:pStyle w:val="15"/>
            </w:pPr>
            <w:r>
              <w:t>1312.95</w:t>
            </w:r>
          </w:p>
        </w:tc>
        <w:tc>
          <w:tcPr>
            <w:tcW w:w="2551" w:type="dxa"/>
            <w:vAlign w:val="center"/>
          </w:tcPr>
          <w:p>
            <w:pPr>
              <w:pStyle w:val="15"/>
            </w:pPr>
            <w:r>
              <w:t>419.70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1308.73</w:t>
            </w:r>
          </w:p>
        </w:tc>
        <w:tc>
          <w:tcPr>
            <w:tcW w:w="2551" w:type="dxa"/>
            <w:vAlign w:val="center"/>
          </w:tcPr>
          <w:p>
            <w:pPr>
              <w:pStyle w:val="11"/>
            </w:pPr>
            <w:r>
              <w:t>1077.30</w:t>
            </w:r>
          </w:p>
        </w:tc>
        <w:tc>
          <w:tcPr>
            <w:tcW w:w="2551" w:type="dxa"/>
            <w:vAlign w:val="center"/>
          </w:tcPr>
          <w:p>
            <w:pPr>
              <w:pStyle w:val="11"/>
            </w:pPr>
            <w:r>
              <w:t>231.43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1308.73</w:t>
            </w:r>
          </w:p>
        </w:tc>
        <w:tc>
          <w:tcPr>
            <w:tcW w:w="2551" w:type="dxa"/>
            <w:vAlign w:val="center"/>
          </w:tcPr>
          <w:p>
            <w:pPr>
              <w:pStyle w:val="11"/>
            </w:pPr>
            <w:r>
              <w:t>1077.30</w:t>
            </w:r>
          </w:p>
        </w:tc>
        <w:tc>
          <w:tcPr>
            <w:tcW w:w="2551" w:type="dxa"/>
            <w:vAlign w:val="center"/>
          </w:tcPr>
          <w:p>
            <w:pPr>
              <w:pStyle w:val="11"/>
            </w:pPr>
            <w:r>
              <w:t>231.43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1077.30</w:t>
            </w:r>
          </w:p>
        </w:tc>
        <w:tc>
          <w:tcPr>
            <w:tcW w:w="2551" w:type="dxa"/>
            <w:vAlign w:val="center"/>
          </w:tcPr>
          <w:p>
            <w:pPr>
              <w:pStyle w:val="11"/>
            </w:pPr>
            <w:r>
              <w:t>1077.30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231.43</w:t>
            </w:r>
          </w:p>
        </w:tc>
        <w:tc>
          <w:tcPr>
            <w:tcW w:w="2551" w:type="dxa"/>
            <w:vAlign w:val="center"/>
          </w:tcPr>
          <w:p>
            <w:pPr>
              <w:pStyle w:val="11"/>
            </w:pPr>
          </w:p>
        </w:tc>
        <w:tc>
          <w:tcPr>
            <w:tcW w:w="2551" w:type="dxa"/>
            <w:vAlign w:val="center"/>
          </w:tcPr>
          <w:p>
            <w:pPr>
              <w:pStyle w:val="11"/>
            </w:pPr>
            <w:r>
              <w:t>231.43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110.71</w:t>
            </w:r>
          </w:p>
        </w:tc>
        <w:tc>
          <w:tcPr>
            <w:tcW w:w="2551" w:type="dxa"/>
            <w:vAlign w:val="center"/>
          </w:tcPr>
          <w:p>
            <w:pPr>
              <w:pStyle w:val="11"/>
            </w:pPr>
            <w:r>
              <w:t>106.83</w:t>
            </w: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106.83</w:t>
            </w:r>
          </w:p>
        </w:tc>
        <w:tc>
          <w:tcPr>
            <w:tcW w:w="2551" w:type="dxa"/>
            <w:vAlign w:val="center"/>
          </w:tcPr>
          <w:p>
            <w:pPr>
              <w:pStyle w:val="11"/>
            </w:pPr>
            <w:r>
              <w:t>106.83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106.83</w:t>
            </w:r>
          </w:p>
        </w:tc>
        <w:tc>
          <w:tcPr>
            <w:tcW w:w="2551" w:type="dxa"/>
            <w:vAlign w:val="center"/>
          </w:tcPr>
          <w:p>
            <w:pPr>
              <w:pStyle w:val="11"/>
            </w:pPr>
            <w:r>
              <w:t>106.83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54.28</w:t>
            </w:r>
          </w:p>
        </w:tc>
        <w:tc>
          <w:tcPr>
            <w:tcW w:w="2551" w:type="dxa"/>
            <w:vAlign w:val="center"/>
          </w:tcPr>
          <w:p>
            <w:pPr>
              <w:pStyle w:val="11"/>
            </w:pPr>
            <w:r>
              <w:t>50.28</w:t>
            </w: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50.28</w:t>
            </w:r>
          </w:p>
        </w:tc>
        <w:tc>
          <w:tcPr>
            <w:tcW w:w="2551" w:type="dxa"/>
            <w:vAlign w:val="center"/>
          </w:tcPr>
          <w:p>
            <w:pPr>
              <w:pStyle w:val="11"/>
            </w:pPr>
            <w:r>
              <w:t>50.28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35.49</w:t>
            </w:r>
          </w:p>
        </w:tc>
        <w:tc>
          <w:tcPr>
            <w:tcW w:w="2551" w:type="dxa"/>
            <w:vAlign w:val="center"/>
          </w:tcPr>
          <w:p>
            <w:pPr>
              <w:pStyle w:val="11"/>
            </w:pPr>
            <w:r>
              <w:t>35.49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14.79</w:t>
            </w:r>
          </w:p>
        </w:tc>
        <w:tc>
          <w:tcPr>
            <w:tcW w:w="2551" w:type="dxa"/>
            <w:vAlign w:val="center"/>
          </w:tcPr>
          <w:p>
            <w:pPr>
              <w:pStyle w:val="11"/>
            </w:pPr>
            <w:r>
              <w:t>14.79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68.00</w:t>
            </w:r>
          </w:p>
        </w:tc>
        <w:tc>
          <w:tcPr>
            <w:tcW w:w="2551" w:type="dxa"/>
            <w:vAlign w:val="center"/>
          </w:tcPr>
          <w:p>
            <w:pPr>
              <w:pStyle w:val="11"/>
            </w:pPr>
          </w:p>
        </w:tc>
        <w:tc>
          <w:tcPr>
            <w:tcW w:w="2551"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15.19</w:t>
            </w:r>
          </w:p>
        </w:tc>
        <w:tc>
          <w:tcPr>
            <w:tcW w:w="2551" w:type="dxa"/>
            <w:vAlign w:val="center"/>
          </w:tcPr>
          <w:p>
            <w:pPr>
              <w:pStyle w:val="11"/>
            </w:pPr>
          </w:p>
        </w:tc>
        <w:tc>
          <w:tcPr>
            <w:tcW w:w="2551" w:type="dxa"/>
            <w:vAlign w:val="center"/>
          </w:tcPr>
          <w:p>
            <w:pPr>
              <w:pStyle w:val="11"/>
            </w:pPr>
            <w:r>
              <w:t>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15.19</w:t>
            </w:r>
          </w:p>
        </w:tc>
        <w:tc>
          <w:tcPr>
            <w:tcW w:w="2551" w:type="dxa"/>
            <w:vAlign w:val="center"/>
          </w:tcPr>
          <w:p>
            <w:pPr>
              <w:pStyle w:val="11"/>
            </w:pPr>
          </w:p>
        </w:tc>
        <w:tc>
          <w:tcPr>
            <w:tcW w:w="2551" w:type="dxa"/>
            <w:vAlign w:val="center"/>
          </w:tcPr>
          <w:p>
            <w:pPr>
              <w:pStyle w:val="11"/>
            </w:pPr>
            <w:r>
              <w:t>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15.19</w:t>
            </w:r>
          </w:p>
        </w:tc>
        <w:tc>
          <w:tcPr>
            <w:tcW w:w="2551" w:type="dxa"/>
            <w:vAlign w:val="center"/>
          </w:tcPr>
          <w:p>
            <w:pPr>
              <w:pStyle w:val="11"/>
            </w:pPr>
          </w:p>
        </w:tc>
        <w:tc>
          <w:tcPr>
            <w:tcW w:w="2551" w:type="dxa"/>
            <w:vAlign w:val="center"/>
          </w:tcPr>
          <w:p>
            <w:pPr>
              <w:pStyle w:val="11"/>
            </w:pPr>
            <w:r>
              <w:t>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78.55</w:t>
            </w:r>
          </w:p>
        </w:tc>
        <w:tc>
          <w:tcPr>
            <w:tcW w:w="2551" w:type="dxa"/>
            <w:vAlign w:val="center"/>
          </w:tcPr>
          <w:p>
            <w:pPr>
              <w:pStyle w:val="11"/>
            </w:pPr>
            <w:r>
              <w:t>78.55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78.55</w:t>
            </w:r>
          </w:p>
        </w:tc>
        <w:tc>
          <w:tcPr>
            <w:tcW w:w="2551" w:type="dxa"/>
            <w:vAlign w:val="center"/>
          </w:tcPr>
          <w:p>
            <w:pPr>
              <w:pStyle w:val="11"/>
            </w:pPr>
            <w:r>
              <w:t>78.55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78.55</w:t>
            </w:r>
          </w:p>
        </w:tc>
        <w:tc>
          <w:tcPr>
            <w:tcW w:w="2551" w:type="dxa"/>
            <w:vAlign w:val="center"/>
          </w:tcPr>
          <w:p>
            <w:pPr>
              <w:pStyle w:val="11"/>
            </w:pPr>
            <w:r>
              <w:t>78.55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1312.95</w:t>
            </w:r>
          </w:p>
        </w:tc>
        <w:tc>
          <w:tcPr>
            <w:tcW w:w="2551" w:type="dxa"/>
            <w:vAlign w:val="center"/>
          </w:tcPr>
          <w:p>
            <w:pPr>
              <w:pStyle w:val="15"/>
            </w:pPr>
            <w:r>
              <w:t>1134.74</w:t>
            </w:r>
          </w:p>
        </w:tc>
        <w:tc>
          <w:tcPr>
            <w:tcW w:w="2551" w:type="dxa"/>
            <w:vAlign w:val="center"/>
          </w:tcPr>
          <w:p>
            <w:pPr>
              <w:pStyle w:val="15"/>
            </w:pPr>
            <w:r>
              <w:t>178.21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1067.23</w:t>
            </w:r>
          </w:p>
        </w:tc>
        <w:tc>
          <w:tcPr>
            <w:tcW w:w="2551" w:type="dxa"/>
            <w:vAlign w:val="center"/>
          </w:tcPr>
          <w:p>
            <w:pPr>
              <w:pStyle w:val="11"/>
            </w:pPr>
            <w:r>
              <w:t>1067.23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306.15</w:t>
            </w:r>
          </w:p>
        </w:tc>
        <w:tc>
          <w:tcPr>
            <w:tcW w:w="2551" w:type="dxa"/>
            <w:vAlign w:val="center"/>
          </w:tcPr>
          <w:p>
            <w:pPr>
              <w:pStyle w:val="11"/>
            </w:pPr>
            <w:r>
              <w:t>306.15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164.77</w:t>
            </w:r>
          </w:p>
        </w:tc>
        <w:tc>
          <w:tcPr>
            <w:tcW w:w="2551" w:type="dxa"/>
            <w:vAlign w:val="center"/>
          </w:tcPr>
          <w:p>
            <w:pPr>
              <w:pStyle w:val="11"/>
            </w:pPr>
            <w:r>
              <w:t>164.77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158.99</w:t>
            </w:r>
          </w:p>
        </w:tc>
        <w:tc>
          <w:tcPr>
            <w:tcW w:w="2551" w:type="dxa"/>
            <w:vAlign w:val="center"/>
          </w:tcPr>
          <w:p>
            <w:pPr>
              <w:pStyle w:val="11"/>
            </w:pPr>
            <w:r>
              <w:t>158.99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142.95</w:t>
            </w:r>
          </w:p>
        </w:tc>
        <w:tc>
          <w:tcPr>
            <w:tcW w:w="2551" w:type="dxa"/>
            <w:vAlign w:val="center"/>
          </w:tcPr>
          <w:p>
            <w:pPr>
              <w:pStyle w:val="11"/>
            </w:pPr>
            <w:r>
              <w:t>142.95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106.83</w:t>
            </w:r>
          </w:p>
        </w:tc>
        <w:tc>
          <w:tcPr>
            <w:tcW w:w="2551" w:type="dxa"/>
            <w:vAlign w:val="center"/>
          </w:tcPr>
          <w:p>
            <w:pPr>
              <w:pStyle w:val="11"/>
            </w:pPr>
            <w:r>
              <w:t>106.83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52.37</w:t>
            </w:r>
          </w:p>
        </w:tc>
        <w:tc>
          <w:tcPr>
            <w:tcW w:w="2551" w:type="dxa"/>
            <w:vAlign w:val="center"/>
          </w:tcPr>
          <w:p>
            <w:pPr>
              <w:pStyle w:val="11"/>
            </w:pPr>
            <w:r>
              <w:t>52.37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35.49</w:t>
            </w:r>
          </w:p>
        </w:tc>
        <w:tc>
          <w:tcPr>
            <w:tcW w:w="2551" w:type="dxa"/>
            <w:vAlign w:val="center"/>
          </w:tcPr>
          <w:p>
            <w:pPr>
              <w:pStyle w:val="11"/>
            </w:pPr>
            <w:r>
              <w:t>35.49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14.79</w:t>
            </w:r>
          </w:p>
        </w:tc>
        <w:tc>
          <w:tcPr>
            <w:tcW w:w="2551" w:type="dxa"/>
            <w:vAlign w:val="center"/>
          </w:tcPr>
          <w:p>
            <w:pPr>
              <w:pStyle w:val="11"/>
            </w:pPr>
            <w:r>
              <w:t>14.79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6.35</w:t>
            </w:r>
          </w:p>
        </w:tc>
        <w:tc>
          <w:tcPr>
            <w:tcW w:w="2551" w:type="dxa"/>
            <w:vAlign w:val="center"/>
          </w:tcPr>
          <w:p>
            <w:pPr>
              <w:pStyle w:val="11"/>
            </w:pPr>
            <w:r>
              <w:t>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78.55</w:t>
            </w:r>
          </w:p>
        </w:tc>
        <w:tc>
          <w:tcPr>
            <w:tcW w:w="2551" w:type="dxa"/>
            <w:vAlign w:val="center"/>
          </w:tcPr>
          <w:p>
            <w:pPr>
              <w:pStyle w:val="11"/>
            </w:pPr>
            <w:r>
              <w:t>78.55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177.60</w:t>
            </w:r>
          </w:p>
        </w:tc>
        <w:tc>
          <w:tcPr>
            <w:tcW w:w="2551" w:type="dxa"/>
            <w:vAlign w:val="center"/>
          </w:tcPr>
          <w:p>
            <w:pPr>
              <w:pStyle w:val="11"/>
            </w:pPr>
          </w:p>
        </w:tc>
        <w:tc>
          <w:tcPr>
            <w:tcW w:w="2551" w:type="dxa"/>
            <w:vAlign w:val="center"/>
          </w:tcPr>
          <w:p>
            <w:pPr>
              <w:pStyle w:val="11"/>
            </w:pPr>
            <w:r>
              <w:t>177.60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70.97</w:t>
            </w:r>
          </w:p>
        </w:tc>
        <w:tc>
          <w:tcPr>
            <w:tcW w:w="2551" w:type="dxa"/>
            <w:vAlign w:val="center"/>
          </w:tcPr>
          <w:p>
            <w:pPr>
              <w:pStyle w:val="11"/>
            </w:pPr>
          </w:p>
        </w:tc>
        <w:tc>
          <w:tcPr>
            <w:tcW w:w="2551" w:type="dxa"/>
            <w:vAlign w:val="center"/>
          </w:tcPr>
          <w:p>
            <w:pPr>
              <w:pStyle w:val="11"/>
            </w:pPr>
            <w:r>
              <w:t>70.97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21.60</w:t>
            </w:r>
          </w:p>
        </w:tc>
        <w:tc>
          <w:tcPr>
            <w:tcW w:w="2551" w:type="dxa"/>
            <w:vAlign w:val="center"/>
          </w:tcPr>
          <w:p>
            <w:pPr>
              <w:pStyle w:val="11"/>
            </w:pPr>
          </w:p>
        </w:tc>
        <w:tc>
          <w:tcPr>
            <w:tcW w:w="2551" w:type="dxa"/>
            <w:vAlign w:val="center"/>
          </w:tcPr>
          <w:p>
            <w:pPr>
              <w:pStyle w:val="11"/>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6.67</w:t>
            </w:r>
          </w:p>
        </w:tc>
        <w:tc>
          <w:tcPr>
            <w:tcW w:w="2551" w:type="dxa"/>
            <w:vAlign w:val="center"/>
          </w:tcPr>
          <w:p>
            <w:pPr>
              <w:pStyle w:val="11"/>
            </w:pPr>
          </w:p>
        </w:tc>
        <w:tc>
          <w:tcPr>
            <w:tcW w:w="2551" w:type="dxa"/>
            <w:vAlign w:val="center"/>
          </w:tcPr>
          <w:p>
            <w:pPr>
              <w:pStyle w:val="11"/>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31.38</w:t>
            </w:r>
          </w:p>
        </w:tc>
        <w:tc>
          <w:tcPr>
            <w:tcW w:w="2551" w:type="dxa"/>
            <w:vAlign w:val="center"/>
          </w:tcPr>
          <w:p>
            <w:pPr>
              <w:pStyle w:val="11"/>
            </w:pPr>
          </w:p>
        </w:tc>
        <w:tc>
          <w:tcPr>
            <w:tcW w:w="2551" w:type="dxa"/>
            <w:vAlign w:val="center"/>
          </w:tcPr>
          <w:p>
            <w:pPr>
              <w:pStyle w:val="11"/>
            </w:pPr>
            <w:r>
              <w:t>31.38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5.08</w:t>
            </w:r>
          </w:p>
        </w:tc>
        <w:tc>
          <w:tcPr>
            <w:tcW w:w="2551" w:type="dxa"/>
            <w:vAlign w:val="center"/>
          </w:tcPr>
          <w:p>
            <w:pPr>
              <w:pStyle w:val="11"/>
            </w:pPr>
          </w:p>
        </w:tc>
        <w:tc>
          <w:tcPr>
            <w:tcW w:w="2551"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67.51</w:t>
            </w:r>
          </w:p>
        </w:tc>
        <w:tc>
          <w:tcPr>
            <w:tcW w:w="2551" w:type="dxa"/>
            <w:vAlign w:val="center"/>
          </w:tcPr>
          <w:p>
            <w:pPr>
              <w:pStyle w:val="11"/>
            </w:pPr>
            <w:r>
              <w:t>67.51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58.68</w:t>
            </w:r>
          </w:p>
        </w:tc>
        <w:tc>
          <w:tcPr>
            <w:tcW w:w="2551" w:type="dxa"/>
            <w:vAlign w:val="center"/>
          </w:tcPr>
          <w:p>
            <w:pPr>
              <w:pStyle w:val="11"/>
            </w:pPr>
            <w:r>
              <w:t>58.68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8.84</w:t>
            </w:r>
          </w:p>
        </w:tc>
        <w:tc>
          <w:tcPr>
            <w:tcW w:w="2551" w:type="dxa"/>
            <w:vAlign w:val="center"/>
          </w:tcPr>
          <w:p>
            <w:pPr>
              <w:pStyle w:val="11"/>
            </w:pPr>
            <w:r>
              <w:t>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0.61</w:t>
            </w:r>
          </w:p>
        </w:tc>
        <w:tc>
          <w:tcPr>
            <w:tcW w:w="2551" w:type="dxa"/>
            <w:vAlign w:val="center"/>
          </w:tcPr>
          <w:p>
            <w:pPr>
              <w:pStyle w:val="11"/>
            </w:pPr>
          </w:p>
        </w:tc>
        <w:tc>
          <w:tcPr>
            <w:tcW w:w="2551"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0.61</w:t>
            </w:r>
          </w:p>
        </w:tc>
        <w:tc>
          <w:tcPr>
            <w:tcW w:w="2551" w:type="dxa"/>
            <w:vAlign w:val="center"/>
          </w:tcPr>
          <w:p>
            <w:pPr>
              <w:pStyle w:val="11"/>
            </w:pPr>
          </w:p>
        </w:tc>
        <w:tc>
          <w:tcPr>
            <w:tcW w:w="2551" w:type="dxa"/>
            <w:vAlign w:val="center"/>
          </w:tcPr>
          <w:p>
            <w:pPr>
              <w:pStyle w:val="11"/>
            </w:pPr>
            <w:r>
              <w:t>0.61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4.40</w:t>
            </w:r>
          </w:p>
        </w:tc>
        <w:tc>
          <w:tcPr>
            <w:tcW w:w="2381" w:type="dxa"/>
            <w:vAlign w:val="center"/>
          </w:tcPr>
          <w:p>
            <w:pPr>
              <w:pStyle w:val="15"/>
            </w:pPr>
            <w:r>
              <w:t>4.40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根据《石家庄市藁城区梅花镇人民政府职能配置、内设机构和人员编制规定》，石家庄市藁城区梅花镇人民政府的主要职责是：</w:t>
      </w:r>
    </w:p>
    <w:p>
      <w:pPr>
        <w:pStyle w:val="17"/>
      </w:pPr>
      <w:r>
        <w:t>一、宣传贯彻执行党的路线方针政策和党中央，上级党组织的决议，贯彻执行法律、法规、规章和上级政府的决定、命令，执行本级人民代表大会的决议。</w:t>
      </w:r>
    </w:p>
    <w:p>
      <w:pPr>
        <w:pStyle w:val="17"/>
      </w:pPr>
      <w:r>
        <w:t>二、讨论和决定本镇经济建设、政治建设、文化建设、社会建设、生态文明建设和党的建设以及乡村振兴中的重大问题，</w:t>
      </w:r>
    </w:p>
    <w:p>
      <w:pPr>
        <w:pStyle w:val="17"/>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pStyle w:val="17"/>
      </w:pPr>
      <w:r>
        <w:t>五、承办上级党委、政府交办的其他事项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石家庄市藁城区梅花镇人民政府本级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1732.66万元，其中：一般公共预算收入1664.66万元，基金预算收入0.00万元，国有资本经营预算收入0.00万元，财政专户核拨收入0.00万元，单位资金收入0.00万元，上年结转结余68.00万元。</w:t>
      </w:r>
    </w:p>
    <w:p>
      <w:pPr>
        <w:pStyle w:val="18"/>
      </w:pPr>
      <w:r>
        <w:t>2、支出说明</w:t>
      </w:r>
    </w:p>
    <w:p>
      <w:pPr>
        <w:pStyle w:val="18"/>
      </w:pPr>
      <w:r>
        <w:t>收支预算总表支出栏、基本支出表、项目支出表按经济分类和支出功能分类科目编制，反映石家庄市藁城区梅花镇人民政府本级年度单位预算中支出预算的总体情况。2026年支出预算1732.66万元，其中基本支出1312.95万元，包括人员经费1134.74万元和日常公用经费178.21万元；项目支出419.70万元，主要为石财预【2025】24号关于提前下达2026年革命老区转移支付预算的通知（崔家庄）70万元，政府工会费4.164067万元，原经贸系统关闭企业下放回乡的合同工、副业工涉军人员生活补贴3.888万元，马山线、衡井线占地补助经费15.18632万元，公用经费（临时人员工资）50.604万元，解决信访疑难问题40万元，农村独生子女费4万元，学区工会费27.197482万元，公用经费（机关运转）55.596万元，梅花惨案纪念馆土地租赁费3.069万元，综合工作经费（人居环境、安全生产、土地、环保、信访、临时人员工资、武装等工作经费）78万元，石财预【2024】33号关于提前下达2025年革命老区转移支付预算的通知（高玉村）上年结转68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1732.66万元，较2025年预算减少217.40万元，其中：基本支出减少54.52万元，主要为人员经费减少。项目支出减少162.89万元，主要为综合工作经费（人居环境、安全生产、土地、环保、信访、临时人员工资、武装等工作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2026年，我单位机关运行经费共计安排178.21万元，主要用于日常维修、办公用房水电费、办公用房取暖费、办公用房物业管理费等日常运行支出。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2026年，我单位财政拨款“三公”经费预算安排4.40万元，其中因公出国（境）费0.00万元；公务用车购置及运维费4.40万元（其中：公务用车购置费为0.00万元，公务用车运维费4.40万元)；公务接待费0.00万元。</w:t>
      </w:r>
      <w:bookmarkStart w:id="1" w:name="_GoBack"/>
      <w:bookmarkEnd w:id="1"/>
      <w:r>
        <w:t>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1、公用经费（机关运转）绩效目标表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13010926P00000110003K</w:t>
            </w:r>
          </w:p>
        </w:tc>
        <w:tc>
          <w:tcPr>
            <w:tcW w:w="2835" w:type="dxa"/>
            <w:vAlign w:val="center"/>
          </w:tcPr>
          <w:p>
            <w:pPr>
              <w:pStyle w:val="10"/>
            </w:pPr>
            <w:r>
              <w:t>项目名称</w:t>
            </w:r>
          </w:p>
        </w:tc>
        <w:tc>
          <w:tcPr>
            <w:tcW w:w="6095" w:type="dxa"/>
            <w:gridSpan w:val="3"/>
            <w:vAlign w:val="center"/>
          </w:tcPr>
          <w:p>
            <w:pPr>
              <w:pStyle w:val="12"/>
            </w:pPr>
            <w:r>
              <w:t>公用经费（机关运转）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55.60</w:t>
            </w:r>
          </w:p>
        </w:tc>
        <w:tc>
          <w:tcPr>
            <w:tcW w:w="2835" w:type="dxa"/>
            <w:vAlign w:val="center"/>
          </w:tcPr>
          <w:p>
            <w:pPr>
              <w:pStyle w:val="10"/>
            </w:pPr>
            <w:r>
              <w:t>其中：财政    资金</w:t>
            </w:r>
          </w:p>
        </w:tc>
        <w:tc>
          <w:tcPr>
            <w:tcW w:w="2551" w:type="dxa"/>
            <w:vAlign w:val="center"/>
          </w:tcPr>
          <w:p>
            <w:pPr>
              <w:pStyle w:val="12"/>
            </w:pPr>
            <w:r>
              <w:t>55.60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保证各村及镇政府各项工作的顺利完成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13.90</w:t>
            </w:r>
          </w:p>
        </w:tc>
        <w:tc>
          <w:tcPr>
            <w:tcW w:w="2835" w:type="dxa"/>
            <w:vAlign w:val="center"/>
          </w:tcPr>
          <w:p>
            <w:pPr>
              <w:pStyle w:val="13"/>
            </w:pPr>
            <w:r>
              <w:t>33.36</w:t>
            </w:r>
          </w:p>
        </w:tc>
        <w:tc>
          <w:tcPr>
            <w:tcW w:w="2551" w:type="dxa"/>
            <w:vAlign w:val="center"/>
          </w:tcPr>
          <w:p>
            <w:pPr>
              <w:pStyle w:val="13"/>
            </w:pPr>
            <w:r>
              <w:t>50.04</w:t>
            </w:r>
          </w:p>
        </w:tc>
        <w:tc>
          <w:tcPr>
            <w:tcW w:w="3544" w:type="dxa"/>
            <w:gridSpan w:val="2"/>
            <w:vAlign w:val="center"/>
          </w:tcPr>
          <w:p>
            <w:pPr>
              <w:pStyle w:val="13"/>
            </w:pPr>
            <w:r>
              <w:t>55.60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1.保证各村及镇政府各项工作的顺利完成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包含覆盖的村级数</w:t>
            </w:r>
          </w:p>
        </w:tc>
        <w:tc>
          <w:tcPr>
            <w:tcW w:w="5386" w:type="dxa"/>
            <w:vAlign w:val="center"/>
          </w:tcPr>
          <w:p>
            <w:pPr>
              <w:pStyle w:val="12"/>
            </w:pPr>
            <w:r>
              <w:t>各项工作完成情况覆盖的村级个数</w:t>
            </w:r>
          </w:p>
        </w:tc>
        <w:tc>
          <w:tcPr>
            <w:tcW w:w="2268" w:type="dxa"/>
            <w:vAlign w:val="center"/>
          </w:tcPr>
          <w:p>
            <w:pPr>
              <w:pStyle w:val="12"/>
            </w:pPr>
            <w:r>
              <w:t>≥19个</w:t>
            </w:r>
          </w:p>
        </w:tc>
        <w:tc>
          <w:tcPr>
            <w:tcW w:w="1276" w:type="dxa"/>
            <w:vAlign w:val="center"/>
          </w:tcPr>
          <w:p>
            <w:pPr>
              <w:pStyle w:val="12"/>
            </w:pPr>
            <w:r>
              <w:t>工作检查、考核报告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工作完成是否及时</w:t>
            </w:r>
          </w:p>
        </w:tc>
        <w:tc>
          <w:tcPr>
            <w:tcW w:w="5386" w:type="dxa"/>
            <w:vAlign w:val="center"/>
          </w:tcPr>
          <w:p>
            <w:pPr>
              <w:pStyle w:val="12"/>
            </w:pPr>
            <w:r>
              <w:t>项目资金支出完成25%</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保障各村及镇政府日常工作正常开展的费用</w:t>
            </w:r>
          </w:p>
        </w:tc>
        <w:tc>
          <w:tcPr>
            <w:tcW w:w="2268" w:type="dxa"/>
            <w:vAlign w:val="center"/>
          </w:tcPr>
          <w:p>
            <w:pPr>
              <w:pStyle w:val="12"/>
            </w:pPr>
            <w:r>
              <w:t>≥2.92万元</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保障政府正常开展为民服务工作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保障政府正常开展为民服务工作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13010926P000001100020</w:t>
            </w:r>
          </w:p>
        </w:tc>
        <w:tc>
          <w:tcPr>
            <w:tcW w:w="2835" w:type="dxa"/>
            <w:vAlign w:val="center"/>
          </w:tcPr>
          <w:p>
            <w:pPr>
              <w:pStyle w:val="10"/>
            </w:pPr>
            <w:r>
              <w:t>项目名称</w:t>
            </w:r>
          </w:p>
        </w:tc>
        <w:tc>
          <w:tcPr>
            <w:tcW w:w="6095" w:type="dxa"/>
            <w:gridSpan w:val="3"/>
            <w:vAlign w:val="center"/>
          </w:tcPr>
          <w:p>
            <w:pPr>
              <w:pStyle w:val="12"/>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50.60</w:t>
            </w:r>
          </w:p>
        </w:tc>
        <w:tc>
          <w:tcPr>
            <w:tcW w:w="2835" w:type="dxa"/>
            <w:vAlign w:val="center"/>
          </w:tcPr>
          <w:p>
            <w:pPr>
              <w:pStyle w:val="10"/>
            </w:pPr>
            <w:r>
              <w:t>其中：财政    资金</w:t>
            </w:r>
          </w:p>
        </w:tc>
        <w:tc>
          <w:tcPr>
            <w:tcW w:w="2551" w:type="dxa"/>
            <w:vAlign w:val="center"/>
          </w:tcPr>
          <w:p>
            <w:pPr>
              <w:pStyle w:val="12"/>
            </w:pPr>
            <w:r>
              <w:t>50.60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发放梅花镇临时人员工资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12.65</w:t>
            </w:r>
          </w:p>
        </w:tc>
        <w:tc>
          <w:tcPr>
            <w:tcW w:w="2835" w:type="dxa"/>
            <w:vAlign w:val="center"/>
          </w:tcPr>
          <w:p>
            <w:pPr>
              <w:pStyle w:val="13"/>
            </w:pPr>
            <w:r>
              <w:t>30.36</w:t>
            </w:r>
          </w:p>
        </w:tc>
        <w:tc>
          <w:tcPr>
            <w:tcW w:w="2551" w:type="dxa"/>
            <w:vAlign w:val="center"/>
          </w:tcPr>
          <w:p>
            <w:pPr>
              <w:pStyle w:val="13"/>
            </w:pPr>
            <w:r>
              <w:t>45.54</w:t>
            </w:r>
          </w:p>
        </w:tc>
        <w:tc>
          <w:tcPr>
            <w:tcW w:w="3544" w:type="dxa"/>
            <w:gridSpan w:val="2"/>
            <w:vAlign w:val="center"/>
          </w:tcPr>
          <w:p>
            <w:pPr>
              <w:pStyle w:val="13"/>
            </w:pPr>
            <w:r>
              <w:t>50.60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1.保障梅花镇临时人员工资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项目资金拨付人员数</w:t>
            </w:r>
          </w:p>
        </w:tc>
        <w:tc>
          <w:tcPr>
            <w:tcW w:w="5386" w:type="dxa"/>
            <w:vAlign w:val="center"/>
          </w:tcPr>
          <w:p>
            <w:pPr>
              <w:pStyle w:val="12"/>
            </w:pPr>
            <w:r>
              <w:t>及时发放工资的临时人员人数</w:t>
            </w:r>
          </w:p>
        </w:tc>
        <w:tc>
          <w:tcPr>
            <w:tcW w:w="2268" w:type="dxa"/>
            <w:vAlign w:val="center"/>
          </w:tcPr>
          <w:p>
            <w:pPr>
              <w:pStyle w:val="12"/>
            </w:pPr>
            <w:r>
              <w:t>≥16人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拨付资金占应发放工资的比例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工资发放是否及时</w:t>
            </w:r>
          </w:p>
        </w:tc>
        <w:tc>
          <w:tcPr>
            <w:tcW w:w="5386" w:type="dxa"/>
            <w:vAlign w:val="center"/>
          </w:tcPr>
          <w:p>
            <w:pPr>
              <w:pStyle w:val="12"/>
            </w:pPr>
            <w:r>
              <w:t>应发放工资发放完成的日期</w:t>
            </w:r>
          </w:p>
        </w:tc>
        <w:tc>
          <w:tcPr>
            <w:tcW w:w="2268" w:type="dxa"/>
            <w:vAlign w:val="center"/>
          </w:tcPr>
          <w:p>
            <w:pPr>
              <w:pStyle w:val="12"/>
            </w:pPr>
            <w:r>
              <w:t>每两个月按时发放</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临时人员工资标准</w:t>
            </w:r>
          </w:p>
        </w:tc>
        <w:tc>
          <w:tcPr>
            <w:tcW w:w="5386" w:type="dxa"/>
            <w:vAlign w:val="center"/>
          </w:tcPr>
          <w:p>
            <w:pPr>
              <w:pStyle w:val="12"/>
            </w:pPr>
            <w:r>
              <w:t>临时人员工资标准</w:t>
            </w:r>
          </w:p>
        </w:tc>
        <w:tc>
          <w:tcPr>
            <w:tcW w:w="2268" w:type="dxa"/>
            <w:vAlign w:val="center"/>
          </w:tcPr>
          <w:p>
            <w:pPr>
              <w:pStyle w:val="12"/>
            </w:pPr>
            <w:r>
              <w:t>≥3.16万元/人</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临时人员满意度</w:t>
            </w:r>
          </w:p>
        </w:tc>
        <w:tc>
          <w:tcPr>
            <w:tcW w:w="5386" w:type="dxa"/>
            <w:vAlign w:val="center"/>
          </w:tcPr>
          <w:p>
            <w:pPr>
              <w:pStyle w:val="12"/>
            </w:pPr>
            <w:r>
              <w:t>临时人员对工资拨付的满意程度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3、解决信访疑难问题绩效目标表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13010926P000025101032</w:t>
            </w:r>
          </w:p>
        </w:tc>
        <w:tc>
          <w:tcPr>
            <w:tcW w:w="2835" w:type="dxa"/>
            <w:vAlign w:val="center"/>
          </w:tcPr>
          <w:p>
            <w:pPr>
              <w:pStyle w:val="10"/>
            </w:pPr>
            <w:r>
              <w:t>项目名称</w:t>
            </w:r>
          </w:p>
        </w:tc>
        <w:tc>
          <w:tcPr>
            <w:tcW w:w="6095" w:type="dxa"/>
            <w:gridSpan w:val="3"/>
            <w:vAlign w:val="center"/>
          </w:tcPr>
          <w:p>
            <w:pPr>
              <w:pStyle w:val="12"/>
            </w:pPr>
            <w:r>
              <w:t>解决信访疑难问题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保障梅花镇信访人员稳定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24.00</w:t>
            </w:r>
          </w:p>
        </w:tc>
        <w:tc>
          <w:tcPr>
            <w:tcW w:w="2551" w:type="dxa"/>
            <w:vAlign w:val="center"/>
          </w:tcPr>
          <w:p>
            <w:pPr>
              <w:pStyle w:val="13"/>
            </w:pPr>
            <w:r>
              <w:t>36.00</w:t>
            </w:r>
          </w:p>
        </w:tc>
        <w:tc>
          <w:tcPr>
            <w:tcW w:w="3544"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1.保障梅花镇信访人员稳定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项目资金拨付人员数</w:t>
            </w:r>
          </w:p>
        </w:tc>
        <w:tc>
          <w:tcPr>
            <w:tcW w:w="5386" w:type="dxa"/>
            <w:vAlign w:val="center"/>
          </w:tcPr>
          <w:p>
            <w:pPr>
              <w:pStyle w:val="12"/>
            </w:pPr>
            <w:r>
              <w:t>保障梅花镇信访人员的人数</w:t>
            </w:r>
          </w:p>
        </w:tc>
        <w:tc>
          <w:tcPr>
            <w:tcW w:w="2268" w:type="dxa"/>
            <w:vAlign w:val="center"/>
          </w:tcPr>
          <w:p>
            <w:pPr>
              <w:pStyle w:val="12"/>
            </w:pPr>
            <w:r>
              <w:t>≥15人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资金拨付是否及时</w:t>
            </w:r>
          </w:p>
        </w:tc>
        <w:tc>
          <w:tcPr>
            <w:tcW w:w="5386" w:type="dxa"/>
            <w:vAlign w:val="center"/>
          </w:tcPr>
          <w:p>
            <w:pPr>
              <w:pStyle w:val="12"/>
            </w:pPr>
            <w:r>
              <w:t>用于保障稳定的资金拨付时限</w:t>
            </w:r>
          </w:p>
        </w:tc>
        <w:tc>
          <w:tcPr>
            <w:tcW w:w="2268" w:type="dxa"/>
            <w:vAlign w:val="center"/>
          </w:tcPr>
          <w:p>
            <w:pPr>
              <w:pStyle w:val="12"/>
            </w:pPr>
            <w:r>
              <w:t>一周内拨付</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信访人员资金标准</w:t>
            </w:r>
          </w:p>
        </w:tc>
        <w:tc>
          <w:tcPr>
            <w:tcW w:w="2268" w:type="dxa"/>
            <w:vAlign w:val="center"/>
          </w:tcPr>
          <w:p>
            <w:pPr>
              <w:pStyle w:val="12"/>
            </w:pPr>
            <w:r>
              <w:t>≥2.66万元/人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保障梅花镇信访人员稳定，正常开展为民服务工作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4、马山线、衡井线占地补助经费绩效目标表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13010926P000025100340</w:t>
            </w:r>
          </w:p>
        </w:tc>
        <w:tc>
          <w:tcPr>
            <w:tcW w:w="2835" w:type="dxa"/>
            <w:vAlign w:val="center"/>
          </w:tcPr>
          <w:p>
            <w:pPr>
              <w:pStyle w:val="10"/>
            </w:pPr>
            <w:r>
              <w:t>项目名称</w:t>
            </w:r>
          </w:p>
        </w:tc>
        <w:tc>
          <w:tcPr>
            <w:tcW w:w="6095" w:type="dxa"/>
            <w:gridSpan w:val="3"/>
            <w:vAlign w:val="center"/>
          </w:tcPr>
          <w:p>
            <w:pPr>
              <w:pStyle w:val="12"/>
            </w:pPr>
            <w:r>
              <w:t>马山线、衡井线占地补助经费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15.19</w:t>
            </w:r>
          </w:p>
        </w:tc>
        <w:tc>
          <w:tcPr>
            <w:tcW w:w="2835" w:type="dxa"/>
            <w:vAlign w:val="center"/>
          </w:tcPr>
          <w:p>
            <w:pPr>
              <w:pStyle w:val="10"/>
            </w:pPr>
            <w:r>
              <w:t>其中：财政    资金</w:t>
            </w:r>
          </w:p>
        </w:tc>
        <w:tc>
          <w:tcPr>
            <w:tcW w:w="2551" w:type="dxa"/>
            <w:vAlign w:val="center"/>
          </w:tcPr>
          <w:p>
            <w:pPr>
              <w:pStyle w:val="12"/>
            </w:pPr>
            <w:r>
              <w:t>15.19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拨付马山线、衡井线占地补助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3.80</w:t>
            </w:r>
          </w:p>
        </w:tc>
        <w:tc>
          <w:tcPr>
            <w:tcW w:w="2835" w:type="dxa"/>
            <w:vAlign w:val="center"/>
          </w:tcPr>
          <w:p>
            <w:pPr>
              <w:pStyle w:val="13"/>
            </w:pPr>
            <w:r>
              <w:t>9.12</w:t>
            </w:r>
          </w:p>
        </w:tc>
        <w:tc>
          <w:tcPr>
            <w:tcW w:w="2551" w:type="dxa"/>
            <w:vAlign w:val="center"/>
          </w:tcPr>
          <w:p>
            <w:pPr>
              <w:pStyle w:val="13"/>
            </w:pPr>
            <w:r>
              <w:t>13.68</w:t>
            </w:r>
          </w:p>
        </w:tc>
        <w:tc>
          <w:tcPr>
            <w:tcW w:w="3544" w:type="dxa"/>
            <w:gridSpan w:val="2"/>
            <w:vAlign w:val="center"/>
          </w:tcPr>
          <w:p>
            <w:pPr>
              <w:pStyle w:val="13"/>
            </w:pPr>
            <w:r>
              <w:t>15.19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1.及时拨付马山线、衡井线占地补助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占地补偿农户的人数</w:t>
            </w:r>
          </w:p>
        </w:tc>
        <w:tc>
          <w:tcPr>
            <w:tcW w:w="5386" w:type="dxa"/>
            <w:vAlign w:val="center"/>
          </w:tcPr>
          <w:p>
            <w:pPr>
              <w:pStyle w:val="12"/>
            </w:pPr>
            <w:r>
              <w:t>发放占地补偿农户的人数</w:t>
            </w:r>
          </w:p>
        </w:tc>
        <w:tc>
          <w:tcPr>
            <w:tcW w:w="2268" w:type="dxa"/>
            <w:vAlign w:val="center"/>
          </w:tcPr>
          <w:p>
            <w:pPr>
              <w:pStyle w:val="12"/>
            </w:pPr>
            <w:r>
              <w:t>≥50人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拨付是否及时</w:t>
            </w:r>
          </w:p>
        </w:tc>
        <w:tc>
          <w:tcPr>
            <w:tcW w:w="5386" w:type="dxa"/>
            <w:vAlign w:val="center"/>
          </w:tcPr>
          <w:p>
            <w:pPr>
              <w:pStyle w:val="12"/>
            </w:pPr>
            <w:r>
              <w:t>及时拨付农户</w:t>
            </w:r>
          </w:p>
        </w:tc>
        <w:tc>
          <w:tcPr>
            <w:tcW w:w="2268" w:type="dxa"/>
            <w:vAlign w:val="center"/>
          </w:tcPr>
          <w:p>
            <w:pPr>
              <w:pStyle w:val="12"/>
            </w:pPr>
            <w:r>
              <w:t>按年拨付</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是否按照标准进行补偿</w:t>
            </w:r>
          </w:p>
        </w:tc>
        <w:tc>
          <w:tcPr>
            <w:tcW w:w="2268" w:type="dxa"/>
            <w:vAlign w:val="center"/>
          </w:tcPr>
          <w:p>
            <w:pPr>
              <w:pStyle w:val="12"/>
            </w:pPr>
            <w:r>
              <w:t>≥0.3万元/人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5、梅花惨案纪念馆土地租赁费绩效目标表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13010926P000025101445</w:t>
            </w:r>
          </w:p>
        </w:tc>
        <w:tc>
          <w:tcPr>
            <w:tcW w:w="2835" w:type="dxa"/>
            <w:vAlign w:val="center"/>
          </w:tcPr>
          <w:p>
            <w:pPr>
              <w:pStyle w:val="10"/>
            </w:pPr>
            <w:r>
              <w:t>项目名称</w:t>
            </w:r>
          </w:p>
        </w:tc>
        <w:tc>
          <w:tcPr>
            <w:tcW w:w="6095" w:type="dxa"/>
            <w:gridSpan w:val="3"/>
            <w:vAlign w:val="center"/>
          </w:tcPr>
          <w:p>
            <w:pPr>
              <w:pStyle w:val="12"/>
            </w:pPr>
            <w:r>
              <w:t>梅花惨案纪念馆土地租赁费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3.07</w:t>
            </w:r>
          </w:p>
        </w:tc>
        <w:tc>
          <w:tcPr>
            <w:tcW w:w="2835" w:type="dxa"/>
            <w:vAlign w:val="center"/>
          </w:tcPr>
          <w:p>
            <w:pPr>
              <w:pStyle w:val="10"/>
            </w:pPr>
            <w:r>
              <w:t>其中：财政    资金</w:t>
            </w:r>
          </w:p>
        </w:tc>
        <w:tc>
          <w:tcPr>
            <w:tcW w:w="2551" w:type="dxa"/>
            <w:vAlign w:val="center"/>
          </w:tcPr>
          <w:p>
            <w:pPr>
              <w:pStyle w:val="12"/>
            </w:pPr>
            <w:r>
              <w:t>3.07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梅花惨案纪念馆土地资金及时拨付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1.85</w:t>
            </w:r>
          </w:p>
        </w:tc>
        <w:tc>
          <w:tcPr>
            <w:tcW w:w="2551" w:type="dxa"/>
            <w:vAlign w:val="center"/>
          </w:tcPr>
          <w:p>
            <w:pPr>
              <w:pStyle w:val="13"/>
            </w:pPr>
            <w:r>
              <w:t>2.77</w:t>
            </w:r>
          </w:p>
        </w:tc>
        <w:tc>
          <w:tcPr>
            <w:tcW w:w="3544" w:type="dxa"/>
            <w:gridSpan w:val="2"/>
            <w:vAlign w:val="center"/>
          </w:tcPr>
          <w:p>
            <w:pPr>
              <w:pStyle w:val="13"/>
            </w:pPr>
            <w:r>
              <w:t>3.07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1.保障梅花惨案纪念馆土地资金及时拨付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包含覆盖数</w:t>
            </w:r>
          </w:p>
        </w:tc>
        <w:tc>
          <w:tcPr>
            <w:tcW w:w="5386" w:type="dxa"/>
            <w:vAlign w:val="center"/>
          </w:tcPr>
          <w:p>
            <w:pPr>
              <w:pStyle w:val="12"/>
            </w:pPr>
            <w:r>
              <w:t>支出资金覆盖的梅花惨案纪念馆土地租金年数</w:t>
            </w:r>
          </w:p>
        </w:tc>
        <w:tc>
          <w:tcPr>
            <w:tcW w:w="2268" w:type="dxa"/>
            <w:vAlign w:val="center"/>
          </w:tcPr>
          <w:p>
            <w:pPr>
              <w:pStyle w:val="12"/>
            </w:pPr>
            <w:r>
              <w:t>≥1年</w:t>
            </w:r>
          </w:p>
        </w:tc>
        <w:tc>
          <w:tcPr>
            <w:tcW w:w="1276" w:type="dxa"/>
            <w:vAlign w:val="center"/>
          </w:tcPr>
          <w:p>
            <w:pPr>
              <w:pStyle w:val="12"/>
            </w:pPr>
            <w:r>
              <w:t>工作检查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某一时期内拨付资金与计划拨付资金的比例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严格控制预算资金成本</w:t>
            </w:r>
          </w:p>
        </w:tc>
        <w:tc>
          <w:tcPr>
            <w:tcW w:w="2268" w:type="dxa"/>
            <w:vAlign w:val="center"/>
          </w:tcPr>
          <w:p>
            <w:pPr>
              <w:pStyle w:val="12"/>
            </w:pPr>
            <w:r>
              <w:t>≥3.06万元</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保障梅花惨案纪念馆土地资金及时拨付</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保障梅花惨案纪念馆土地资金及时拨付</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13010926P00002510033C</w:t>
            </w:r>
          </w:p>
        </w:tc>
        <w:tc>
          <w:tcPr>
            <w:tcW w:w="2835" w:type="dxa"/>
            <w:vAlign w:val="center"/>
          </w:tcPr>
          <w:p>
            <w:pPr>
              <w:pStyle w:val="10"/>
            </w:pPr>
            <w:r>
              <w:t>项目名称</w:t>
            </w:r>
          </w:p>
        </w:tc>
        <w:tc>
          <w:tcPr>
            <w:tcW w:w="6095"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用于支付农村独生子女补助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2.50</w:t>
            </w:r>
          </w:p>
        </w:tc>
        <w:tc>
          <w:tcPr>
            <w:tcW w:w="2551" w:type="dxa"/>
            <w:vAlign w:val="center"/>
          </w:tcPr>
          <w:p>
            <w:pPr>
              <w:pStyle w:val="13"/>
            </w:pPr>
            <w:r>
              <w:t>3.60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1.保障农村独生子女家庭稳定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农村独生子女的人数</w:t>
            </w:r>
          </w:p>
        </w:tc>
        <w:tc>
          <w:tcPr>
            <w:tcW w:w="5386" w:type="dxa"/>
            <w:vAlign w:val="center"/>
          </w:tcPr>
          <w:p>
            <w:pPr>
              <w:pStyle w:val="12"/>
            </w:pPr>
            <w:r>
              <w:t>发放农村独生子女费的人数</w:t>
            </w:r>
          </w:p>
        </w:tc>
        <w:tc>
          <w:tcPr>
            <w:tcW w:w="2268" w:type="dxa"/>
            <w:vAlign w:val="center"/>
          </w:tcPr>
          <w:p>
            <w:pPr>
              <w:pStyle w:val="12"/>
            </w:pPr>
            <w:r>
              <w:t>≤340人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拨付资金占应发放工资的比例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是否及时发放农村独生子女费</w:t>
            </w:r>
          </w:p>
        </w:tc>
        <w:tc>
          <w:tcPr>
            <w:tcW w:w="2268" w:type="dxa"/>
            <w:vAlign w:val="center"/>
          </w:tcPr>
          <w:p>
            <w:pPr>
              <w:pStyle w:val="12"/>
            </w:pPr>
            <w:r>
              <w:t>按年发放</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5386" w:type="dxa"/>
            <w:vAlign w:val="center"/>
          </w:tcPr>
          <w:p>
            <w:pPr>
              <w:pStyle w:val="12"/>
            </w:pPr>
            <w:r>
              <w:t>每人发放的农村独生子女费</w:t>
            </w:r>
          </w:p>
        </w:tc>
        <w:tc>
          <w:tcPr>
            <w:tcW w:w="2268" w:type="dxa"/>
            <w:vAlign w:val="center"/>
          </w:tcPr>
          <w:p>
            <w:pPr>
              <w:pStyle w:val="12"/>
            </w:pPr>
            <w:r>
              <w:t>≥117.65元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保障独生子女家庭稳定</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家庭满意度</w:t>
            </w:r>
          </w:p>
        </w:tc>
        <w:tc>
          <w:tcPr>
            <w:tcW w:w="5386" w:type="dxa"/>
            <w:vAlign w:val="center"/>
          </w:tcPr>
          <w:p>
            <w:pPr>
              <w:pStyle w:val="12"/>
            </w:pPr>
            <w:r>
              <w:t>拨付的满意程度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7、石财预【2024】33号关于提前下达2025年革命老区转移支付预算的通知（高玉村）绩效目标表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13010925P000009101299</w:t>
            </w:r>
          </w:p>
        </w:tc>
        <w:tc>
          <w:tcPr>
            <w:tcW w:w="2835" w:type="dxa"/>
            <w:vAlign w:val="center"/>
          </w:tcPr>
          <w:p>
            <w:pPr>
              <w:pStyle w:val="10"/>
            </w:pPr>
            <w:r>
              <w:t>项目名称</w:t>
            </w:r>
          </w:p>
        </w:tc>
        <w:tc>
          <w:tcPr>
            <w:tcW w:w="6095" w:type="dxa"/>
            <w:gridSpan w:val="3"/>
            <w:vAlign w:val="center"/>
          </w:tcPr>
          <w:p>
            <w:pPr>
              <w:pStyle w:val="12"/>
            </w:pPr>
            <w:r>
              <w:t>石财预【2024】33号关于提前下达2025年革命老区转移支付预算的通知（高玉村）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w:t>
            </w:r>
          </w:p>
        </w:tc>
        <w:tc>
          <w:tcPr>
            <w:tcW w:w="2835" w:type="dxa"/>
            <w:vAlign w:val="center"/>
          </w:tcPr>
          <w:p>
            <w:pPr>
              <w:pStyle w:val="10"/>
            </w:pPr>
            <w:r>
              <w:t>其中：财政    资金</w:t>
            </w:r>
          </w:p>
        </w:tc>
        <w:tc>
          <w:tcPr>
            <w:tcW w:w="2551" w:type="dxa"/>
            <w:vAlign w:val="center"/>
          </w:tcPr>
          <w:p>
            <w:pPr>
              <w:pStyle w:val="12"/>
            </w:pPr>
            <w:r>
              <w:t>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用于完成高玉村道路修建，为居民出行提供方便。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40.80</w:t>
            </w:r>
          </w:p>
        </w:tc>
        <w:tc>
          <w:tcPr>
            <w:tcW w:w="2551" w:type="dxa"/>
            <w:vAlign w:val="center"/>
          </w:tcPr>
          <w:p>
            <w:pPr>
              <w:pStyle w:val="13"/>
            </w:pPr>
            <w:r>
              <w:t>61.20</w:t>
            </w:r>
          </w:p>
        </w:tc>
        <w:tc>
          <w:tcPr>
            <w:tcW w:w="3544" w:type="dxa"/>
            <w:gridSpan w:val="2"/>
            <w:vAlign w:val="center"/>
          </w:tcPr>
          <w:p>
            <w:pPr>
              <w:pStyle w:val="13"/>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1.完成高玉村道路修建，为居民出行提供方便。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道路条数</w:t>
            </w:r>
          </w:p>
        </w:tc>
        <w:tc>
          <w:tcPr>
            <w:tcW w:w="5386" w:type="dxa"/>
            <w:vAlign w:val="center"/>
          </w:tcPr>
          <w:p>
            <w:pPr>
              <w:pStyle w:val="12"/>
            </w:pPr>
            <w:r>
              <w:t>用资金建设的道路数量</w:t>
            </w:r>
          </w:p>
        </w:tc>
        <w:tc>
          <w:tcPr>
            <w:tcW w:w="2268" w:type="dxa"/>
            <w:vAlign w:val="center"/>
          </w:tcPr>
          <w:p>
            <w:pPr>
              <w:pStyle w:val="12"/>
            </w:pPr>
            <w:r>
              <w:t>≥2条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质量是否达到标准</w:t>
            </w:r>
          </w:p>
        </w:tc>
        <w:tc>
          <w:tcPr>
            <w:tcW w:w="5386" w:type="dxa"/>
            <w:vAlign w:val="center"/>
          </w:tcPr>
          <w:p>
            <w:pPr>
              <w:pStyle w:val="12"/>
            </w:pPr>
            <w:r>
              <w:t>道路质量是否达到标准</w:t>
            </w:r>
          </w:p>
        </w:tc>
        <w:tc>
          <w:tcPr>
            <w:tcW w:w="2268" w:type="dxa"/>
            <w:vAlign w:val="center"/>
          </w:tcPr>
          <w:p>
            <w:pPr>
              <w:pStyle w:val="12"/>
            </w:pPr>
            <w:r>
              <w:t>≥95%</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完成道路修建需要多长时间</w:t>
            </w:r>
          </w:p>
        </w:tc>
        <w:tc>
          <w:tcPr>
            <w:tcW w:w="2268" w:type="dxa"/>
            <w:vAlign w:val="center"/>
          </w:tcPr>
          <w:p>
            <w:pPr>
              <w:pStyle w:val="12"/>
            </w:pPr>
            <w:r>
              <w:t>≥3月</w:t>
            </w:r>
          </w:p>
        </w:tc>
        <w:tc>
          <w:tcPr>
            <w:tcW w:w="1276" w:type="dxa"/>
            <w:vAlign w:val="center"/>
          </w:tcPr>
          <w:p>
            <w:pPr>
              <w:pStyle w:val="12"/>
            </w:pPr>
            <w:r>
              <w:t>工程进度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w:t>
            </w:r>
          </w:p>
        </w:tc>
        <w:tc>
          <w:tcPr>
            <w:tcW w:w="5386" w:type="dxa"/>
            <w:vAlign w:val="center"/>
          </w:tcPr>
          <w:p>
            <w:pPr>
              <w:pStyle w:val="12"/>
            </w:pPr>
            <w:r>
              <w:t>修建道路需要的资金金额</w:t>
            </w:r>
          </w:p>
        </w:tc>
        <w:tc>
          <w:tcPr>
            <w:tcW w:w="2268" w:type="dxa"/>
            <w:vAlign w:val="center"/>
          </w:tcPr>
          <w:p>
            <w:pPr>
              <w:pStyle w:val="12"/>
            </w:pPr>
            <w:r>
              <w:t>≥138万元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为民服务开展程度</w:t>
            </w:r>
          </w:p>
        </w:tc>
        <w:tc>
          <w:tcPr>
            <w:tcW w:w="5386" w:type="dxa"/>
            <w:vAlign w:val="center"/>
          </w:tcPr>
          <w:p>
            <w:pPr>
              <w:pStyle w:val="12"/>
            </w:pPr>
            <w:r>
              <w:t>道路修建为村民出行提供的方便程度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群众对道路的满意度</w:t>
            </w:r>
          </w:p>
        </w:tc>
        <w:tc>
          <w:tcPr>
            <w:tcW w:w="5386" w:type="dxa"/>
            <w:vAlign w:val="center"/>
          </w:tcPr>
          <w:p>
            <w:pPr>
              <w:pStyle w:val="12"/>
            </w:pPr>
            <w:r>
              <w:t>群众对新修道路的满意程度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8、石财预【2025】24号关于提前下达2026年革命老区转移支付预算的通知（崔家庄）绩效目标表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13010926P00006010012H</w:t>
            </w:r>
          </w:p>
        </w:tc>
        <w:tc>
          <w:tcPr>
            <w:tcW w:w="2835" w:type="dxa"/>
            <w:vAlign w:val="center"/>
          </w:tcPr>
          <w:p>
            <w:pPr>
              <w:pStyle w:val="10"/>
            </w:pPr>
            <w:r>
              <w:t>项目名称</w:t>
            </w:r>
          </w:p>
        </w:tc>
        <w:tc>
          <w:tcPr>
            <w:tcW w:w="6095" w:type="dxa"/>
            <w:gridSpan w:val="3"/>
            <w:vAlign w:val="center"/>
          </w:tcPr>
          <w:p>
            <w:pPr>
              <w:pStyle w:val="12"/>
            </w:pPr>
            <w:r>
              <w:t>石财预【2025】24号关于提前下达2026年革命老区转移支付预算的通知（崔家庄）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用于崔家庄村道路铺油修建，为居民出行提供方便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42.00</w:t>
            </w:r>
          </w:p>
        </w:tc>
        <w:tc>
          <w:tcPr>
            <w:tcW w:w="2551" w:type="dxa"/>
            <w:vAlign w:val="center"/>
          </w:tcPr>
          <w:p>
            <w:pPr>
              <w:pStyle w:val="13"/>
            </w:pPr>
            <w:r>
              <w:t>63.00</w:t>
            </w:r>
          </w:p>
        </w:tc>
        <w:tc>
          <w:tcPr>
            <w:tcW w:w="3544"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1.完成崔家庄村道路铺油修建，为居民出行提供方便。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道路条数</w:t>
            </w:r>
          </w:p>
        </w:tc>
        <w:tc>
          <w:tcPr>
            <w:tcW w:w="5386" w:type="dxa"/>
            <w:vAlign w:val="center"/>
          </w:tcPr>
          <w:p>
            <w:pPr>
              <w:pStyle w:val="12"/>
            </w:pPr>
            <w:r>
              <w:t>用资金建设的道路数量</w:t>
            </w:r>
          </w:p>
        </w:tc>
        <w:tc>
          <w:tcPr>
            <w:tcW w:w="2268" w:type="dxa"/>
            <w:vAlign w:val="center"/>
          </w:tcPr>
          <w:p>
            <w:pPr>
              <w:pStyle w:val="12"/>
            </w:pPr>
            <w:r>
              <w:t>≥2条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质量是否达到标准</w:t>
            </w:r>
          </w:p>
        </w:tc>
        <w:tc>
          <w:tcPr>
            <w:tcW w:w="5386" w:type="dxa"/>
            <w:vAlign w:val="center"/>
          </w:tcPr>
          <w:p>
            <w:pPr>
              <w:pStyle w:val="12"/>
            </w:pPr>
            <w:r>
              <w:t>道路质量是否达到标准</w:t>
            </w:r>
          </w:p>
        </w:tc>
        <w:tc>
          <w:tcPr>
            <w:tcW w:w="2268" w:type="dxa"/>
            <w:vAlign w:val="center"/>
          </w:tcPr>
          <w:p>
            <w:pPr>
              <w:pStyle w:val="12"/>
            </w:pPr>
            <w:r>
              <w:t>≥95%</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完成道路修建需要多长时间</w:t>
            </w:r>
          </w:p>
        </w:tc>
        <w:tc>
          <w:tcPr>
            <w:tcW w:w="2268" w:type="dxa"/>
            <w:vAlign w:val="center"/>
          </w:tcPr>
          <w:p>
            <w:pPr>
              <w:pStyle w:val="12"/>
            </w:pPr>
            <w:r>
              <w:t>≥3月</w:t>
            </w:r>
          </w:p>
        </w:tc>
        <w:tc>
          <w:tcPr>
            <w:tcW w:w="1276" w:type="dxa"/>
            <w:vAlign w:val="center"/>
          </w:tcPr>
          <w:p>
            <w:pPr>
              <w:pStyle w:val="12"/>
            </w:pPr>
            <w:r>
              <w:t>工程进度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w:t>
            </w:r>
          </w:p>
        </w:tc>
        <w:tc>
          <w:tcPr>
            <w:tcW w:w="5386" w:type="dxa"/>
            <w:vAlign w:val="center"/>
          </w:tcPr>
          <w:p>
            <w:pPr>
              <w:pStyle w:val="12"/>
            </w:pPr>
            <w:r>
              <w:t>修建道路需要的资金金额</w:t>
            </w:r>
          </w:p>
        </w:tc>
        <w:tc>
          <w:tcPr>
            <w:tcW w:w="2268" w:type="dxa"/>
            <w:vAlign w:val="center"/>
          </w:tcPr>
          <w:p>
            <w:pPr>
              <w:pStyle w:val="12"/>
            </w:pPr>
            <w:r>
              <w:t>≥70万元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为民服务开展程度</w:t>
            </w:r>
          </w:p>
        </w:tc>
        <w:tc>
          <w:tcPr>
            <w:tcW w:w="5386" w:type="dxa"/>
            <w:vAlign w:val="center"/>
          </w:tcPr>
          <w:p>
            <w:pPr>
              <w:pStyle w:val="12"/>
            </w:pPr>
            <w:r>
              <w:t>道路修建为村民出行提供的方便程度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群众对道路的满意度</w:t>
            </w:r>
          </w:p>
        </w:tc>
        <w:tc>
          <w:tcPr>
            <w:tcW w:w="5386" w:type="dxa"/>
            <w:vAlign w:val="center"/>
          </w:tcPr>
          <w:p>
            <w:pPr>
              <w:pStyle w:val="12"/>
            </w:pPr>
            <w:r>
              <w:t>群众对新修道路的满意程度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13010926P00002510035K</w:t>
            </w:r>
          </w:p>
        </w:tc>
        <w:tc>
          <w:tcPr>
            <w:tcW w:w="2835" w:type="dxa"/>
            <w:vAlign w:val="center"/>
          </w:tcPr>
          <w:p>
            <w:pPr>
              <w:pStyle w:val="10"/>
            </w:pPr>
            <w:r>
              <w:t>项目名称</w:t>
            </w:r>
          </w:p>
        </w:tc>
        <w:tc>
          <w:tcPr>
            <w:tcW w:w="6095"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27.20</w:t>
            </w:r>
          </w:p>
        </w:tc>
        <w:tc>
          <w:tcPr>
            <w:tcW w:w="2835" w:type="dxa"/>
            <w:vAlign w:val="center"/>
          </w:tcPr>
          <w:p>
            <w:pPr>
              <w:pStyle w:val="10"/>
            </w:pPr>
            <w:r>
              <w:t>其中：财政    资金</w:t>
            </w:r>
          </w:p>
        </w:tc>
        <w:tc>
          <w:tcPr>
            <w:tcW w:w="2551" w:type="dxa"/>
            <w:vAlign w:val="center"/>
          </w:tcPr>
          <w:p>
            <w:pPr>
              <w:pStyle w:val="12"/>
            </w:pPr>
            <w:r>
              <w:t>27.20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工会费及时、足额上缴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6.80</w:t>
            </w:r>
          </w:p>
        </w:tc>
        <w:tc>
          <w:tcPr>
            <w:tcW w:w="2835" w:type="dxa"/>
            <w:vAlign w:val="center"/>
          </w:tcPr>
          <w:p>
            <w:pPr>
              <w:pStyle w:val="13"/>
            </w:pPr>
            <w:r>
              <w:t>16.32</w:t>
            </w:r>
          </w:p>
        </w:tc>
        <w:tc>
          <w:tcPr>
            <w:tcW w:w="2551" w:type="dxa"/>
            <w:vAlign w:val="center"/>
          </w:tcPr>
          <w:p>
            <w:pPr>
              <w:pStyle w:val="13"/>
            </w:pPr>
            <w:r>
              <w:t>24.48</w:t>
            </w:r>
          </w:p>
        </w:tc>
        <w:tc>
          <w:tcPr>
            <w:tcW w:w="3544" w:type="dxa"/>
            <w:gridSpan w:val="2"/>
            <w:vAlign w:val="center"/>
          </w:tcPr>
          <w:p>
            <w:pPr>
              <w:pStyle w:val="13"/>
            </w:pPr>
            <w:r>
              <w:t>27.20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1.保障工会费及时、足额上缴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梅花镇中心校在职人数</w:t>
            </w:r>
          </w:p>
        </w:tc>
        <w:tc>
          <w:tcPr>
            <w:tcW w:w="5386" w:type="dxa"/>
            <w:vAlign w:val="center"/>
          </w:tcPr>
          <w:p>
            <w:pPr>
              <w:pStyle w:val="12"/>
            </w:pPr>
            <w:r>
              <w:t>上缴工会费的人数</w:t>
            </w:r>
          </w:p>
        </w:tc>
        <w:tc>
          <w:tcPr>
            <w:tcW w:w="2268" w:type="dxa"/>
            <w:vAlign w:val="center"/>
          </w:tcPr>
          <w:p>
            <w:pPr>
              <w:pStyle w:val="12"/>
            </w:pPr>
            <w:r>
              <w:t>≥318人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上缴资金及时性</w:t>
            </w:r>
          </w:p>
        </w:tc>
        <w:tc>
          <w:tcPr>
            <w:tcW w:w="5386" w:type="dxa"/>
            <w:vAlign w:val="center"/>
          </w:tcPr>
          <w:p>
            <w:pPr>
              <w:pStyle w:val="12"/>
            </w:pPr>
            <w:r>
              <w:t>按照区工会安排时间进度上缴工会费</w:t>
            </w:r>
          </w:p>
        </w:tc>
        <w:tc>
          <w:tcPr>
            <w:tcW w:w="2268" w:type="dxa"/>
            <w:vAlign w:val="center"/>
          </w:tcPr>
          <w:p>
            <w:pPr>
              <w:pStyle w:val="12"/>
            </w:pPr>
            <w:r>
              <w:t>按照区工会安排时间及时上缴</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每人上缴的工会费</w:t>
            </w:r>
          </w:p>
        </w:tc>
        <w:tc>
          <w:tcPr>
            <w:tcW w:w="2268" w:type="dxa"/>
            <w:vAlign w:val="center"/>
          </w:tcPr>
          <w:p>
            <w:pPr>
              <w:pStyle w:val="12"/>
            </w:pPr>
            <w:r>
              <w:t>≥855元</w:t>
            </w:r>
          </w:p>
        </w:tc>
        <w:tc>
          <w:tcPr>
            <w:tcW w:w="1276" w:type="dxa"/>
            <w:vAlign w:val="center"/>
          </w:tcPr>
          <w:p>
            <w:pPr>
              <w:pStyle w:val="12"/>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w:t>
            </w:r>
          </w:p>
        </w:tc>
        <w:tc>
          <w:tcPr>
            <w:tcW w:w="1276"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对政府供给工作的满意度</w:t>
            </w:r>
          </w:p>
        </w:tc>
        <w:tc>
          <w:tcPr>
            <w:tcW w:w="2268" w:type="dxa"/>
            <w:vAlign w:val="center"/>
          </w:tcPr>
          <w:p>
            <w:pPr>
              <w:pStyle w:val="12"/>
            </w:pPr>
            <w:r>
              <w:t>≥90%</w:t>
            </w:r>
          </w:p>
        </w:tc>
        <w:tc>
          <w:tcPr>
            <w:tcW w:w="1276" w:type="dxa"/>
            <w:vAlign w:val="center"/>
          </w:tcPr>
          <w:p>
            <w:pPr>
              <w:pStyle w:val="12"/>
            </w:pPr>
            <w:r>
              <w:t>考核结果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13010926P00002510032Q</w:t>
            </w:r>
          </w:p>
        </w:tc>
        <w:tc>
          <w:tcPr>
            <w:tcW w:w="2835" w:type="dxa"/>
            <w:vAlign w:val="center"/>
          </w:tcPr>
          <w:p>
            <w:pPr>
              <w:pStyle w:val="10"/>
            </w:pPr>
            <w:r>
              <w:t>项目名称</w:t>
            </w:r>
          </w:p>
        </w:tc>
        <w:tc>
          <w:tcPr>
            <w:tcW w:w="6095" w:type="dxa"/>
            <w:gridSpan w:val="3"/>
            <w:vAlign w:val="center"/>
          </w:tcPr>
          <w:p>
            <w:pPr>
              <w:pStyle w:val="12"/>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w:t>
            </w:r>
          </w:p>
        </w:tc>
        <w:tc>
          <w:tcPr>
            <w:tcW w:w="2835" w:type="dxa"/>
            <w:vAlign w:val="center"/>
          </w:tcPr>
          <w:p>
            <w:pPr>
              <w:pStyle w:val="10"/>
            </w:pPr>
            <w:r>
              <w:t>其中：财政    资金</w:t>
            </w:r>
          </w:p>
        </w:tc>
        <w:tc>
          <w:tcPr>
            <w:tcW w:w="2551" w:type="dxa"/>
            <w:vAlign w:val="center"/>
          </w:tcPr>
          <w:p>
            <w:pPr>
              <w:pStyle w:val="12"/>
            </w:pPr>
            <w:r>
              <w:t>3.89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对原经贸系统关闭企业下放回乡的合同工、副业工涉军人员发放生活补贴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2.34</w:t>
            </w:r>
          </w:p>
        </w:tc>
        <w:tc>
          <w:tcPr>
            <w:tcW w:w="2551" w:type="dxa"/>
            <w:vAlign w:val="center"/>
          </w:tcPr>
          <w:p>
            <w:pPr>
              <w:pStyle w:val="13"/>
            </w:pPr>
            <w:r>
              <w:t>3.50</w:t>
            </w:r>
          </w:p>
        </w:tc>
        <w:tc>
          <w:tcPr>
            <w:tcW w:w="3544" w:type="dxa"/>
            <w:gridSpan w:val="2"/>
            <w:vAlign w:val="center"/>
          </w:tcPr>
          <w:p>
            <w:pPr>
              <w:pStyle w:val="13"/>
            </w:pPr>
            <w:r>
              <w:t>3.89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1.通过对原经贸系统关闭企业下放回乡的合同工、副业工涉军人员生活补贴，促进社会和谐稳定。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原经贸回乡涉军人员人数</w:t>
            </w:r>
          </w:p>
        </w:tc>
        <w:tc>
          <w:tcPr>
            <w:tcW w:w="5386" w:type="dxa"/>
            <w:vAlign w:val="center"/>
          </w:tcPr>
          <w:p>
            <w:pPr>
              <w:pStyle w:val="12"/>
            </w:pPr>
            <w:r>
              <w:t>发放原经贸回乡涉军人员补贴的人数</w:t>
            </w:r>
          </w:p>
        </w:tc>
        <w:tc>
          <w:tcPr>
            <w:tcW w:w="2268" w:type="dxa"/>
            <w:vAlign w:val="center"/>
          </w:tcPr>
          <w:p>
            <w:pPr>
              <w:pStyle w:val="12"/>
            </w:pPr>
            <w:r>
              <w:t>≤16人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拨付资金占应发放生活补贴的比例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是否及时发放补贴</w:t>
            </w:r>
          </w:p>
        </w:tc>
        <w:tc>
          <w:tcPr>
            <w:tcW w:w="2268" w:type="dxa"/>
            <w:vAlign w:val="center"/>
          </w:tcPr>
          <w:p>
            <w:pPr>
              <w:pStyle w:val="12"/>
            </w:pPr>
            <w:r>
              <w:t>按年发放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涉军人员补贴标准</w:t>
            </w:r>
          </w:p>
        </w:tc>
        <w:tc>
          <w:tcPr>
            <w:tcW w:w="2268" w:type="dxa"/>
            <w:vAlign w:val="center"/>
          </w:tcPr>
          <w:p>
            <w:pPr>
              <w:pStyle w:val="12"/>
            </w:pPr>
            <w:r>
              <w:t>≤2430元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开展为民服务保障能力提升情况</w:t>
            </w:r>
          </w:p>
        </w:tc>
        <w:tc>
          <w:tcPr>
            <w:tcW w:w="5386" w:type="dxa"/>
            <w:vAlign w:val="center"/>
          </w:tcPr>
          <w:p>
            <w:pPr>
              <w:pStyle w:val="12"/>
            </w:pPr>
            <w:r>
              <w:t>保障经贸系统下方回乡的涉军人员生活</w:t>
            </w:r>
          </w:p>
        </w:tc>
        <w:tc>
          <w:tcPr>
            <w:tcW w:w="2268" w:type="dxa"/>
            <w:vAlign w:val="center"/>
          </w:tcPr>
          <w:p>
            <w:pPr>
              <w:pStyle w:val="12"/>
            </w:pPr>
            <w:r>
              <w:t>较上年有所提升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受益群体满意度指标</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13010926P000025100315</w:t>
            </w:r>
          </w:p>
        </w:tc>
        <w:tc>
          <w:tcPr>
            <w:tcW w:w="2835" w:type="dxa"/>
            <w:vAlign w:val="center"/>
          </w:tcPr>
          <w:p>
            <w:pPr>
              <w:pStyle w:val="10"/>
            </w:pPr>
            <w:r>
              <w:t>项目名称</w:t>
            </w:r>
          </w:p>
        </w:tc>
        <w:tc>
          <w:tcPr>
            <w:tcW w:w="6095"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4.16</w:t>
            </w:r>
          </w:p>
        </w:tc>
        <w:tc>
          <w:tcPr>
            <w:tcW w:w="2835" w:type="dxa"/>
            <w:vAlign w:val="center"/>
          </w:tcPr>
          <w:p>
            <w:pPr>
              <w:pStyle w:val="10"/>
            </w:pPr>
            <w:r>
              <w:t>其中：财政    资金</w:t>
            </w:r>
          </w:p>
        </w:tc>
        <w:tc>
          <w:tcPr>
            <w:tcW w:w="2551" w:type="dxa"/>
            <w:vAlign w:val="center"/>
          </w:tcPr>
          <w:p>
            <w:pPr>
              <w:pStyle w:val="12"/>
            </w:pPr>
            <w:r>
              <w:t>4.16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工会费按时足额上缴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2.50</w:t>
            </w:r>
          </w:p>
        </w:tc>
        <w:tc>
          <w:tcPr>
            <w:tcW w:w="2551" w:type="dxa"/>
            <w:vAlign w:val="center"/>
          </w:tcPr>
          <w:p>
            <w:pPr>
              <w:pStyle w:val="13"/>
            </w:pPr>
            <w:r>
              <w:t>3.75</w:t>
            </w:r>
          </w:p>
        </w:tc>
        <w:tc>
          <w:tcPr>
            <w:tcW w:w="3544" w:type="dxa"/>
            <w:gridSpan w:val="2"/>
            <w:vAlign w:val="center"/>
          </w:tcPr>
          <w:p>
            <w:pPr>
              <w:pStyle w:val="13"/>
            </w:pPr>
            <w:r>
              <w:t>4.16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1.保障工会费按时足额上缴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梅花镇政府在职人数</w:t>
            </w:r>
          </w:p>
        </w:tc>
        <w:tc>
          <w:tcPr>
            <w:tcW w:w="5386" w:type="dxa"/>
            <w:vAlign w:val="center"/>
          </w:tcPr>
          <w:p>
            <w:pPr>
              <w:pStyle w:val="12"/>
            </w:pPr>
            <w:r>
              <w:t>上缴工会费的人数</w:t>
            </w:r>
          </w:p>
        </w:tc>
        <w:tc>
          <w:tcPr>
            <w:tcW w:w="2268" w:type="dxa"/>
            <w:vAlign w:val="center"/>
          </w:tcPr>
          <w:p>
            <w:pPr>
              <w:pStyle w:val="12"/>
            </w:pPr>
            <w:r>
              <w:t>≥58人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上缴资金及时性</w:t>
            </w:r>
          </w:p>
        </w:tc>
        <w:tc>
          <w:tcPr>
            <w:tcW w:w="5386" w:type="dxa"/>
            <w:vAlign w:val="center"/>
          </w:tcPr>
          <w:p>
            <w:pPr>
              <w:pStyle w:val="12"/>
            </w:pPr>
            <w:r>
              <w:t>按照区工会安排时间进度上缴工会费</w:t>
            </w:r>
          </w:p>
        </w:tc>
        <w:tc>
          <w:tcPr>
            <w:tcW w:w="2268" w:type="dxa"/>
            <w:vAlign w:val="center"/>
          </w:tcPr>
          <w:p>
            <w:pPr>
              <w:pStyle w:val="12"/>
            </w:pPr>
            <w:r>
              <w:t>按照区工会安排及时上缴</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每人上缴的工会费标准</w:t>
            </w:r>
          </w:p>
        </w:tc>
        <w:tc>
          <w:tcPr>
            <w:tcW w:w="2268" w:type="dxa"/>
            <w:vAlign w:val="center"/>
          </w:tcPr>
          <w:p>
            <w:pPr>
              <w:pStyle w:val="12"/>
            </w:pPr>
            <w:r>
              <w:t>≤717元</w:t>
            </w:r>
          </w:p>
        </w:tc>
        <w:tc>
          <w:tcPr>
            <w:tcW w:w="1276" w:type="dxa"/>
            <w:vAlign w:val="center"/>
          </w:tcPr>
          <w:p>
            <w:pPr>
              <w:pStyle w:val="12"/>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≥85%</w:t>
            </w:r>
          </w:p>
        </w:tc>
        <w:tc>
          <w:tcPr>
            <w:tcW w:w="1276"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群众对当年工作的满意数量占总数的比例</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12、综合工作经费（人居环境、安全生产、土地、环保、信访、临时人员工资、武装等工作经费）绩效目标表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13010926P00002510095T</w:t>
            </w:r>
          </w:p>
        </w:tc>
        <w:tc>
          <w:tcPr>
            <w:tcW w:w="2835" w:type="dxa"/>
            <w:vAlign w:val="center"/>
          </w:tcPr>
          <w:p>
            <w:pPr>
              <w:pStyle w:val="10"/>
            </w:pPr>
            <w:r>
              <w:t>项目名称</w:t>
            </w:r>
          </w:p>
        </w:tc>
        <w:tc>
          <w:tcPr>
            <w:tcW w:w="6095" w:type="dxa"/>
            <w:gridSpan w:val="3"/>
            <w:vAlign w:val="center"/>
          </w:tcPr>
          <w:p>
            <w:pPr>
              <w:pStyle w:val="12"/>
            </w:pPr>
            <w:r>
              <w:t>综合工作经费（人居环境、安全生产、土地、环保、信访、临时人员工资、武装等工作经费）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保障梅花镇开展人居环境、安全生产、土地、环保、信访、临时人员工资、武装等各项工作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23.40</w:t>
            </w:r>
          </w:p>
        </w:tc>
        <w:tc>
          <w:tcPr>
            <w:tcW w:w="2835" w:type="dxa"/>
            <w:vAlign w:val="center"/>
          </w:tcPr>
          <w:p>
            <w:pPr>
              <w:pStyle w:val="13"/>
            </w:pPr>
            <w:r>
              <w:t>46.80</w:t>
            </w:r>
          </w:p>
        </w:tc>
        <w:tc>
          <w:tcPr>
            <w:tcW w:w="2551" w:type="dxa"/>
            <w:vAlign w:val="center"/>
          </w:tcPr>
          <w:p>
            <w:pPr>
              <w:pStyle w:val="13"/>
            </w:pPr>
            <w:r>
              <w:t>70.20</w:t>
            </w:r>
          </w:p>
        </w:tc>
        <w:tc>
          <w:tcPr>
            <w:tcW w:w="3544" w:type="dxa"/>
            <w:gridSpan w:val="2"/>
            <w:vAlign w:val="center"/>
          </w:tcPr>
          <w:p>
            <w:pPr>
              <w:pStyle w:val="13"/>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1.保障梅花镇开展人居环境、安全生产、土地、环保、信访、临时人员工资、武装等各项工作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包含覆盖率</w:t>
            </w:r>
          </w:p>
        </w:tc>
        <w:tc>
          <w:tcPr>
            <w:tcW w:w="5386" w:type="dxa"/>
            <w:vAlign w:val="center"/>
          </w:tcPr>
          <w:p>
            <w:pPr>
              <w:pStyle w:val="12"/>
            </w:pPr>
            <w:r>
              <w:t>各项工作完成情况覆盖的村级个数</w:t>
            </w:r>
          </w:p>
        </w:tc>
        <w:tc>
          <w:tcPr>
            <w:tcW w:w="2268" w:type="dxa"/>
            <w:vAlign w:val="center"/>
          </w:tcPr>
          <w:p>
            <w:pPr>
              <w:pStyle w:val="12"/>
            </w:pPr>
            <w:r>
              <w:t>19个数</w:t>
            </w:r>
          </w:p>
        </w:tc>
        <w:tc>
          <w:tcPr>
            <w:tcW w:w="1276" w:type="dxa"/>
            <w:vAlign w:val="center"/>
          </w:tcPr>
          <w:p>
            <w:pPr>
              <w:pStyle w:val="12"/>
            </w:pPr>
            <w:r>
              <w:t>工作检查、考核报告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项目资金支出完成25%</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用于各村信访、环保、土地、安全生产的工作经费</w:t>
            </w:r>
          </w:p>
        </w:tc>
        <w:tc>
          <w:tcPr>
            <w:tcW w:w="2268" w:type="dxa"/>
            <w:vAlign w:val="center"/>
          </w:tcPr>
          <w:p>
            <w:pPr>
              <w:pStyle w:val="12"/>
            </w:pPr>
            <w:r>
              <w:t>≥4.1万元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70.00</w:t>
            </w:r>
          </w:p>
        </w:tc>
        <w:tc>
          <w:tcPr>
            <w:tcW w:w="964" w:type="dxa"/>
            <w:vAlign w:val="center"/>
          </w:tcPr>
          <w:p>
            <w:pPr>
              <w:pStyle w:val="15"/>
            </w:pPr>
            <w:r>
              <w:t>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石家庄市藁城区梅花镇人民政府本级小计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70.00</w:t>
            </w:r>
          </w:p>
        </w:tc>
        <w:tc>
          <w:tcPr>
            <w:tcW w:w="964" w:type="dxa"/>
            <w:vAlign w:val="center"/>
          </w:tcPr>
          <w:p>
            <w:pPr>
              <w:pStyle w:val="15"/>
            </w:pPr>
            <w:r>
              <w:t>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石财预【2025】24号关于提前下达2026年革命老区转移支付预算的通知（崔家庄）</w:t>
            </w:r>
          </w:p>
        </w:tc>
        <w:tc>
          <w:tcPr>
            <w:tcW w:w="964" w:type="dxa"/>
            <w:vAlign w:val="center"/>
          </w:tcPr>
          <w:p>
            <w:pPr>
              <w:pStyle w:val="11"/>
            </w:pPr>
            <w:r>
              <w:t>70.00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70.00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石家庄市藁城区梅花镇人民政府本级上年末固定资产金额为1097.07万元（详见下表）。本年度拟购置固定资产总额为0.00万元，已按要求列入政府采购预算，详见政府采购预算表。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800</w:t>
            </w:r>
          </w:p>
        </w:tc>
        <w:tc>
          <w:tcPr>
            <w:tcW w:w="2835" w:type="dxa"/>
            <w:vAlign w:val="center"/>
          </w:tcPr>
          <w:p>
            <w:pPr>
              <w:pStyle w:val="11"/>
            </w:pPr>
            <w:r>
              <w:t>166.14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166.14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1305</w:t>
            </w:r>
          </w:p>
        </w:tc>
        <w:tc>
          <w:tcPr>
            <w:tcW w:w="2835" w:type="dxa"/>
            <w:vAlign w:val="center"/>
          </w:tcPr>
          <w:p>
            <w:pPr>
              <w:pStyle w:val="11"/>
            </w:pPr>
            <w:r>
              <w:t>904.75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99A66F2"/>
    <w:rsid w:val="74F646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1</TotalTime>
  <ScaleCrop>false</ScaleCrop>
  <LinksUpToDate>false</LinksUpToDate>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2026-02-28T15:10:00Z</dcterms:created>
  <dc:creator>Administrator</dc:creator>
  <cp:lastModifiedBy>Administrator</cp:lastModifiedBy>
  <dcterms:modified xsi:type="dcterms:W3CDTF">2026-03-04T08:00:58Z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