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一、石家庄市藁城区常安镇人民政府本级收支预算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一、石家庄市藁城区常安镇人民政府本级收支预算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1356.16</w:t>
            </w:r>
          </w:p>
        </w:tc>
        <w:tc>
          <w:tcPr>
            <w:tcW w:w="4535" w:type="dxa"/>
            <w:vAlign w:val="center"/>
          </w:tcPr>
          <w:p>
            <w:pPr>
              <w:pStyle w:val="12"/>
            </w:pPr>
            <w:r>
              <w:t>一、一般公共服务支出</w:t>
            </w:r>
          </w:p>
        </w:tc>
        <w:tc>
          <w:tcPr>
            <w:tcW w:w="2126" w:type="dxa"/>
            <w:vAlign w:val="center"/>
          </w:tcPr>
          <w:p>
            <w:pPr>
              <w:pStyle w:val="11"/>
            </w:pPr>
            <w:r>
              <w:t>1099.93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1356.16</w:t>
            </w:r>
          </w:p>
        </w:tc>
        <w:tc>
          <w:tcPr>
            <w:tcW w:w="4535" w:type="dxa"/>
            <w:vAlign w:val="center"/>
          </w:tcPr>
          <w:p>
            <w:pPr>
              <w:pStyle w:val="14"/>
            </w:pPr>
            <w:r>
              <w:t>本年支出合计</w:t>
            </w:r>
          </w:p>
        </w:tc>
        <w:tc>
          <w:tcPr>
            <w:tcW w:w="2126" w:type="dxa"/>
            <w:vAlign w:val="center"/>
          </w:tcPr>
          <w:p>
            <w:pPr>
              <w:pStyle w:val="15"/>
            </w:pPr>
            <w:r>
              <w:t>1356.16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1356.16</w:t>
            </w:r>
          </w:p>
        </w:tc>
        <w:tc>
          <w:tcPr>
            <w:tcW w:w="4535" w:type="dxa"/>
            <w:vAlign w:val="center"/>
          </w:tcPr>
          <w:p>
            <w:pPr>
              <w:pStyle w:val="14"/>
            </w:pPr>
            <w:r>
              <w:t>支出总计</w:t>
            </w:r>
          </w:p>
        </w:tc>
        <w:tc>
          <w:tcPr>
            <w:tcW w:w="2126" w:type="dxa"/>
            <w:vAlign w:val="center"/>
          </w:tcPr>
          <w:p>
            <w:pPr>
              <w:pStyle w:val="15"/>
            </w:pPr>
            <w:r>
              <w:t>1356.16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1356.16</w:t>
            </w:r>
          </w:p>
        </w:tc>
        <w:tc>
          <w:tcPr>
            <w:tcW w:w="1134" w:type="dxa"/>
            <w:vAlign w:val="center"/>
          </w:tcPr>
          <w:p>
            <w:pPr>
              <w:pStyle w:val="15"/>
            </w:pPr>
            <w:r>
              <w:t>1356.16</w:t>
            </w:r>
          </w:p>
        </w:tc>
        <w:tc>
          <w:tcPr>
            <w:tcW w:w="1134" w:type="dxa"/>
            <w:vAlign w:val="center"/>
          </w:tcPr>
          <w:p>
            <w:pPr>
              <w:pStyle w:val="15"/>
            </w:pPr>
            <w:r>
              <w:t>1356.16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1099.93</w:t>
            </w:r>
          </w:p>
        </w:tc>
        <w:tc>
          <w:tcPr>
            <w:tcW w:w="1134" w:type="dxa"/>
            <w:vAlign w:val="center"/>
          </w:tcPr>
          <w:p>
            <w:pPr>
              <w:pStyle w:val="11"/>
            </w:pPr>
            <w:r>
              <w:t>1099.93</w:t>
            </w:r>
          </w:p>
        </w:tc>
        <w:tc>
          <w:tcPr>
            <w:tcW w:w="1134" w:type="dxa"/>
            <w:vAlign w:val="center"/>
          </w:tcPr>
          <w:p>
            <w:pPr>
              <w:pStyle w:val="11"/>
            </w:pPr>
            <w:r>
              <w:t>1099.93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1099.93</w:t>
            </w:r>
          </w:p>
        </w:tc>
        <w:tc>
          <w:tcPr>
            <w:tcW w:w="1134" w:type="dxa"/>
            <w:vAlign w:val="center"/>
          </w:tcPr>
          <w:p>
            <w:pPr>
              <w:pStyle w:val="11"/>
            </w:pPr>
            <w:r>
              <w:t>1099.93</w:t>
            </w:r>
          </w:p>
        </w:tc>
        <w:tc>
          <w:tcPr>
            <w:tcW w:w="1134" w:type="dxa"/>
            <w:vAlign w:val="center"/>
          </w:tcPr>
          <w:p>
            <w:pPr>
              <w:pStyle w:val="11"/>
            </w:pPr>
            <w:r>
              <w:t>1099.93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973.65</w:t>
            </w:r>
          </w:p>
        </w:tc>
        <w:tc>
          <w:tcPr>
            <w:tcW w:w="1134" w:type="dxa"/>
            <w:vAlign w:val="center"/>
          </w:tcPr>
          <w:p>
            <w:pPr>
              <w:pStyle w:val="11"/>
            </w:pPr>
            <w:r>
              <w:t>973.65</w:t>
            </w:r>
          </w:p>
        </w:tc>
        <w:tc>
          <w:tcPr>
            <w:tcW w:w="1134" w:type="dxa"/>
            <w:vAlign w:val="center"/>
          </w:tcPr>
          <w:p>
            <w:pPr>
              <w:pStyle w:val="11"/>
            </w:pPr>
            <w:r>
              <w:t>973.65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126.28</w:t>
            </w:r>
          </w:p>
        </w:tc>
        <w:tc>
          <w:tcPr>
            <w:tcW w:w="1134" w:type="dxa"/>
            <w:vAlign w:val="center"/>
          </w:tcPr>
          <w:p>
            <w:pPr>
              <w:pStyle w:val="11"/>
            </w:pPr>
            <w:r>
              <w:t>126.28</w:t>
            </w:r>
          </w:p>
        </w:tc>
        <w:tc>
          <w:tcPr>
            <w:tcW w:w="1134" w:type="dxa"/>
            <w:vAlign w:val="center"/>
          </w:tcPr>
          <w:p>
            <w:pPr>
              <w:pStyle w:val="11"/>
            </w:pPr>
            <w:r>
              <w:t>126.28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r>
              <w:t>17.28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97.48</w:t>
            </w:r>
          </w:p>
        </w:tc>
        <w:tc>
          <w:tcPr>
            <w:tcW w:w="1134" w:type="dxa"/>
            <w:vAlign w:val="center"/>
          </w:tcPr>
          <w:p>
            <w:pPr>
              <w:pStyle w:val="11"/>
            </w:pPr>
            <w:r>
              <w:t>97.48</w:t>
            </w:r>
          </w:p>
        </w:tc>
        <w:tc>
          <w:tcPr>
            <w:tcW w:w="1134" w:type="dxa"/>
            <w:vAlign w:val="center"/>
          </w:tcPr>
          <w:p>
            <w:pPr>
              <w:pStyle w:val="11"/>
            </w:pPr>
            <w:r>
              <w:t>97.48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95.51</w:t>
            </w:r>
          </w:p>
        </w:tc>
        <w:tc>
          <w:tcPr>
            <w:tcW w:w="1134" w:type="dxa"/>
            <w:vAlign w:val="center"/>
          </w:tcPr>
          <w:p>
            <w:pPr>
              <w:pStyle w:val="11"/>
            </w:pPr>
            <w:r>
              <w:t>95.51</w:t>
            </w:r>
          </w:p>
        </w:tc>
        <w:tc>
          <w:tcPr>
            <w:tcW w:w="1134" w:type="dxa"/>
            <w:vAlign w:val="center"/>
          </w:tcPr>
          <w:p>
            <w:pPr>
              <w:pStyle w:val="11"/>
            </w:pPr>
            <w:r>
              <w:t>95.51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95.51</w:t>
            </w:r>
          </w:p>
        </w:tc>
        <w:tc>
          <w:tcPr>
            <w:tcW w:w="1134" w:type="dxa"/>
            <w:vAlign w:val="center"/>
          </w:tcPr>
          <w:p>
            <w:pPr>
              <w:pStyle w:val="11"/>
            </w:pPr>
            <w:r>
              <w:t>95.51</w:t>
            </w:r>
          </w:p>
        </w:tc>
        <w:tc>
          <w:tcPr>
            <w:tcW w:w="1134" w:type="dxa"/>
            <w:vAlign w:val="center"/>
          </w:tcPr>
          <w:p>
            <w:pPr>
              <w:pStyle w:val="11"/>
            </w:pPr>
            <w:r>
              <w:t>95.51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r>
              <w:t>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48.52</w:t>
            </w:r>
          </w:p>
        </w:tc>
        <w:tc>
          <w:tcPr>
            <w:tcW w:w="1134" w:type="dxa"/>
            <w:vAlign w:val="center"/>
          </w:tcPr>
          <w:p>
            <w:pPr>
              <w:pStyle w:val="11"/>
            </w:pPr>
            <w:r>
              <w:t>48.52</w:t>
            </w:r>
          </w:p>
        </w:tc>
        <w:tc>
          <w:tcPr>
            <w:tcW w:w="1134" w:type="dxa"/>
            <w:vAlign w:val="center"/>
          </w:tcPr>
          <w:p>
            <w:pPr>
              <w:pStyle w:val="11"/>
            </w:pPr>
            <w:r>
              <w:t>48.52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44.82</w:t>
            </w:r>
          </w:p>
        </w:tc>
        <w:tc>
          <w:tcPr>
            <w:tcW w:w="1134" w:type="dxa"/>
            <w:vAlign w:val="center"/>
          </w:tcPr>
          <w:p>
            <w:pPr>
              <w:pStyle w:val="11"/>
            </w:pPr>
            <w:r>
              <w:t>44.82</w:t>
            </w:r>
          </w:p>
        </w:tc>
        <w:tc>
          <w:tcPr>
            <w:tcW w:w="1134" w:type="dxa"/>
            <w:vAlign w:val="center"/>
          </w:tcPr>
          <w:p>
            <w:pPr>
              <w:pStyle w:val="11"/>
            </w:pPr>
            <w:r>
              <w:t>44.82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31.64</w:t>
            </w:r>
          </w:p>
        </w:tc>
        <w:tc>
          <w:tcPr>
            <w:tcW w:w="1134" w:type="dxa"/>
            <w:vAlign w:val="center"/>
          </w:tcPr>
          <w:p>
            <w:pPr>
              <w:pStyle w:val="11"/>
            </w:pPr>
            <w:r>
              <w:t>31.64</w:t>
            </w:r>
          </w:p>
        </w:tc>
        <w:tc>
          <w:tcPr>
            <w:tcW w:w="1134" w:type="dxa"/>
            <w:vAlign w:val="center"/>
          </w:tcPr>
          <w:p>
            <w:pPr>
              <w:pStyle w:val="11"/>
            </w:pPr>
            <w:r>
              <w:t>31.64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13.18</w:t>
            </w:r>
          </w:p>
        </w:tc>
        <w:tc>
          <w:tcPr>
            <w:tcW w:w="1134" w:type="dxa"/>
            <w:vAlign w:val="center"/>
          </w:tcPr>
          <w:p>
            <w:pPr>
              <w:pStyle w:val="11"/>
            </w:pPr>
            <w:r>
              <w:t>13.18</w:t>
            </w:r>
          </w:p>
        </w:tc>
        <w:tc>
          <w:tcPr>
            <w:tcW w:w="1134" w:type="dxa"/>
            <w:vAlign w:val="center"/>
          </w:tcPr>
          <w:p>
            <w:pPr>
              <w:pStyle w:val="11"/>
            </w:pPr>
            <w:r>
              <w:t>13.18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r>
              <w:t>22.72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70.23</w:t>
            </w:r>
          </w:p>
        </w:tc>
        <w:tc>
          <w:tcPr>
            <w:tcW w:w="1134" w:type="dxa"/>
            <w:vAlign w:val="center"/>
          </w:tcPr>
          <w:p>
            <w:pPr>
              <w:pStyle w:val="11"/>
            </w:pPr>
            <w:r>
              <w:t>70.23</w:t>
            </w:r>
          </w:p>
        </w:tc>
        <w:tc>
          <w:tcPr>
            <w:tcW w:w="1134" w:type="dxa"/>
            <w:vAlign w:val="center"/>
          </w:tcPr>
          <w:p>
            <w:pPr>
              <w:pStyle w:val="11"/>
            </w:pPr>
            <w:r>
              <w:t>70.23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70.23</w:t>
            </w:r>
          </w:p>
        </w:tc>
        <w:tc>
          <w:tcPr>
            <w:tcW w:w="1134" w:type="dxa"/>
            <w:vAlign w:val="center"/>
          </w:tcPr>
          <w:p>
            <w:pPr>
              <w:pStyle w:val="11"/>
            </w:pPr>
            <w:r>
              <w:t>70.23</w:t>
            </w:r>
          </w:p>
        </w:tc>
        <w:tc>
          <w:tcPr>
            <w:tcW w:w="1134" w:type="dxa"/>
            <w:vAlign w:val="center"/>
          </w:tcPr>
          <w:p>
            <w:pPr>
              <w:pStyle w:val="11"/>
            </w:pPr>
            <w:r>
              <w:t>70.23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70.23</w:t>
            </w:r>
          </w:p>
        </w:tc>
        <w:tc>
          <w:tcPr>
            <w:tcW w:w="1134" w:type="dxa"/>
            <w:vAlign w:val="center"/>
          </w:tcPr>
          <w:p>
            <w:pPr>
              <w:pStyle w:val="11"/>
            </w:pPr>
            <w:r>
              <w:t>70.23</w:t>
            </w:r>
          </w:p>
        </w:tc>
        <w:tc>
          <w:tcPr>
            <w:tcW w:w="1134" w:type="dxa"/>
            <w:vAlign w:val="center"/>
          </w:tcPr>
          <w:p>
            <w:pPr>
              <w:pStyle w:val="11"/>
            </w:pPr>
            <w:r>
              <w:t>70.23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1356.16</w:t>
            </w:r>
          </w:p>
        </w:tc>
        <w:tc>
          <w:tcPr>
            <w:tcW w:w="1361" w:type="dxa"/>
            <w:vAlign w:val="center"/>
          </w:tcPr>
          <w:p>
            <w:pPr>
              <w:pStyle w:val="15"/>
            </w:pPr>
            <w:r>
              <w:t>1184.21</w:t>
            </w:r>
          </w:p>
        </w:tc>
        <w:tc>
          <w:tcPr>
            <w:tcW w:w="1361" w:type="dxa"/>
            <w:vAlign w:val="center"/>
          </w:tcPr>
          <w:p>
            <w:pPr>
              <w:pStyle w:val="15"/>
            </w:pPr>
            <w:r>
              <w:t>171.95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1099.93</w:t>
            </w:r>
          </w:p>
        </w:tc>
        <w:tc>
          <w:tcPr>
            <w:tcW w:w="1361" w:type="dxa"/>
            <w:vAlign w:val="center"/>
          </w:tcPr>
          <w:p>
            <w:pPr>
              <w:pStyle w:val="11"/>
            </w:pPr>
            <w:r>
              <w:t>973.65</w:t>
            </w:r>
          </w:p>
        </w:tc>
        <w:tc>
          <w:tcPr>
            <w:tcW w:w="1361" w:type="dxa"/>
            <w:vAlign w:val="center"/>
          </w:tcPr>
          <w:p>
            <w:pPr>
              <w:pStyle w:val="11"/>
            </w:pPr>
            <w:r>
              <w:t>126.28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1099.93</w:t>
            </w:r>
          </w:p>
        </w:tc>
        <w:tc>
          <w:tcPr>
            <w:tcW w:w="1361" w:type="dxa"/>
            <w:vAlign w:val="center"/>
          </w:tcPr>
          <w:p>
            <w:pPr>
              <w:pStyle w:val="11"/>
            </w:pPr>
            <w:r>
              <w:t>973.65</w:t>
            </w:r>
          </w:p>
        </w:tc>
        <w:tc>
          <w:tcPr>
            <w:tcW w:w="1361" w:type="dxa"/>
            <w:vAlign w:val="center"/>
          </w:tcPr>
          <w:p>
            <w:pPr>
              <w:pStyle w:val="11"/>
            </w:pPr>
            <w:r>
              <w:t>126.28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973.65</w:t>
            </w:r>
          </w:p>
        </w:tc>
        <w:tc>
          <w:tcPr>
            <w:tcW w:w="1361" w:type="dxa"/>
            <w:vAlign w:val="center"/>
          </w:tcPr>
          <w:p>
            <w:pPr>
              <w:pStyle w:val="11"/>
            </w:pPr>
            <w:r>
              <w:t>973.65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126.28</w:t>
            </w:r>
          </w:p>
        </w:tc>
        <w:tc>
          <w:tcPr>
            <w:tcW w:w="1361" w:type="dxa"/>
            <w:vAlign w:val="center"/>
          </w:tcPr>
          <w:p>
            <w:pPr>
              <w:pStyle w:val="11"/>
            </w:pPr>
          </w:p>
        </w:tc>
        <w:tc>
          <w:tcPr>
            <w:tcW w:w="1361" w:type="dxa"/>
            <w:vAlign w:val="center"/>
          </w:tcPr>
          <w:p>
            <w:pPr>
              <w:pStyle w:val="11"/>
            </w:pPr>
            <w:r>
              <w:t>126.28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r>
              <w:t>17.28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97.48</w:t>
            </w:r>
          </w:p>
        </w:tc>
        <w:tc>
          <w:tcPr>
            <w:tcW w:w="1361" w:type="dxa"/>
            <w:vAlign w:val="center"/>
          </w:tcPr>
          <w:p>
            <w:pPr>
              <w:pStyle w:val="11"/>
            </w:pPr>
            <w:r>
              <w:t>95.51</w:t>
            </w: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95.51</w:t>
            </w:r>
          </w:p>
        </w:tc>
        <w:tc>
          <w:tcPr>
            <w:tcW w:w="1361" w:type="dxa"/>
            <w:vAlign w:val="center"/>
          </w:tcPr>
          <w:p>
            <w:pPr>
              <w:pStyle w:val="11"/>
            </w:pPr>
            <w:r>
              <w:t>95.51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95.51</w:t>
            </w:r>
          </w:p>
        </w:tc>
        <w:tc>
          <w:tcPr>
            <w:tcW w:w="1361" w:type="dxa"/>
            <w:vAlign w:val="center"/>
          </w:tcPr>
          <w:p>
            <w:pPr>
              <w:pStyle w:val="11"/>
            </w:pPr>
            <w:r>
              <w:t>95.51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48.52</w:t>
            </w:r>
          </w:p>
        </w:tc>
        <w:tc>
          <w:tcPr>
            <w:tcW w:w="1361" w:type="dxa"/>
            <w:vAlign w:val="center"/>
          </w:tcPr>
          <w:p>
            <w:pPr>
              <w:pStyle w:val="11"/>
            </w:pPr>
            <w:r>
              <w:t>44.82</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44.82</w:t>
            </w:r>
          </w:p>
        </w:tc>
        <w:tc>
          <w:tcPr>
            <w:tcW w:w="1361" w:type="dxa"/>
            <w:vAlign w:val="center"/>
          </w:tcPr>
          <w:p>
            <w:pPr>
              <w:pStyle w:val="11"/>
            </w:pPr>
            <w:r>
              <w:t>44.82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31.64</w:t>
            </w:r>
          </w:p>
        </w:tc>
        <w:tc>
          <w:tcPr>
            <w:tcW w:w="1361" w:type="dxa"/>
            <w:vAlign w:val="center"/>
          </w:tcPr>
          <w:p>
            <w:pPr>
              <w:pStyle w:val="11"/>
            </w:pPr>
            <w:r>
              <w:t>31.64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13.18</w:t>
            </w:r>
          </w:p>
        </w:tc>
        <w:tc>
          <w:tcPr>
            <w:tcW w:w="1361" w:type="dxa"/>
            <w:vAlign w:val="center"/>
          </w:tcPr>
          <w:p>
            <w:pPr>
              <w:pStyle w:val="11"/>
            </w:pPr>
            <w:r>
              <w:t>13.18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r>
              <w:t>22.72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70.23</w:t>
            </w:r>
          </w:p>
        </w:tc>
        <w:tc>
          <w:tcPr>
            <w:tcW w:w="1361" w:type="dxa"/>
            <w:vAlign w:val="center"/>
          </w:tcPr>
          <w:p>
            <w:pPr>
              <w:pStyle w:val="11"/>
            </w:pPr>
            <w:r>
              <w:t>70.23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70.23</w:t>
            </w:r>
          </w:p>
        </w:tc>
        <w:tc>
          <w:tcPr>
            <w:tcW w:w="1361" w:type="dxa"/>
            <w:vAlign w:val="center"/>
          </w:tcPr>
          <w:p>
            <w:pPr>
              <w:pStyle w:val="11"/>
            </w:pPr>
            <w:r>
              <w:t>70.23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70.23</w:t>
            </w:r>
          </w:p>
        </w:tc>
        <w:tc>
          <w:tcPr>
            <w:tcW w:w="1361" w:type="dxa"/>
            <w:vAlign w:val="center"/>
          </w:tcPr>
          <w:p>
            <w:pPr>
              <w:pStyle w:val="11"/>
            </w:pPr>
            <w:r>
              <w:t>70.23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1356.16</w:t>
            </w:r>
          </w:p>
        </w:tc>
        <w:tc>
          <w:tcPr>
            <w:tcW w:w="3402" w:type="dxa"/>
            <w:vAlign w:val="center"/>
          </w:tcPr>
          <w:p>
            <w:pPr>
              <w:pStyle w:val="12"/>
            </w:pPr>
            <w:r>
              <w:t>一、一般公共服务支出</w:t>
            </w:r>
          </w:p>
        </w:tc>
        <w:tc>
          <w:tcPr>
            <w:tcW w:w="1474" w:type="dxa"/>
            <w:vAlign w:val="center"/>
          </w:tcPr>
          <w:p>
            <w:pPr>
              <w:pStyle w:val="11"/>
            </w:pPr>
            <w:r>
              <w:t>1099.93</w:t>
            </w:r>
          </w:p>
        </w:tc>
        <w:tc>
          <w:tcPr>
            <w:tcW w:w="1474" w:type="dxa"/>
            <w:vAlign w:val="center"/>
          </w:tcPr>
          <w:p>
            <w:pPr>
              <w:pStyle w:val="11"/>
            </w:pPr>
            <w:r>
              <w:t>1099.93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17.28</w:t>
            </w:r>
          </w:p>
        </w:tc>
        <w:tc>
          <w:tcPr>
            <w:tcW w:w="1474" w:type="dxa"/>
            <w:vAlign w:val="center"/>
          </w:tcPr>
          <w:p>
            <w:pPr>
              <w:pStyle w:val="11"/>
            </w:pPr>
            <w:r>
              <w:t>17.28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97.48</w:t>
            </w:r>
          </w:p>
        </w:tc>
        <w:tc>
          <w:tcPr>
            <w:tcW w:w="1474" w:type="dxa"/>
            <w:vAlign w:val="center"/>
          </w:tcPr>
          <w:p>
            <w:pPr>
              <w:pStyle w:val="11"/>
            </w:pPr>
            <w:r>
              <w:t>97.48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48.52</w:t>
            </w:r>
          </w:p>
        </w:tc>
        <w:tc>
          <w:tcPr>
            <w:tcW w:w="1474" w:type="dxa"/>
            <w:vAlign w:val="center"/>
          </w:tcPr>
          <w:p>
            <w:pPr>
              <w:pStyle w:val="11"/>
            </w:pPr>
            <w:r>
              <w:t>48.52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22.72</w:t>
            </w:r>
          </w:p>
        </w:tc>
        <w:tc>
          <w:tcPr>
            <w:tcW w:w="1474" w:type="dxa"/>
            <w:vAlign w:val="center"/>
          </w:tcPr>
          <w:p>
            <w:pPr>
              <w:pStyle w:val="11"/>
            </w:pPr>
            <w:r>
              <w:t>22.72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70.23</w:t>
            </w:r>
          </w:p>
        </w:tc>
        <w:tc>
          <w:tcPr>
            <w:tcW w:w="1474" w:type="dxa"/>
            <w:vAlign w:val="center"/>
          </w:tcPr>
          <w:p>
            <w:pPr>
              <w:pStyle w:val="11"/>
            </w:pPr>
            <w:r>
              <w:t>70.23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1356.16</w:t>
            </w:r>
          </w:p>
        </w:tc>
        <w:tc>
          <w:tcPr>
            <w:tcW w:w="3402" w:type="dxa"/>
            <w:vAlign w:val="center"/>
          </w:tcPr>
          <w:p>
            <w:pPr>
              <w:pStyle w:val="14"/>
            </w:pPr>
            <w:r>
              <w:t>本年支出合计</w:t>
            </w:r>
          </w:p>
        </w:tc>
        <w:tc>
          <w:tcPr>
            <w:tcW w:w="1474" w:type="dxa"/>
            <w:vAlign w:val="center"/>
          </w:tcPr>
          <w:p>
            <w:pPr>
              <w:pStyle w:val="15"/>
            </w:pPr>
            <w:r>
              <w:t>1356.16</w:t>
            </w:r>
          </w:p>
        </w:tc>
        <w:tc>
          <w:tcPr>
            <w:tcW w:w="1474" w:type="dxa"/>
            <w:vAlign w:val="center"/>
          </w:tcPr>
          <w:p>
            <w:pPr>
              <w:pStyle w:val="15"/>
            </w:pPr>
            <w:r>
              <w:t>1356.16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1356.16</w:t>
            </w:r>
          </w:p>
        </w:tc>
        <w:tc>
          <w:tcPr>
            <w:tcW w:w="3402" w:type="dxa"/>
            <w:vAlign w:val="center"/>
          </w:tcPr>
          <w:p>
            <w:pPr>
              <w:pStyle w:val="14"/>
            </w:pPr>
            <w:r>
              <w:t>支出总计</w:t>
            </w:r>
          </w:p>
        </w:tc>
        <w:tc>
          <w:tcPr>
            <w:tcW w:w="1474" w:type="dxa"/>
            <w:vAlign w:val="center"/>
          </w:tcPr>
          <w:p>
            <w:pPr>
              <w:pStyle w:val="15"/>
            </w:pPr>
            <w:r>
              <w:t>1356.16</w:t>
            </w:r>
          </w:p>
        </w:tc>
        <w:tc>
          <w:tcPr>
            <w:tcW w:w="1474" w:type="dxa"/>
            <w:vAlign w:val="center"/>
          </w:tcPr>
          <w:p>
            <w:pPr>
              <w:pStyle w:val="15"/>
            </w:pPr>
            <w:r>
              <w:t>1356.16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1356.16</w:t>
            </w:r>
          </w:p>
        </w:tc>
        <w:tc>
          <w:tcPr>
            <w:tcW w:w="2551" w:type="dxa"/>
            <w:vAlign w:val="center"/>
          </w:tcPr>
          <w:p>
            <w:pPr>
              <w:pStyle w:val="15"/>
            </w:pPr>
            <w:r>
              <w:t>1184.21</w:t>
            </w:r>
          </w:p>
        </w:tc>
        <w:tc>
          <w:tcPr>
            <w:tcW w:w="2551" w:type="dxa"/>
            <w:vAlign w:val="center"/>
          </w:tcPr>
          <w:p>
            <w:pPr>
              <w:pStyle w:val="15"/>
            </w:pPr>
            <w:r>
              <w:t>171.95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1099.93</w:t>
            </w:r>
          </w:p>
        </w:tc>
        <w:tc>
          <w:tcPr>
            <w:tcW w:w="2551" w:type="dxa"/>
            <w:vAlign w:val="center"/>
          </w:tcPr>
          <w:p>
            <w:pPr>
              <w:pStyle w:val="11"/>
            </w:pPr>
            <w:r>
              <w:t>973.65</w:t>
            </w:r>
          </w:p>
        </w:tc>
        <w:tc>
          <w:tcPr>
            <w:tcW w:w="2551" w:type="dxa"/>
            <w:vAlign w:val="center"/>
          </w:tcPr>
          <w:p>
            <w:pPr>
              <w:pStyle w:val="11"/>
            </w:pPr>
            <w:r>
              <w:t>126.28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1099.93</w:t>
            </w:r>
          </w:p>
        </w:tc>
        <w:tc>
          <w:tcPr>
            <w:tcW w:w="2551" w:type="dxa"/>
            <w:vAlign w:val="center"/>
          </w:tcPr>
          <w:p>
            <w:pPr>
              <w:pStyle w:val="11"/>
            </w:pPr>
            <w:r>
              <w:t>973.65</w:t>
            </w:r>
          </w:p>
        </w:tc>
        <w:tc>
          <w:tcPr>
            <w:tcW w:w="2551" w:type="dxa"/>
            <w:vAlign w:val="center"/>
          </w:tcPr>
          <w:p>
            <w:pPr>
              <w:pStyle w:val="11"/>
            </w:pPr>
            <w:r>
              <w:t>126.28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973.65</w:t>
            </w:r>
          </w:p>
        </w:tc>
        <w:tc>
          <w:tcPr>
            <w:tcW w:w="2551" w:type="dxa"/>
            <w:vAlign w:val="center"/>
          </w:tcPr>
          <w:p>
            <w:pPr>
              <w:pStyle w:val="11"/>
            </w:pPr>
            <w:r>
              <w:t>973.65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126.28</w:t>
            </w:r>
          </w:p>
        </w:tc>
        <w:tc>
          <w:tcPr>
            <w:tcW w:w="2551" w:type="dxa"/>
            <w:vAlign w:val="center"/>
          </w:tcPr>
          <w:p>
            <w:pPr>
              <w:pStyle w:val="11"/>
            </w:pPr>
          </w:p>
        </w:tc>
        <w:tc>
          <w:tcPr>
            <w:tcW w:w="2551" w:type="dxa"/>
            <w:vAlign w:val="center"/>
          </w:tcPr>
          <w:p>
            <w:pPr>
              <w:pStyle w:val="11"/>
            </w:pPr>
            <w:r>
              <w:t>126.28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17.28</w:t>
            </w:r>
          </w:p>
        </w:tc>
        <w:tc>
          <w:tcPr>
            <w:tcW w:w="2551" w:type="dxa"/>
            <w:vAlign w:val="center"/>
          </w:tcPr>
          <w:p>
            <w:pPr>
              <w:pStyle w:val="11"/>
            </w:pPr>
          </w:p>
        </w:tc>
        <w:tc>
          <w:tcPr>
            <w:tcW w:w="2551" w:type="dxa"/>
            <w:vAlign w:val="center"/>
          </w:tcPr>
          <w:p>
            <w:pPr>
              <w:pStyle w:val="11"/>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17.28</w:t>
            </w:r>
          </w:p>
        </w:tc>
        <w:tc>
          <w:tcPr>
            <w:tcW w:w="2551" w:type="dxa"/>
            <w:vAlign w:val="center"/>
          </w:tcPr>
          <w:p>
            <w:pPr>
              <w:pStyle w:val="11"/>
            </w:pPr>
          </w:p>
        </w:tc>
        <w:tc>
          <w:tcPr>
            <w:tcW w:w="2551" w:type="dxa"/>
            <w:vAlign w:val="center"/>
          </w:tcPr>
          <w:p>
            <w:pPr>
              <w:pStyle w:val="11"/>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17.28</w:t>
            </w:r>
          </w:p>
        </w:tc>
        <w:tc>
          <w:tcPr>
            <w:tcW w:w="2551" w:type="dxa"/>
            <w:vAlign w:val="center"/>
          </w:tcPr>
          <w:p>
            <w:pPr>
              <w:pStyle w:val="11"/>
            </w:pPr>
          </w:p>
        </w:tc>
        <w:tc>
          <w:tcPr>
            <w:tcW w:w="2551" w:type="dxa"/>
            <w:vAlign w:val="center"/>
          </w:tcPr>
          <w:p>
            <w:pPr>
              <w:pStyle w:val="11"/>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97.48</w:t>
            </w:r>
          </w:p>
        </w:tc>
        <w:tc>
          <w:tcPr>
            <w:tcW w:w="2551" w:type="dxa"/>
            <w:vAlign w:val="center"/>
          </w:tcPr>
          <w:p>
            <w:pPr>
              <w:pStyle w:val="11"/>
            </w:pPr>
            <w:r>
              <w:t>95.51</w:t>
            </w: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95.51</w:t>
            </w:r>
          </w:p>
        </w:tc>
        <w:tc>
          <w:tcPr>
            <w:tcW w:w="2551" w:type="dxa"/>
            <w:vAlign w:val="center"/>
          </w:tcPr>
          <w:p>
            <w:pPr>
              <w:pStyle w:val="11"/>
            </w:pPr>
            <w:r>
              <w:t>95.51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95.51</w:t>
            </w:r>
          </w:p>
        </w:tc>
        <w:tc>
          <w:tcPr>
            <w:tcW w:w="2551" w:type="dxa"/>
            <w:vAlign w:val="center"/>
          </w:tcPr>
          <w:p>
            <w:pPr>
              <w:pStyle w:val="11"/>
            </w:pPr>
            <w:r>
              <w:t>95.51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1.97</w:t>
            </w:r>
          </w:p>
        </w:tc>
        <w:tc>
          <w:tcPr>
            <w:tcW w:w="2551" w:type="dxa"/>
            <w:vAlign w:val="center"/>
          </w:tcPr>
          <w:p>
            <w:pPr>
              <w:pStyle w:val="11"/>
            </w:pP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1.97</w:t>
            </w:r>
          </w:p>
        </w:tc>
        <w:tc>
          <w:tcPr>
            <w:tcW w:w="2551" w:type="dxa"/>
            <w:vAlign w:val="center"/>
          </w:tcPr>
          <w:p>
            <w:pPr>
              <w:pStyle w:val="11"/>
            </w:pP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48.52</w:t>
            </w:r>
          </w:p>
        </w:tc>
        <w:tc>
          <w:tcPr>
            <w:tcW w:w="2551" w:type="dxa"/>
            <w:vAlign w:val="center"/>
          </w:tcPr>
          <w:p>
            <w:pPr>
              <w:pStyle w:val="11"/>
            </w:pPr>
            <w:r>
              <w:t>44.82</w:t>
            </w: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44.82</w:t>
            </w:r>
          </w:p>
        </w:tc>
        <w:tc>
          <w:tcPr>
            <w:tcW w:w="2551" w:type="dxa"/>
            <w:vAlign w:val="center"/>
          </w:tcPr>
          <w:p>
            <w:pPr>
              <w:pStyle w:val="11"/>
            </w:pPr>
            <w:r>
              <w:t>44.82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31.64</w:t>
            </w:r>
          </w:p>
        </w:tc>
        <w:tc>
          <w:tcPr>
            <w:tcW w:w="2551" w:type="dxa"/>
            <w:vAlign w:val="center"/>
          </w:tcPr>
          <w:p>
            <w:pPr>
              <w:pStyle w:val="11"/>
            </w:pPr>
            <w:r>
              <w:t>31.64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13.18</w:t>
            </w:r>
          </w:p>
        </w:tc>
        <w:tc>
          <w:tcPr>
            <w:tcW w:w="2551" w:type="dxa"/>
            <w:vAlign w:val="center"/>
          </w:tcPr>
          <w:p>
            <w:pPr>
              <w:pStyle w:val="11"/>
            </w:pPr>
            <w:r>
              <w:t>13.18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22.72</w:t>
            </w:r>
          </w:p>
        </w:tc>
        <w:tc>
          <w:tcPr>
            <w:tcW w:w="2551" w:type="dxa"/>
            <w:vAlign w:val="center"/>
          </w:tcPr>
          <w:p>
            <w:pPr>
              <w:pStyle w:val="11"/>
            </w:pPr>
          </w:p>
        </w:tc>
        <w:tc>
          <w:tcPr>
            <w:tcW w:w="2551" w:type="dxa"/>
            <w:vAlign w:val="center"/>
          </w:tcPr>
          <w:p>
            <w:pPr>
              <w:pStyle w:val="11"/>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22.72</w:t>
            </w:r>
          </w:p>
        </w:tc>
        <w:tc>
          <w:tcPr>
            <w:tcW w:w="2551" w:type="dxa"/>
            <w:vAlign w:val="center"/>
          </w:tcPr>
          <w:p>
            <w:pPr>
              <w:pStyle w:val="11"/>
            </w:pPr>
          </w:p>
        </w:tc>
        <w:tc>
          <w:tcPr>
            <w:tcW w:w="2551" w:type="dxa"/>
            <w:vAlign w:val="center"/>
          </w:tcPr>
          <w:p>
            <w:pPr>
              <w:pStyle w:val="11"/>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22.72</w:t>
            </w:r>
          </w:p>
        </w:tc>
        <w:tc>
          <w:tcPr>
            <w:tcW w:w="2551" w:type="dxa"/>
            <w:vAlign w:val="center"/>
          </w:tcPr>
          <w:p>
            <w:pPr>
              <w:pStyle w:val="11"/>
            </w:pPr>
          </w:p>
        </w:tc>
        <w:tc>
          <w:tcPr>
            <w:tcW w:w="2551" w:type="dxa"/>
            <w:vAlign w:val="center"/>
          </w:tcPr>
          <w:p>
            <w:pPr>
              <w:pStyle w:val="11"/>
            </w:pPr>
            <w:r>
              <w:t>22.72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70.23</w:t>
            </w:r>
          </w:p>
        </w:tc>
        <w:tc>
          <w:tcPr>
            <w:tcW w:w="2551" w:type="dxa"/>
            <w:vAlign w:val="center"/>
          </w:tcPr>
          <w:p>
            <w:pPr>
              <w:pStyle w:val="11"/>
            </w:pPr>
            <w:r>
              <w:t>70.23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70.23</w:t>
            </w:r>
          </w:p>
        </w:tc>
        <w:tc>
          <w:tcPr>
            <w:tcW w:w="2551" w:type="dxa"/>
            <w:vAlign w:val="center"/>
          </w:tcPr>
          <w:p>
            <w:pPr>
              <w:pStyle w:val="11"/>
            </w:pPr>
            <w:r>
              <w:t>70.23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70.23</w:t>
            </w:r>
          </w:p>
        </w:tc>
        <w:tc>
          <w:tcPr>
            <w:tcW w:w="2551" w:type="dxa"/>
            <w:vAlign w:val="center"/>
          </w:tcPr>
          <w:p>
            <w:pPr>
              <w:pStyle w:val="11"/>
            </w:pPr>
            <w:r>
              <w:t>70.23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1184.21</w:t>
            </w:r>
          </w:p>
        </w:tc>
        <w:tc>
          <w:tcPr>
            <w:tcW w:w="2551" w:type="dxa"/>
            <w:vAlign w:val="center"/>
          </w:tcPr>
          <w:p>
            <w:pPr>
              <w:pStyle w:val="15"/>
            </w:pPr>
            <w:r>
              <w:t>1026.36</w:t>
            </w:r>
          </w:p>
        </w:tc>
        <w:tc>
          <w:tcPr>
            <w:tcW w:w="2551" w:type="dxa"/>
            <w:vAlign w:val="center"/>
          </w:tcPr>
          <w:p>
            <w:pPr>
              <w:pStyle w:val="15"/>
            </w:pPr>
            <w:r>
              <w:t>157.85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951.76</w:t>
            </w:r>
          </w:p>
        </w:tc>
        <w:tc>
          <w:tcPr>
            <w:tcW w:w="2551" w:type="dxa"/>
            <w:vAlign w:val="center"/>
          </w:tcPr>
          <w:p>
            <w:pPr>
              <w:pStyle w:val="11"/>
            </w:pPr>
            <w:r>
              <w:t>951.76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273.04</w:t>
            </w:r>
          </w:p>
        </w:tc>
        <w:tc>
          <w:tcPr>
            <w:tcW w:w="2551" w:type="dxa"/>
            <w:vAlign w:val="center"/>
          </w:tcPr>
          <w:p>
            <w:pPr>
              <w:pStyle w:val="11"/>
            </w:pPr>
            <w:r>
              <w:t>273.04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141.20</w:t>
            </w:r>
          </w:p>
        </w:tc>
        <w:tc>
          <w:tcPr>
            <w:tcW w:w="2551" w:type="dxa"/>
            <w:vAlign w:val="center"/>
          </w:tcPr>
          <w:p>
            <w:pPr>
              <w:pStyle w:val="11"/>
            </w:pPr>
            <w:r>
              <w:t>141.20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132.88</w:t>
            </w:r>
          </w:p>
        </w:tc>
        <w:tc>
          <w:tcPr>
            <w:tcW w:w="2551" w:type="dxa"/>
            <w:vAlign w:val="center"/>
          </w:tcPr>
          <w:p>
            <w:pPr>
              <w:pStyle w:val="11"/>
            </w:pPr>
            <w:r>
              <w:t>132.88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141.57</w:t>
            </w:r>
          </w:p>
        </w:tc>
        <w:tc>
          <w:tcPr>
            <w:tcW w:w="2551" w:type="dxa"/>
            <w:vAlign w:val="center"/>
          </w:tcPr>
          <w:p>
            <w:pPr>
              <w:pStyle w:val="11"/>
            </w:pPr>
            <w:r>
              <w:t>141.57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95.51</w:t>
            </w:r>
          </w:p>
        </w:tc>
        <w:tc>
          <w:tcPr>
            <w:tcW w:w="2551" w:type="dxa"/>
            <w:vAlign w:val="center"/>
          </w:tcPr>
          <w:p>
            <w:pPr>
              <w:pStyle w:val="11"/>
            </w:pPr>
            <w:r>
              <w:t>95.51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46.82</w:t>
            </w:r>
          </w:p>
        </w:tc>
        <w:tc>
          <w:tcPr>
            <w:tcW w:w="2551" w:type="dxa"/>
            <w:vAlign w:val="center"/>
          </w:tcPr>
          <w:p>
            <w:pPr>
              <w:pStyle w:val="11"/>
            </w:pPr>
            <w:r>
              <w:t>46.82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31.64</w:t>
            </w:r>
          </w:p>
        </w:tc>
        <w:tc>
          <w:tcPr>
            <w:tcW w:w="2551" w:type="dxa"/>
            <w:vAlign w:val="center"/>
          </w:tcPr>
          <w:p>
            <w:pPr>
              <w:pStyle w:val="11"/>
            </w:pPr>
            <w:r>
              <w:t>31.64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13.18</w:t>
            </w:r>
          </w:p>
        </w:tc>
        <w:tc>
          <w:tcPr>
            <w:tcW w:w="2551" w:type="dxa"/>
            <w:vAlign w:val="center"/>
          </w:tcPr>
          <w:p>
            <w:pPr>
              <w:pStyle w:val="11"/>
            </w:pPr>
            <w:r>
              <w:t>13.18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5.68</w:t>
            </w:r>
          </w:p>
        </w:tc>
        <w:tc>
          <w:tcPr>
            <w:tcW w:w="2551" w:type="dxa"/>
            <w:vAlign w:val="center"/>
          </w:tcPr>
          <w:p>
            <w:pPr>
              <w:pStyle w:val="11"/>
            </w:pPr>
            <w:r>
              <w:t>5.68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70.23</w:t>
            </w:r>
          </w:p>
        </w:tc>
        <w:tc>
          <w:tcPr>
            <w:tcW w:w="2551" w:type="dxa"/>
            <w:vAlign w:val="center"/>
          </w:tcPr>
          <w:p>
            <w:pPr>
              <w:pStyle w:val="11"/>
            </w:pPr>
            <w:r>
              <w:t>70.23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156.35</w:t>
            </w:r>
          </w:p>
        </w:tc>
        <w:tc>
          <w:tcPr>
            <w:tcW w:w="2551" w:type="dxa"/>
            <w:vAlign w:val="center"/>
          </w:tcPr>
          <w:p>
            <w:pPr>
              <w:pStyle w:val="11"/>
            </w:pPr>
          </w:p>
        </w:tc>
        <w:tc>
          <w:tcPr>
            <w:tcW w:w="2551" w:type="dxa"/>
            <w:vAlign w:val="center"/>
          </w:tcPr>
          <w:p>
            <w:pPr>
              <w:pStyle w:val="11"/>
            </w:pPr>
            <w:r>
              <w:t>156.35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31.74</w:t>
            </w:r>
          </w:p>
        </w:tc>
        <w:tc>
          <w:tcPr>
            <w:tcW w:w="2551" w:type="dxa"/>
            <w:vAlign w:val="center"/>
          </w:tcPr>
          <w:p>
            <w:pPr>
              <w:pStyle w:val="11"/>
            </w:pPr>
          </w:p>
        </w:tc>
        <w:tc>
          <w:tcPr>
            <w:tcW w:w="2551" w:type="dxa"/>
            <w:vAlign w:val="center"/>
          </w:tcPr>
          <w:p>
            <w:pPr>
              <w:pStyle w:val="11"/>
            </w:pPr>
            <w:r>
              <w:t>31.74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18.22</w:t>
            </w:r>
          </w:p>
        </w:tc>
        <w:tc>
          <w:tcPr>
            <w:tcW w:w="2551" w:type="dxa"/>
            <w:vAlign w:val="center"/>
          </w:tcPr>
          <w:p>
            <w:pPr>
              <w:pStyle w:val="11"/>
            </w:pPr>
          </w:p>
        </w:tc>
        <w:tc>
          <w:tcPr>
            <w:tcW w:w="2551" w:type="dxa"/>
            <w:vAlign w:val="center"/>
          </w:tcPr>
          <w:p>
            <w:pPr>
              <w:pStyle w:val="11"/>
            </w:pPr>
            <w:r>
              <w:t>18.22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18.40</w:t>
            </w:r>
          </w:p>
        </w:tc>
        <w:tc>
          <w:tcPr>
            <w:tcW w:w="2551" w:type="dxa"/>
            <w:vAlign w:val="center"/>
          </w:tcPr>
          <w:p>
            <w:pPr>
              <w:pStyle w:val="11"/>
            </w:pPr>
          </w:p>
        </w:tc>
        <w:tc>
          <w:tcPr>
            <w:tcW w:w="2551" w:type="dxa"/>
            <w:vAlign w:val="center"/>
          </w:tcPr>
          <w:p>
            <w:pPr>
              <w:pStyle w:val="11"/>
            </w:pPr>
            <w:r>
              <w:t>18.40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5.95</w:t>
            </w:r>
          </w:p>
        </w:tc>
        <w:tc>
          <w:tcPr>
            <w:tcW w:w="2551" w:type="dxa"/>
            <w:vAlign w:val="center"/>
          </w:tcPr>
          <w:p>
            <w:pPr>
              <w:pStyle w:val="11"/>
            </w:pPr>
          </w:p>
        </w:tc>
        <w:tc>
          <w:tcPr>
            <w:tcW w:w="2551" w:type="dxa"/>
            <w:vAlign w:val="center"/>
          </w:tcPr>
          <w:p>
            <w:pPr>
              <w:pStyle w:val="11"/>
            </w:pPr>
            <w:r>
              <w:t>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28.32</w:t>
            </w:r>
          </w:p>
        </w:tc>
        <w:tc>
          <w:tcPr>
            <w:tcW w:w="2551" w:type="dxa"/>
            <w:vAlign w:val="center"/>
          </w:tcPr>
          <w:p>
            <w:pPr>
              <w:pStyle w:val="11"/>
            </w:pPr>
          </w:p>
        </w:tc>
        <w:tc>
          <w:tcPr>
            <w:tcW w:w="2551" w:type="dxa"/>
            <w:vAlign w:val="center"/>
          </w:tcPr>
          <w:p>
            <w:pPr>
              <w:pStyle w:val="11"/>
            </w:pPr>
            <w:r>
              <w:t>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5.02</w:t>
            </w:r>
          </w:p>
        </w:tc>
        <w:tc>
          <w:tcPr>
            <w:tcW w:w="2551" w:type="dxa"/>
            <w:vAlign w:val="center"/>
          </w:tcPr>
          <w:p>
            <w:pPr>
              <w:pStyle w:val="11"/>
            </w:pPr>
          </w:p>
        </w:tc>
        <w:tc>
          <w:tcPr>
            <w:tcW w:w="2551" w:type="dxa"/>
            <w:vAlign w:val="center"/>
          </w:tcPr>
          <w:p>
            <w:pPr>
              <w:pStyle w:val="11"/>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74.60</w:t>
            </w:r>
          </w:p>
        </w:tc>
        <w:tc>
          <w:tcPr>
            <w:tcW w:w="2551" w:type="dxa"/>
            <w:vAlign w:val="center"/>
          </w:tcPr>
          <w:p>
            <w:pPr>
              <w:pStyle w:val="11"/>
            </w:pPr>
            <w:r>
              <w:t>74.60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67.64</w:t>
            </w:r>
          </w:p>
        </w:tc>
        <w:tc>
          <w:tcPr>
            <w:tcW w:w="2551" w:type="dxa"/>
            <w:vAlign w:val="center"/>
          </w:tcPr>
          <w:p>
            <w:pPr>
              <w:pStyle w:val="11"/>
            </w:pPr>
            <w:r>
              <w:t>67.64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6.96</w:t>
            </w:r>
          </w:p>
        </w:tc>
        <w:tc>
          <w:tcPr>
            <w:tcW w:w="2551" w:type="dxa"/>
            <w:vAlign w:val="center"/>
          </w:tcPr>
          <w:p>
            <w:pPr>
              <w:pStyle w:val="11"/>
            </w:pPr>
            <w:r>
              <w:t>6.96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2.20</w:t>
            </w:r>
          </w:p>
        </w:tc>
        <w:tc>
          <w:tcPr>
            <w:tcW w:w="2381" w:type="dxa"/>
            <w:vAlign w:val="center"/>
          </w:tcPr>
          <w:p>
            <w:pPr>
              <w:pStyle w:val="15"/>
            </w:pPr>
            <w:r>
              <w:t>2.20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按照《中华人民共和国预算法》、《地方预决算公开操作规程》和《关于进一步推进预算公开工作的实施意见》规定，现将石家庄市藁城区常安镇人民政府本级2026年单位预算公开如下：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（一）政务管理。处理机关日常事务，保证镇政府值班工作，及时报告重要情况，传达和督促落实镇党委、政府领导指示。</w:t>
      </w:r>
    </w:p>
    <w:p>
      <w:pPr>
        <w:pStyle w:val="17"/>
      </w:pPr>
      <w:r>
        <w:t>（二）综合业务、事务管理。加强推进党的基层组织建设、纪检监察、党风廉政建设、统一战线、人民武装、精神文明建设、组织人事工作。加强机关事务性管理，开展机关自身能力建设。</w:t>
      </w:r>
    </w:p>
    <w:p>
      <w:pPr>
        <w:pStyle w:val="17"/>
      </w:pPr>
      <w:r>
        <w:t>（三）应急管理。保证镇政府值班工作，及时报告重要情况，传达和督促落实镇政府领导指示。</w:t>
      </w:r>
    </w:p>
    <w:p>
      <w:pPr>
        <w:pStyle w:val="17"/>
      </w:pPr>
      <w:r>
        <w:t>（四）社会治安综合治理。宣传贯彻国家法律法规和政策，增强农民法律知识，做好社会治安综合治理工作，做好司法、宗教工作，打击邪教；做好群众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pPr>
        <w:pStyle w:val="17"/>
      </w:pPr>
      <w:r>
        <w:t>（五）协调维护社会治安稳定。做好社会治安综合治理工作，做好司法、宗教工作，打击邪教；做好群众 来信来访、搞好农村矛盾纠纷排查调处；妥善处理突发性、群体性事件，维护社会稳定；打击各类犯罪活动。</w:t>
      </w:r>
    </w:p>
    <w:p>
      <w:pPr>
        <w:pStyle w:val="17"/>
      </w:pPr>
      <w:r>
        <w:t>（六）经济发展。制定经济发展规划，促进民营企业发展，招商引资，大力发展第二、三产业。</w:t>
      </w:r>
    </w:p>
    <w:p>
      <w:pPr>
        <w:pStyle w:val="17"/>
      </w:pPr>
      <w:r>
        <w:t>（七）民生改善。加强基础设施建设，落实强农惠农措施，搞好技术推广应用。大力发展苗木种植产业化。</w:t>
      </w:r>
    </w:p>
    <w:p>
      <w:pPr>
        <w:pStyle w:val="17"/>
      </w:pPr>
      <w:r>
        <w:t>（八）农业生产。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17"/>
      </w:pPr>
      <w:r>
        <w:t>（九）农业技术推广农业教育与技能培训，开展粮食等作物高产创建。开展农业新技术推广、示范。"通过推广优良品种，辐射带动大面积的平衡增产，提高单产水平。</w:t>
      </w:r>
    </w:p>
    <w:p>
      <w:pPr>
        <w:pStyle w:val="17"/>
      </w:pPr>
      <w:r>
        <w:t>（十）加强土地使用管理。管理土地使用情况管理汇报。</w:t>
      </w:r>
    </w:p>
    <w:p>
      <w:pPr>
        <w:pStyle w:val="17"/>
      </w:pPr>
      <w:r>
        <w:t>（十一）土地管理。加强规范土地使用。</w:t>
      </w:r>
    </w:p>
    <w:p>
      <w:pPr>
        <w:pStyle w:val="17"/>
      </w:pPr>
      <w:r>
        <w:t>（十二）社会救助政策及管理。承担社会救助体系建设，负责农村居民最低生活保障、五保供养、医疗救助。</w:t>
      </w:r>
    </w:p>
    <w:p>
      <w:pPr>
        <w:pStyle w:val="17"/>
      </w:pPr>
      <w:r>
        <w:t>（十三）农村居民最低生活保障。负责符合条件的农村居民最低生活保障工作。</w:t>
      </w:r>
    </w:p>
    <w:p>
      <w:pPr>
        <w:pStyle w:val="17"/>
      </w:pPr>
      <w:r>
        <w:t>（十四）农村五保供养。负责农村五保户的分散供养工作。</w:t>
      </w:r>
    </w:p>
    <w:p>
      <w:pPr>
        <w:pStyle w:val="17"/>
      </w:pPr>
      <w:r>
        <w:t>（十五）临时生活救助。负责符合条件的农村居民的临时生活救助。</w:t>
      </w:r>
    </w:p>
    <w:p>
      <w:pPr>
        <w:pStyle w:val="17"/>
      </w:pPr>
      <w:r>
        <w:t>（十六）环境保护与治理。承担环境保护和治理环境污染。</w:t>
      </w:r>
    </w:p>
    <w:p>
      <w:pPr>
        <w:pStyle w:val="17"/>
      </w:pPr>
      <w:r>
        <w:t>（十七）环境管理。强化区域环境管理。</w:t>
      </w:r>
    </w:p>
    <w:p>
      <w:pPr>
        <w:pStyle w:val="17"/>
      </w:pPr>
      <w:r>
        <w:t>（十八）食品安全管理。依法进行食品安全管理。</w:t>
      </w:r>
    </w:p>
    <w:p>
      <w:pPr>
        <w:pStyle w:val="17"/>
      </w:pPr>
      <w:r>
        <w:t>（十九）安全生产管理。依法强化安全生产监管，建立安全生产监管台账，打击非法生产企业。</w:t>
      </w:r>
    </w:p>
    <w:p>
      <w:pPr>
        <w:pStyle w:val="17"/>
      </w:pPr>
      <w:r>
        <w:t>（二十）预算管理、财务管理。负责镇财政预算管理与执行，负责镇机关收支活动，组织实施镇财务核算及监督工作。</w:t>
      </w:r>
    </w:p>
    <w:p>
      <w:pPr>
        <w:pStyle w:val="17"/>
      </w:pPr>
      <w:r>
        <w:t>（二十一）合理安排预算。按照保工资、保运转的顺序做好预算安排。</w:t>
      </w:r>
    </w:p>
    <w:p>
      <w:pPr>
        <w:pStyle w:val="17"/>
      </w:pPr>
      <w:r>
        <w:t>（二十三）严格票据管理。对不规范的票据一律不报销、不入账。</w:t>
      </w:r>
    </w:p>
    <w:p>
      <w:pPr>
        <w:pStyle w:val="17"/>
      </w:pPr>
      <w:r>
        <w:t>（二十四）村财镇管、涉农资金。负责村级财务核算及监督工作，负责涉农资金的落实，负责管理镇国有资产，实施债权债务监督管理。</w:t>
      </w:r>
    </w:p>
    <w:p>
      <w:pPr>
        <w:pStyle w:val="17"/>
      </w:pPr>
      <w:r>
        <w:t>（二十五）坚持抽查制度、定期核查、以收定支。不定期进村入户抽查涉农资金落实情况。采用按月进行资产核查。坚持以收定支，杜绝举债行为发生。</w:t>
      </w:r>
    </w:p>
    <w:p>
      <w:pPr>
        <w:pStyle w:val="17"/>
      </w:pPr>
      <w:r>
        <w:t>（二十六）计划生育。提供各类生育技术服务，建立利益导向机制，开展出生人口性别比治理以及流动人口计划生育管理等各项工作。落实计生相关法律法规，业务宣传工作。</w:t>
      </w:r>
    </w:p>
    <w:p>
      <w:pPr>
        <w:pStyle w:val="17"/>
      </w:pPr>
      <w:r>
        <w:t>（二十七）计划生育奖励扶持政策。采取奖励、扶助、社会保障等机制，引导家庭和个人打取计划生育措施，提高计划生育家庭发展能力。</w:t>
      </w:r>
    </w:p>
    <w:p>
      <w:pPr>
        <w:pStyle w:val="17"/>
      </w:pPr>
      <w:r>
        <w:t>（二十八）计划生育咨询服务、计划生育保健及优生服务。开展计生宣传教育，政策落实等综合业务工作。</w:t>
      </w:r>
    </w:p>
    <w:p>
      <w:pPr>
        <w:pStyle w:val="17"/>
      </w:pPr>
      <w:r>
        <w:t>（二十九）文教卫生。配合教育、科技、文体、卫生等部门搞好义务教育，普及推广科学技术，丰富农村文化生活，开展全民健身运动，推行和完善新型合作医疗制度，提高参保率，加强农村食品安全监管。</w:t>
      </w:r>
    </w:p>
    <w:p>
      <w:pPr>
        <w:pStyle w:val="17"/>
      </w:pPr>
      <w:r>
        <w:t>（三十）提供公共服务。搞好义务教育，新型农村合作医疗、食品药品安全监管。</w:t>
      </w:r>
    </w:p>
    <w:p>
      <w:pPr>
        <w:pStyle w:val="17"/>
      </w:pPr>
      <w:r>
        <w:t>（三十一）乡村建设。公共基础设施建设、农村面貌提升。</w:t>
      </w:r>
    </w:p>
    <w:p>
      <w:pPr>
        <w:pStyle w:val="17"/>
      </w:pPr>
      <w:r>
        <w:t>（三十二）新农村建设。完成区域内污水处理、垃圾处理、厕所改造、村庄绿化、危房改造、饮水安全、道路硬化基础设施建设和农村卫生长效机制管理。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石家庄市藁城区常安镇人民政府本级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1356.16万元，其中：一般公共预算收入1356.16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藁城区常安镇人民政府本级年度单位预算中支出预算的总体情况。2026年支出预算1356.16万元，其中基本支出1184.21万元，包括人员经费1026.36万元和日常公用经费157.85万元；项目支出171.95万元，主要为1、公用经费（武装经费）0.1万元，2、公用经费（绿化补贴配套）1.3万元；3、公用经费（综治经费）：0.1万元；4、公用经费（禁毒经费）0.05万元；5、公用经费（联防队员工资）27.85万元；6、公用经费（临时人员工资）66万元；7、原经贸系统关闭企业下放回乡的合同工、副业工涉军人员生活补贴1.968万元；8、政府工会费：2.88万元；9、农村独生子女费：3.7万元；10、学区工会费：17.28万元；11、 马山线、定魏线、定魏支线占地补贴22.71915万元；12、综合工作经费28万元。；预计下年使用的单位资金结余0.00万元。委托业务费共计安排18.40万元，主要用于因技术原因确需对外委托的辅助性工作和确有必要对外委托开展咨询、评审、规划等工作。</w:t>
      </w:r>
    </w:p>
    <w:p>
      <w:pPr>
        <w:pStyle w:val="18"/>
      </w:pPr>
      <w:r>
        <w:t>3、比上年增减情况</w:t>
      </w:r>
    </w:p>
    <w:p>
      <w:pPr>
        <w:pStyle w:val="18"/>
      </w:pPr>
      <w:r>
        <w:t>2026年预算收支安排1356.16万元，较2025年预算减少112.01万元，其中：基本支出减少12.76万元，主要为缩减了办公经费支出</w:t>
      </w:r>
      <w:r>
        <w:rPr>
          <w:rFonts w:hint="eastAsia"/>
          <w:lang w:eastAsia="zh-CN"/>
        </w:rPr>
        <w:t>，</w:t>
      </w:r>
      <w:bookmarkStart w:id="1" w:name="_GoBack"/>
      <w:bookmarkEnd w:id="1"/>
      <w:r>
        <w:t>项目支出减少99.24万元，主要为综合工作经费减少。预计下年使用的单位资金结余增加0.00万元。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w:t>
      </w:r>
      <w:r>
        <w:rPr>
          <w:rFonts w:hint="eastAsia"/>
          <w:lang w:val="en-US" w:eastAsia="zh-CN"/>
        </w:rPr>
        <w:t>单位</w:t>
      </w:r>
      <w:r>
        <w:t>机关运行经费共计安排</w:t>
      </w:r>
      <w:r>
        <w:rPr>
          <w:rFonts w:hint="eastAsia"/>
          <w:lang w:val="en-US" w:eastAsia="zh-CN"/>
        </w:rPr>
        <w:t>157.85</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2026年，我单位财政拨款“三公”经费预算安排2.20万元，其中因公出国（境）费0.00万元；公务用车购置及运维费2.20万元（其中：公务用车购置费为0.00万元，公务用车运维费2.20万元)；公务接待费0.00万元。与2025年</w:t>
      </w:r>
      <w:r>
        <w:rPr>
          <w:rFonts w:hint="eastAsia"/>
          <w:lang w:val="en-US" w:eastAsia="zh-CN"/>
        </w:rPr>
        <w:t>持平</w:t>
      </w:r>
      <w:r>
        <w:t>，</w:t>
      </w:r>
      <w:r>
        <w:rPr>
          <w:rFonts w:hint="eastAsia"/>
          <w:lang w:val="en-US" w:eastAsia="zh-CN"/>
        </w:rPr>
        <w:t>无</w:t>
      </w:r>
      <w:r>
        <w:t>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1、公用经费（禁毒经费）绩效目标表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13010926P000001100408</w:t>
            </w:r>
          </w:p>
        </w:tc>
        <w:tc>
          <w:tcPr>
            <w:tcW w:w="2835" w:type="dxa"/>
            <w:vAlign w:val="center"/>
          </w:tcPr>
          <w:p>
            <w:pPr>
              <w:pStyle w:val="10"/>
            </w:pPr>
            <w:r>
              <w:t>项目名称</w:t>
            </w:r>
          </w:p>
        </w:tc>
        <w:tc>
          <w:tcPr>
            <w:tcW w:w="6095" w:type="dxa"/>
            <w:gridSpan w:val="3"/>
            <w:vAlign w:val="center"/>
          </w:tcPr>
          <w:p>
            <w:pPr>
              <w:pStyle w:val="12"/>
            </w:pPr>
            <w:r>
              <w:t>公用经费（禁毒经费）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0.05</w:t>
            </w:r>
          </w:p>
        </w:tc>
        <w:tc>
          <w:tcPr>
            <w:tcW w:w="2835" w:type="dxa"/>
            <w:vAlign w:val="center"/>
          </w:tcPr>
          <w:p>
            <w:pPr>
              <w:pStyle w:val="10"/>
            </w:pPr>
            <w:r>
              <w:t>其中：财政    资金</w:t>
            </w:r>
          </w:p>
        </w:tc>
        <w:tc>
          <w:tcPr>
            <w:tcW w:w="2551" w:type="dxa"/>
            <w:vAlign w:val="center"/>
          </w:tcPr>
          <w:p>
            <w:pPr>
              <w:pStyle w:val="12"/>
            </w:pPr>
            <w:r>
              <w:t>0.05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确保当年禁毒工作顺利开展，加强宣传，使广大群众深刻认识到毒品的危害。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0.02</w:t>
            </w:r>
          </w:p>
        </w:tc>
        <w:tc>
          <w:tcPr>
            <w:tcW w:w="2835" w:type="dxa"/>
            <w:vAlign w:val="center"/>
          </w:tcPr>
          <w:p>
            <w:pPr>
              <w:pStyle w:val="13"/>
            </w:pPr>
            <w:r>
              <w:t>0.03</w:t>
            </w:r>
          </w:p>
        </w:tc>
        <w:tc>
          <w:tcPr>
            <w:tcW w:w="2551" w:type="dxa"/>
            <w:vAlign w:val="center"/>
          </w:tcPr>
          <w:p>
            <w:pPr>
              <w:pStyle w:val="13"/>
            </w:pPr>
            <w:r>
              <w:t>0.05</w:t>
            </w:r>
          </w:p>
        </w:tc>
        <w:tc>
          <w:tcPr>
            <w:tcW w:w="3544" w:type="dxa"/>
            <w:gridSpan w:val="2"/>
            <w:vAlign w:val="center"/>
          </w:tcPr>
          <w:p>
            <w:pPr>
              <w:pStyle w:val="13"/>
            </w:pPr>
            <w:r>
              <w:t>0.05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1.确保当年禁毒工作顺利开展，加强宣传，使广大群众深刻认识到毒品的危害。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活动次数</w:t>
            </w:r>
          </w:p>
        </w:tc>
        <w:tc>
          <w:tcPr>
            <w:tcW w:w="5386" w:type="dxa"/>
            <w:vAlign w:val="center"/>
          </w:tcPr>
          <w:p>
            <w:pPr>
              <w:pStyle w:val="12"/>
            </w:pPr>
            <w:r>
              <w:t>当年禁毒工作宣传次数</w:t>
            </w:r>
          </w:p>
        </w:tc>
        <w:tc>
          <w:tcPr>
            <w:tcW w:w="2268" w:type="dxa"/>
            <w:vAlign w:val="center"/>
          </w:tcPr>
          <w:p>
            <w:pPr>
              <w:pStyle w:val="12"/>
            </w:pPr>
            <w:r>
              <w:t>≥1次</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当年禁毒工作完成率</w:t>
            </w:r>
          </w:p>
        </w:tc>
        <w:tc>
          <w:tcPr>
            <w:tcW w:w="2268" w:type="dxa"/>
            <w:vAlign w:val="center"/>
          </w:tcPr>
          <w:p>
            <w:pPr>
              <w:pStyle w:val="12"/>
            </w:pPr>
            <w:r>
              <w:t>≥95%</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资金拨出时效</w:t>
            </w:r>
          </w:p>
        </w:tc>
        <w:tc>
          <w:tcPr>
            <w:tcW w:w="5386" w:type="dxa"/>
            <w:vAlign w:val="center"/>
          </w:tcPr>
          <w:p>
            <w:pPr>
              <w:pStyle w:val="12"/>
            </w:pPr>
            <w:r>
              <w:t>进度经费拨出时效</w:t>
            </w:r>
          </w:p>
        </w:tc>
        <w:tc>
          <w:tcPr>
            <w:tcW w:w="2268" w:type="dxa"/>
            <w:vAlign w:val="center"/>
          </w:tcPr>
          <w:p>
            <w:pPr>
              <w:pStyle w:val="12"/>
            </w:pPr>
            <w:r>
              <w:t>年底前拨出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经费金额</w:t>
            </w:r>
          </w:p>
        </w:tc>
        <w:tc>
          <w:tcPr>
            <w:tcW w:w="5386" w:type="dxa"/>
            <w:vAlign w:val="center"/>
          </w:tcPr>
          <w:p>
            <w:pPr>
              <w:pStyle w:val="12"/>
            </w:pPr>
            <w:r>
              <w:t>当年禁毒工作经费总金额</w:t>
            </w:r>
          </w:p>
        </w:tc>
        <w:tc>
          <w:tcPr>
            <w:tcW w:w="2268" w:type="dxa"/>
            <w:vAlign w:val="center"/>
          </w:tcPr>
          <w:p>
            <w:pPr>
              <w:pStyle w:val="12"/>
            </w:pPr>
            <w:r>
              <w:t>0.05万元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w:t>
            </w:r>
          </w:p>
        </w:tc>
        <w:tc>
          <w:tcPr>
            <w:tcW w:w="5386" w:type="dxa"/>
            <w:vAlign w:val="center"/>
          </w:tcPr>
          <w:p>
            <w:pPr>
              <w:pStyle w:val="12"/>
            </w:pPr>
            <w:r>
              <w:t>禁毒工作在全镇形成的影响</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群众对当年禁毒工作的满意度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2、公用经费（联防队员工资）绩效目标表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13010926P00000110041U</w:t>
            </w:r>
          </w:p>
        </w:tc>
        <w:tc>
          <w:tcPr>
            <w:tcW w:w="2835" w:type="dxa"/>
            <w:vAlign w:val="center"/>
          </w:tcPr>
          <w:p>
            <w:pPr>
              <w:pStyle w:val="10"/>
            </w:pPr>
            <w:r>
              <w:t>项目名称</w:t>
            </w:r>
          </w:p>
        </w:tc>
        <w:tc>
          <w:tcPr>
            <w:tcW w:w="6095" w:type="dxa"/>
            <w:gridSpan w:val="3"/>
            <w:vAlign w:val="center"/>
          </w:tcPr>
          <w:p>
            <w:pPr>
              <w:pStyle w:val="12"/>
            </w:pPr>
            <w:r>
              <w:t>公用经费（联防队员工资）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27.85</w:t>
            </w:r>
          </w:p>
        </w:tc>
        <w:tc>
          <w:tcPr>
            <w:tcW w:w="2835" w:type="dxa"/>
            <w:vAlign w:val="center"/>
          </w:tcPr>
          <w:p>
            <w:pPr>
              <w:pStyle w:val="10"/>
            </w:pPr>
            <w:r>
              <w:t>其中：财政    资金</w:t>
            </w:r>
          </w:p>
        </w:tc>
        <w:tc>
          <w:tcPr>
            <w:tcW w:w="2551" w:type="dxa"/>
            <w:vAlign w:val="center"/>
          </w:tcPr>
          <w:p>
            <w:pPr>
              <w:pStyle w:val="12"/>
            </w:pPr>
            <w:r>
              <w:t>27.85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确保联防队员工资发放到位，保障我镇社会治安稳定，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8.50</w:t>
            </w:r>
          </w:p>
        </w:tc>
        <w:tc>
          <w:tcPr>
            <w:tcW w:w="2835" w:type="dxa"/>
            <w:vAlign w:val="center"/>
          </w:tcPr>
          <w:p>
            <w:pPr>
              <w:pStyle w:val="13"/>
            </w:pPr>
            <w:r>
              <w:t>16.80</w:t>
            </w:r>
          </w:p>
        </w:tc>
        <w:tc>
          <w:tcPr>
            <w:tcW w:w="2551" w:type="dxa"/>
            <w:vAlign w:val="center"/>
          </w:tcPr>
          <w:p>
            <w:pPr>
              <w:pStyle w:val="13"/>
            </w:pPr>
            <w:r>
              <w:t>26.00</w:t>
            </w:r>
          </w:p>
        </w:tc>
        <w:tc>
          <w:tcPr>
            <w:tcW w:w="3544" w:type="dxa"/>
            <w:gridSpan w:val="2"/>
            <w:vAlign w:val="center"/>
          </w:tcPr>
          <w:p>
            <w:pPr>
              <w:pStyle w:val="13"/>
            </w:pPr>
            <w:r>
              <w:t>27.85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1.确保联防队员工资发放到位，保障我镇社会治安稳定，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拨付联防队员人数</w:t>
            </w:r>
          </w:p>
        </w:tc>
        <w:tc>
          <w:tcPr>
            <w:tcW w:w="2268" w:type="dxa"/>
            <w:vAlign w:val="center"/>
          </w:tcPr>
          <w:p>
            <w:pPr>
              <w:pStyle w:val="12"/>
            </w:pPr>
            <w:r>
              <w:t>10人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保障程度</w:t>
            </w:r>
          </w:p>
        </w:tc>
        <w:tc>
          <w:tcPr>
            <w:tcW w:w="5386" w:type="dxa"/>
            <w:vAlign w:val="center"/>
          </w:tcPr>
          <w:p>
            <w:pPr>
              <w:pStyle w:val="12"/>
            </w:pPr>
            <w:r>
              <w:t>保障我镇当年社会治安稳定</w:t>
            </w:r>
          </w:p>
        </w:tc>
        <w:tc>
          <w:tcPr>
            <w:tcW w:w="2268" w:type="dxa"/>
            <w:vAlign w:val="center"/>
          </w:tcPr>
          <w:p>
            <w:pPr>
              <w:pStyle w:val="12"/>
            </w:pPr>
            <w:r>
              <w:t>保障</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联防队员工资发放及时性</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联防队员工资发放标准</w:t>
            </w:r>
          </w:p>
        </w:tc>
        <w:tc>
          <w:tcPr>
            <w:tcW w:w="2268" w:type="dxa"/>
            <w:vAlign w:val="center"/>
          </w:tcPr>
          <w:p>
            <w:pPr>
              <w:pStyle w:val="12"/>
            </w:pPr>
            <w:r>
              <w:t>2850元/人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在岗稳定率</w:t>
            </w:r>
          </w:p>
        </w:tc>
        <w:tc>
          <w:tcPr>
            <w:tcW w:w="5386" w:type="dxa"/>
            <w:vAlign w:val="center"/>
          </w:tcPr>
          <w:p>
            <w:pPr>
              <w:pStyle w:val="12"/>
            </w:pPr>
            <w:r>
              <w:t>联防队员在岗稳定率</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群众对当年社会治安的满意度</w:t>
            </w:r>
          </w:p>
        </w:tc>
        <w:tc>
          <w:tcPr>
            <w:tcW w:w="2268" w:type="dxa"/>
            <w:vAlign w:val="center"/>
          </w:tcPr>
          <w:p>
            <w:pPr>
              <w:pStyle w:val="12"/>
            </w:pPr>
            <w:r>
              <w:t>≥92%</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3、公用经费（临时人员工资）绩效目标表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13010926P00000110042F</w:t>
            </w:r>
          </w:p>
        </w:tc>
        <w:tc>
          <w:tcPr>
            <w:tcW w:w="2835" w:type="dxa"/>
            <w:vAlign w:val="center"/>
          </w:tcPr>
          <w:p>
            <w:pPr>
              <w:pStyle w:val="10"/>
            </w:pPr>
            <w:r>
              <w:t>项目名称</w:t>
            </w:r>
          </w:p>
        </w:tc>
        <w:tc>
          <w:tcPr>
            <w:tcW w:w="6095" w:type="dxa"/>
            <w:gridSpan w:val="3"/>
            <w:vAlign w:val="center"/>
          </w:tcPr>
          <w:p>
            <w:pPr>
              <w:pStyle w:val="12"/>
            </w:pPr>
            <w:r>
              <w:t>公用经费（临时人员工资）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w:t>
            </w:r>
          </w:p>
        </w:tc>
        <w:tc>
          <w:tcPr>
            <w:tcW w:w="2835" w:type="dxa"/>
            <w:vAlign w:val="center"/>
          </w:tcPr>
          <w:p>
            <w:pPr>
              <w:pStyle w:val="10"/>
            </w:pPr>
            <w:r>
              <w:t>其中：财政    资金</w:t>
            </w:r>
          </w:p>
        </w:tc>
        <w:tc>
          <w:tcPr>
            <w:tcW w:w="2551" w:type="dxa"/>
            <w:vAlign w:val="center"/>
          </w:tcPr>
          <w:p>
            <w:pPr>
              <w:pStyle w:val="12"/>
            </w:pPr>
            <w:r>
              <w:t>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确保临时人员工资发放到位、保证各项工作正常运转。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4" w:type="dxa"/>
            <w:gridSpan w:val="2"/>
            <w:vAlign w:val="center"/>
          </w:tcPr>
          <w:p>
            <w:pPr>
              <w:pStyle w:val="13"/>
            </w:pPr>
            <w:r>
              <w:t>66.00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1.确保临时人员工资发放到位、保证各项工作正常运转。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临时人员工资发放人数</w:t>
            </w:r>
          </w:p>
        </w:tc>
        <w:tc>
          <w:tcPr>
            <w:tcW w:w="2268" w:type="dxa"/>
            <w:vAlign w:val="center"/>
          </w:tcPr>
          <w:p>
            <w:pPr>
              <w:pStyle w:val="12"/>
            </w:pPr>
            <w:r>
              <w:t>18人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人员在岗率</w:t>
            </w:r>
          </w:p>
        </w:tc>
        <w:tc>
          <w:tcPr>
            <w:tcW w:w="5386" w:type="dxa"/>
            <w:vAlign w:val="center"/>
          </w:tcPr>
          <w:p>
            <w:pPr>
              <w:pStyle w:val="12"/>
            </w:pPr>
            <w:r>
              <w:t>临时人员在岗率</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每月月底按时发放临时人员工资</w:t>
            </w:r>
          </w:p>
        </w:tc>
        <w:tc>
          <w:tcPr>
            <w:tcW w:w="2268" w:type="dxa"/>
            <w:vAlign w:val="center"/>
          </w:tcPr>
          <w:p>
            <w:pPr>
              <w:pStyle w:val="12"/>
            </w:pPr>
            <w:r>
              <w:t>按时完成</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工资社会保障等标准</w:t>
            </w:r>
          </w:p>
        </w:tc>
        <w:tc>
          <w:tcPr>
            <w:tcW w:w="5386" w:type="dxa"/>
            <w:vAlign w:val="center"/>
          </w:tcPr>
          <w:p>
            <w:pPr>
              <w:pStyle w:val="12"/>
            </w:pPr>
            <w:r>
              <w:t>临时人员工资社会保障等发放标准</w:t>
            </w:r>
          </w:p>
        </w:tc>
        <w:tc>
          <w:tcPr>
            <w:tcW w:w="2268" w:type="dxa"/>
            <w:vAlign w:val="center"/>
          </w:tcPr>
          <w:p>
            <w:pPr>
              <w:pStyle w:val="12"/>
            </w:pPr>
            <w:r>
              <w:t>≥2722元/人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保障各项工作有序开展</w:t>
            </w:r>
          </w:p>
        </w:tc>
        <w:tc>
          <w:tcPr>
            <w:tcW w:w="5386" w:type="dxa"/>
            <w:vAlign w:val="center"/>
          </w:tcPr>
          <w:p>
            <w:pPr>
              <w:pStyle w:val="12"/>
            </w:pPr>
            <w:r>
              <w:t>保障各项工作有序开展</w:t>
            </w:r>
          </w:p>
        </w:tc>
        <w:tc>
          <w:tcPr>
            <w:tcW w:w="2268" w:type="dxa"/>
            <w:vAlign w:val="center"/>
          </w:tcPr>
          <w:p>
            <w:pPr>
              <w:pStyle w:val="12"/>
            </w:pPr>
            <w:r>
              <w:t>保障</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4、公用经费（绿化补贴配套）绩效目标表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13010926P000001100389</w:t>
            </w:r>
          </w:p>
        </w:tc>
        <w:tc>
          <w:tcPr>
            <w:tcW w:w="2835" w:type="dxa"/>
            <w:vAlign w:val="center"/>
          </w:tcPr>
          <w:p>
            <w:pPr>
              <w:pStyle w:val="10"/>
            </w:pPr>
            <w:r>
              <w:t>项目名称</w:t>
            </w:r>
          </w:p>
        </w:tc>
        <w:tc>
          <w:tcPr>
            <w:tcW w:w="6095" w:type="dxa"/>
            <w:gridSpan w:val="3"/>
            <w:vAlign w:val="center"/>
          </w:tcPr>
          <w:p>
            <w:pPr>
              <w:pStyle w:val="12"/>
            </w:pPr>
            <w:r>
              <w:t>公用经费（绿化补贴配套）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w:t>
            </w:r>
          </w:p>
        </w:tc>
        <w:tc>
          <w:tcPr>
            <w:tcW w:w="2835" w:type="dxa"/>
            <w:vAlign w:val="center"/>
          </w:tcPr>
          <w:p>
            <w:pPr>
              <w:pStyle w:val="10"/>
            </w:pPr>
            <w:r>
              <w:t>其中：财政    资金</w:t>
            </w:r>
          </w:p>
        </w:tc>
        <w:tc>
          <w:tcPr>
            <w:tcW w:w="2551" w:type="dxa"/>
            <w:vAlign w:val="center"/>
          </w:tcPr>
          <w:p>
            <w:pPr>
              <w:pStyle w:val="12"/>
            </w:pPr>
            <w:r>
              <w:t>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待上级负担占地补贴到位后，及时拨付省县道两侧绿化占地农户补贴。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0.40</w:t>
            </w:r>
          </w:p>
        </w:tc>
        <w:tc>
          <w:tcPr>
            <w:tcW w:w="2835" w:type="dxa"/>
            <w:vAlign w:val="center"/>
          </w:tcPr>
          <w:p>
            <w:pPr>
              <w:pStyle w:val="13"/>
            </w:pPr>
            <w:r>
              <w:t>0.80</w:t>
            </w:r>
          </w:p>
        </w:tc>
        <w:tc>
          <w:tcPr>
            <w:tcW w:w="2551" w:type="dxa"/>
            <w:vAlign w:val="center"/>
          </w:tcPr>
          <w:p>
            <w:pPr>
              <w:pStyle w:val="13"/>
            </w:pPr>
            <w:r>
              <w:t>1.20</w:t>
            </w:r>
          </w:p>
        </w:tc>
        <w:tc>
          <w:tcPr>
            <w:tcW w:w="3544" w:type="dxa"/>
            <w:gridSpan w:val="2"/>
            <w:vAlign w:val="center"/>
          </w:tcPr>
          <w:p>
            <w:pPr>
              <w:pStyle w:val="13"/>
            </w:pPr>
            <w:r>
              <w:t>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1.待上级负担占地补贴到位后，及时拨付省县道两侧绿化占地农户补贴。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占地面积</w:t>
            </w:r>
          </w:p>
        </w:tc>
        <w:tc>
          <w:tcPr>
            <w:tcW w:w="5386" w:type="dxa"/>
            <w:vAlign w:val="center"/>
          </w:tcPr>
          <w:p>
            <w:pPr>
              <w:pStyle w:val="12"/>
            </w:pPr>
            <w:r>
              <w:t>省县道两侧绿化补贴占地面积</w:t>
            </w:r>
          </w:p>
        </w:tc>
        <w:tc>
          <w:tcPr>
            <w:tcW w:w="2268" w:type="dxa"/>
            <w:vAlign w:val="center"/>
          </w:tcPr>
          <w:p>
            <w:pPr>
              <w:pStyle w:val="12"/>
            </w:pPr>
            <w:r>
              <w:t>≤80亩</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当年绿化占地补贴放放工作完成率</w:t>
            </w:r>
          </w:p>
        </w:tc>
        <w:tc>
          <w:tcPr>
            <w:tcW w:w="2268" w:type="dxa"/>
            <w:vAlign w:val="center"/>
          </w:tcPr>
          <w:p>
            <w:pPr>
              <w:pStyle w:val="12"/>
            </w:pPr>
            <w:r>
              <w:t>≥95%</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发放资金及时率</w:t>
            </w:r>
          </w:p>
        </w:tc>
        <w:tc>
          <w:tcPr>
            <w:tcW w:w="5386" w:type="dxa"/>
            <w:vAlign w:val="center"/>
          </w:tcPr>
          <w:p>
            <w:pPr>
              <w:pStyle w:val="12"/>
            </w:pPr>
            <w:r>
              <w:t>按照合同规定每年按时发放</w:t>
            </w:r>
          </w:p>
        </w:tc>
        <w:tc>
          <w:tcPr>
            <w:tcW w:w="2268" w:type="dxa"/>
            <w:vAlign w:val="center"/>
          </w:tcPr>
          <w:p>
            <w:pPr>
              <w:pStyle w:val="12"/>
            </w:pPr>
            <w:r>
              <w:t>12月底前发放完成</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绿化占地补贴发放标准</w:t>
            </w:r>
          </w:p>
        </w:tc>
        <w:tc>
          <w:tcPr>
            <w:tcW w:w="2268" w:type="dxa"/>
            <w:vAlign w:val="center"/>
          </w:tcPr>
          <w:p>
            <w:pPr>
              <w:pStyle w:val="12"/>
            </w:pPr>
            <w:r>
              <w:t>每亩200元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补贴发放工作在全镇形成的影响</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5、公用经费（武装经费）绩效目标表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13010926P00000110037M</w:t>
            </w:r>
          </w:p>
        </w:tc>
        <w:tc>
          <w:tcPr>
            <w:tcW w:w="2835" w:type="dxa"/>
            <w:vAlign w:val="center"/>
          </w:tcPr>
          <w:p>
            <w:pPr>
              <w:pStyle w:val="10"/>
            </w:pPr>
            <w:r>
              <w:t>项目名称</w:t>
            </w:r>
          </w:p>
        </w:tc>
        <w:tc>
          <w:tcPr>
            <w:tcW w:w="6095" w:type="dxa"/>
            <w:gridSpan w:val="3"/>
            <w:vAlign w:val="center"/>
          </w:tcPr>
          <w:p>
            <w:pPr>
              <w:pStyle w:val="12"/>
            </w:pPr>
            <w:r>
              <w:t>公用经费（武装经费）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保障基层武装工作正常开展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0.03</w:t>
            </w:r>
          </w:p>
        </w:tc>
        <w:tc>
          <w:tcPr>
            <w:tcW w:w="2835" w:type="dxa"/>
            <w:vAlign w:val="center"/>
          </w:tcPr>
          <w:p>
            <w:pPr>
              <w:pStyle w:val="13"/>
            </w:pPr>
            <w:r>
              <w:t>0.06</w:t>
            </w:r>
          </w:p>
        </w:tc>
        <w:tc>
          <w:tcPr>
            <w:tcW w:w="2551" w:type="dxa"/>
            <w:vAlign w:val="center"/>
          </w:tcPr>
          <w:p>
            <w:pPr>
              <w:pStyle w:val="13"/>
            </w:pPr>
            <w:r>
              <w:t>0.09</w:t>
            </w:r>
          </w:p>
        </w:tc>
        <w:tc>
          <w:tcPr>
            <w:tcW w:w="3544" w:type="dxa"/>
            <w:gridSpan w:val="2"/>
            <w:vAlign w:val="center"/>
          </w:tcPr>
          <w:p>
            <w:pPr>
              <w:pStyle w:val="13"/>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1.保障基层武装工作正常开展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训练次数</w:t>
            </w:r>
          </w:p>
        </w:tc>
        <w:tc>
          <w:tcPr>
            <w:tcW w:w="5386" w:type="dxa"/>
            <w:vAlign w:val="center"/>
          </w:tcPr>
          <w:p>
            <w:pPr>
              <w:pStyle w:val="12"/>
            </w:pPr>
            <w:r>
              <w:t>每年至少组织民兵进行训练次数</w:t>
            </w:r>
          </w:p>
        </w:tc>
        <w:tc>
          <w:tcPr>
            <w:tcW w:w="2268" w:type="dxa"/>
            <w:vAlign w:val="center"/>
          </w:tcPr>
          <w:p>
            <w:pPr>
              <w:pStyle w:val="12"/>
            </w:pPr>
            <w:r>
              <w:t>≥1次</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达标率</w:t>
            </w:r>
          </w:p>
        </w:tc>
        <w:tc>
          <w:tcPr>
            <w:tcW w:w="5386" w:type="dxa"/>
            <w:vAlign w:val="center"/>
          </w:tcPr>
          <w:p>
            <w:pPr>
              <w:pStyle w:val="12"/>
            </w:pPr>
            <w:r>
              <w:t>保障基层武装规范化建设达标率</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每年完成上级安排征兵任务</w:t>
            </w:r>
          </w:p>
        </w:tc>
        <w:tc>
          <w:tcPr>
            <w:tcW w:w="2268" w:type="dxa"/>
            <w:vAlign w:val="center"/>
          </w:tcPr>
          <w:p>
            <w:pPr>
              <w:pStyle w:val="12"/>
            </w:pPr>
            <w:r>
              <w:t>按时完成</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运转经费总额</w:t>
            </w:r>
          </w:p>
        </w:tc>
        <w:tc>
          <w:tcPr>
            <w:tcW w:w="5386" w:type="dxa"/>
            <w:vAlign w:val="center"/>
          </w:tcPr>
          <w:p>
            <w:pPr>
              <w:pStyle w:val="12"/>
            </w:pPr>
            <w:r>
              <w:t>当年武装经费金额</w:t>
            </w:r>
          </w:p>
        </w:tc>
        <w:tc>
          <w:tcPr>
            <w:tcW w:w="2268" w:type="dxa"/>
            <w:vAlign w:val="center"/>
          </w:tcPr>
          <w:p>
            <w:pPr>
              <w:pStyle w:val="12"/>
            </w:pPr>
            <w:r>
              <w:t>0.1万元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影响力</w:t>
            </w:r>
          </w:p>
        </w:tc>
        <w:tc>
          <w:tcPr>
            <w:tcW w:w="5386" w:type="dxa"/>
            <w:vAlign w:val="center"/>
          </w:tcPr>
          <w:p>
            <w:pPr>
              <w:pStyle w:val="12"/>
            </w:pPr>
            <w:r>
              <w:t>武装工作在群众中的影响力</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当年武装工作群众满意度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6、公用经费（综治经费）绩效目标表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13010926P00000110039W</w:t>
            </w:r>
          </w:p>
        </w:tc>
        <w:tc>
          <w:tcPr>
            <w:tcW w:w="2835" w:type="dxa"/>
            <w:vAlign w:val="center"/>
          </w:tcPr>
          <w:p>
            <w:pPr>
              <w:pStyle w:val="10"/>
            </w:pPr>
            <w:r>
              <w:t>项目名称</w:t>
            </w:r>
          </w:p>
        </w:tc>
        <w:tc>
          <w:tcPr>
            <w:tcW w:w="6095" w:type="dxa"/>
            <w:gridSpan w:val="3"/>
            <w:vAlign w:val="center"/>
          </w:tcPr>
          <w:p>
            <w:pPr>
              <w:pStyle w:val="12"/>
            </w:pPr>
            <w:r>
              <w:t>公用经费（综治经费）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确保基层综治相关工作顺利运转，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0.03</w:t>
            </w:r>
          </w:p>
        </w:tc>
        <w:tc>
          <w:tcPr>
            <w:tcW w:w="2835" w:type="dxa"/>
            <w:vAlign w:val="center"/>
          </w:tcPr>
          <w:p>
            <w:pPr>
              <w:pStyle w:val="13"/>
            </w:pPr>
            <w:r>
              <w:t>0.06</w:t>
            </w:r>
          </w:p>
        </w:tc>
        <w:tc>
          <w:tcPr>
            <w:tcW w:w="2551" w:type="dxa"/>
            <w:vAlign w:val="center"/>
          </w:tcPr>
          <w:p>
            <w:pPr>
              <w:pStyle w:val="13"/>
            </w:pPr>
            <w:r>
              <w:t>0.09</w:t>
            </w:r>
          </w:p>
        </w:tc>
        <w:tc>
          <w:tcPr>
            <w:tcW w:w="3544" w:type="dxa"/>
            <w:gridSpan w:val="2"/>
            <w:vAlign w:val="center"/>
          </w:tcPr>
          <w:p>
            <w:pPr>
              <w:pStyle w:val="13"/>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1.确保基层综治相关工作顺利运转，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组织活动数</w:t>
            </w:r>
          </w:p>
        </w:tc>
        <w:tc>
          <w:tcPr>
            <w:tcW w:w="5386" w:type="dxa"/>
            <w:vAlign w:val="center"/>
          </w:tcPr>
          <w:p>
            <w:pPr>
              <w:pStyle w:val="12"/>
            </w:pPr>
            <w:r>
              <w:t>当年进行宣传活动次数</w:t>
            </w:r>
          </w:p>
        </w:tc>
        <w:tc>
          <w:tcPr>
            <w:tcW w:w="2268" w:type="dxa"/>
            <w:vAlign w:val="center"/>
          </w:tcPr>
          <w:p>
            <w:pPr>
              <w:pStyle w:val="12"/>
            </w:pPr>
            <w:r>
              <w:t>≥1次</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综治经费使用成果</w:t>
            </w:r>
          </w:p>
        </w:tc>
        <w:tc>
          <w:tcPr>
            <w:tcW w:w="5386" w:type="dxa"/>
            <w:vAlign w:val="center"/>
          </w:tcPr>
          <w:p>
            <w:pPr>
              <w:pStyle w:val="12"/>
            </w:pPr>
            <w:r>
              <w:t>当年综治工作完成率</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经费支出时效</w:t>
            </w:r>
          </w:p>
        </w:tc>
        <w:tc>
          <w:tcPr>
            <w:tcW w:w="5386" w:type="dxa"/>
            <w:vAlign w:val="center"/>
          </w:tcPr>
          <w:p>
            <w:pPr>
              <w:pStyle w:val="12"/>
            </w:pPr>
            <w:r>
              <w:t>综治经费支出时效</w:t>
            </w:r>
          </w:p>
        </w:tc>
        <w:tc>
          <w:tcPr>
            <w:tcW w:w="2268" w:type="dxa"/>
            <w:vAlign w:val="center"/>
          </w:tcPr>
          <w:p>
            <w:pPr>
              <w:pStyle w:val="12"/>
            </w:pPr>
            <w:r>
              <w:t>年底前完成</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总金额</w:t>
            </w:r>
          </w:p>
        </w:tc>
        <w:tc>
          <w:tcPr>
            <w:tcW w:w="5386" w:type="dxa"/>
            <w:vAlign w:val="center"/>
          </w:tcPr>
          <w:p>
            <w:pPr>
              <w:pStyle w:val="12"/>
            </w:pPr>
            <w:r>
              <w:t>综治经费安排总金额</w:t>
            </w:r>
          </w:p>
        </w:tc>
        <w:tc>
          <w:tcPr>
            <w:tcW w:w="2268" w:type="dxa"/>
            <w:vAlign w:val="center"/>
          </w:tcPr>
          <w:p>
            <w:pPr>
              <w:pStyle w:val="12"/>
            </w:pPr>
            <w:r>
              <w:t>0.1万元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保障情况</w:t>
            </w:r>
          </w:p>
        </w:tc>
        <w:tc>
          <w:tcPr>
            <w:tcW w:w="5386" w:type="dxa"/>
            <w:vAlign w:val="center"/>
          </w:tcPr>
          <w:p>
            <w:pPr>
              <w:pStyle w:val="12"/>
            </w:pPr>
            <w:r>
              <w:t>保障基层综治工作顺利开展</w:t>
            </w:r>
          </w:p>
        </w:tc>
        <w:tc>
          <w:tcPr>
            <w:tcW w:w="2268" w:type="dxa"/>
            <w:vAlign w:val="center"/>
          </w:tcPr>
          <w:p>
            <w:pPr>
              <w:pStyle w:val="12"/>
            </w:pPr>
            <w:r>
              <w:t>保障</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群众对当年综治工作的满意度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7、马山线、定魏线、定魏支线占地补贴绩效目标表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13010926P00002510079H</w:t>
            </w:r>
          </w:p>
        </w:tc>
        <w:tc>
          <w:tcPr>
            <w:tcW w:w="2835" w:type="dxa"/>
            <w:vAlign w:val="center"/>
          </w:tcPr>
          <w:p>
            <w:pPr>
              <w:pStyle w:val="10"/>
            </w:pPr>
            <w:r>
              <w:t>项目名称</w:t>
            </w:r>
          </w:p>
        </w:tc>
        <w:tc>
          <w:tcPr>
            <w:tcW w:w="6095" w:type="dxa"/>
            <w:gridSpan w:val="3"/>
            <w:vAlign w:val="center"/>
          </w:tcPr>
          <w:p>
            <w:pPr>
              <w:pStyle w:val="12"/>
            </w:pPr>
            <w:r>
              <w:t>马山线、定魏线、定魏支线占地补贴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22.72</w:t>
            </w:r>
          </w:p>
        </w:tc>
        <w:tc>
          <w:tcPr>
            <w:tcW w:w="2835" w:type="dxa"/>
            <w:vAlign w:val="center"/>
          </w:tcPr>
          <w:p>
            <w:pPr>
              <w:pStyle w:val="10"/>
            </w:pPr>
            <w:r>
              <w:t>其中：财政    资金</w:t>
            </w:r>
          </w:p>
        </w:tc>
        <w:tc>
          <w:tcPr>
            <w:tcW w:w="2551" w:type="dxa"/>
            <w:vAlign w:val="center"/>
          </w:tcPr>
          <w:p>
            <w:pPr>
              <w:pStyle w:val="12"/>
            </w:pPr>
            <w:r>
              <w:t>22.72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待交通局负担占地补偿款拨付到位后，及时拨付农户占地补贴。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6.90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22.72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1.待交通局负担占地补偿款拨付到位后，及时拨付农户占地补贴。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占地面积</w:t>
            </w:r>
          </w:p>
        </w:tc>
        <w:tc>
          <w:tcPr>
            <w:tcW w:w="5386" w:type="dxa"/>
            <w:vAlign w:val="center"/>
          </w:tcPr>
          <w:p>
            <w:pPr>
              <w:pStyle w:val="12"/>
            </w:pPr>
            <w:r>
              <w:t>涉及补贴的占地面积</w:t>
            </w:r>
          </w:p>
        </w:tc>
        <w:tc>
          <w:tcPr>
            <w:tcW w:w="2268" w:type="dxa"/>
            <w:vAlign w:val="center"/>
          </w:tcPr>
          <w:p>
            <w:pPr>
              <w:pStyle w:val="12"/>
            </w:pPr>
            <w:r>
              <w:t>504.87亩</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当年占地补贴拨付工作的完成进度</w:t>
            </w:r>
          </w:p>
        </w:tc>
        <w:tc>
          <w:tcPr>
            <w:tcW w:w="2268" w:type="dxa"/>
            <w:vAlign w:val="center"/>
          </w:tcPr>
          <w:p>
            <w:pPr>
              <w:pStyle w:val="12"/>
            </w:pPr>
            <w:r>
              <w:t>100%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按照合同相关规定每年按时发放占地补贴</w:t>
            </w:r>
          </w:p>
        </w:tc>
        <w:tc>
          <w:tcPr>
            <w:tcW w:w="2268" w:type="dxa"/>
            <w:vAlign w:val="center"/>
          </w:tcPr>
          <w:p>
            <w:pPr>
              <w:pStyle w:val="12"/>
            </w:pPr>
            <w:r>
              <w:t>12月完成拨付</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占地补贴发放标准</w:t>
            </w:r>
          </w:p>
        </w:tc>
        <w:tc>
          <w:tcPr>
            <w:tcW w:w="2268" w:type="dxa"/>
            <w:vAlign w:val="center"/>
          </w:tcPr>
          <w:p>
            <w:pPr>
              <w:pStyle w:val="12"/>
            </w:pPr>
            <w:r>
              <w:t>每亩地450元</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保障程度</w:t>
            </w:r>
          </w:p>
        </w:tc>
        <w:tc>
          <w:tcPr>
            <w:tcW w:w="5386" w:type="dxa"/>
            <w:vAlign w:val="center"/>
          </w:tcPr>
          <w:p>
            <w:pPr>
              <w:pStyle w:val="12"/>
            </w:pPr>
            <w:r>
              <w:t>保障农户相关权益</w:t>
            </w:r>
          </w:p>
        </w:tc>
        <w:tc>
          <w:tcPr>
            <w:tcW w:w="2268" w:type="dxa"/>
            <w:vAlign w:val="center"/>
          </w:tcPr>
          <w:p>
            <w:pPr>
              <w:pStyle w:val="12"/>
            </w:pPr>
            <w:r>
              <w:t>保障</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5386" w:type="dxa"/>
            <w:vAlign w:val="center"/>
          </w:tcPr>
          <w:p>
            <w:pPr>
              <w:pStyle w:val="12"/>
            </w:pPr>
            <w:r>
              <w:t>农户对当年补贴发放工作的满意度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13010926P00002510077A</w:t>
            </w:r>
          </w:p>
        </w:tc>
        <w:tc>
          <w:tcPr>
            <w:tcW w:w="2835" w:type="dxa"/>
            <w:vAlign w:val="center"/>
          </w:tcPr>
          <w:p>
            <w:pPr>
              <w:pStyle w:val="10"/>
            </w:pPr>
            <w:r>
              <w:t>项目名称</w:t>
            </w:r>
          </w:p>
        </w:tc>
        <w:tc>
          <w:tcPr>
            <w:tcW w:w="6095" w:type="dxa"/>
            <w:gridSpan w:val="3"/>
            <w:vAlign w:val="center"/>
          </w:tcPr>
          <w:p>
            <w:pPr>
              <w:pStyle w:val="12"/>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w:t>
            </w:r>
          </w:p>
        </w:tc>
        <w:tc>
          <w:tcPr>
            <w:tcW w:w="2835" w:type="dxa"/>
            <w:vAlign w:val="center"/>
          </w:tcPr>
          <w:p>
            <w:pPr>
              <w:pStyle w:val="10"/>
            </w:pPr>
            <w:r>
              <w:t>其中：财政    资金</w:t>
            </w:r>
          </w:p>
        </w:tc>
        <w:tc>
          <w:tcPr>
            <w:tcW w:w="2551" w:type="dxa"/>
            <w:vAlign w:val="center"/>
          </w:tcPr>
          <w:p>
            <w:pPr>
              <w:pStyle w:val="12"/>
            </w:pPr>
            <w:r>
              <w:t>3.70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按时按规发放农村独生子女费，为独生子女家庭提供实质性帮助。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1.12</w:t>
            </w:r>
          </w:p>
        </w:tc>
        <w:tc>
          <w:tcPr>
            <w:tcW w:w="2835" w:type="dxa"/>
            <w:vAlign w:val="center"/>
          </w:tcPr>
          <w:p>
            <w:pPr>
              <w:pStyle w:val="13"/>
            </w:pPr>
            <w:r>
              <w:t>2.30</w:t>
            </w:r>
          </w:p>
        </w:tc>
        <w:tc>
          <w:tcPr>
            <w:tcW w:w="2551" w:type="dxa"/>
            <w:vAlign w:val="center"/>
          </w:tcPr>
          <w:p>
            <w:pPr>
              <w:pStyle w:val="13"/>
            </w:pPr>
            <w:r>
              <w:t>3.50</w:t>
            </w:r>
          </w:p>
        </w:tc>
        <w:tc>
          <w:tcPr>
            <w:tcW w:w="3544" w:type="dxa"/>
            <w:gridSpan w:val="2"/>
            <w:vAlign w:val="center"/>
          </w:tcPr>
          <w:p>
            <w:pPr>
              <w:pStyle w:val="13"/>
            </w:pPr>
            <w:r>
              <w:t>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1.按时按规发放农村独生子女费，为独生子女家庭提供实质性帮助。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全镇享受独生子女奖励人数</w:t>
            </w:r>
          </w:p>
        </w:tc>
        <w:tc>
          <w:tcPr>
            <w:tcW w:w="2268" w:type="dxa"/>
            <w:vAlign w:val="center"/>
          </w:tcPr>
          <w:p>
            <w:pPr>
              <w:pStyle w:val="12"/>
            </w:pPr>
            <w:r>
              <w:t>≤358人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农村独生子女费发放工作完成进度</w:t>
            </w:r>
          </w:p>
        </w:tc>
        <w:tc>
          <w:tcPr>
            <w:tcW w:w="2268" w:type="dxa"/>
            <w:vAlign w:val="center"/>
          </w:tcPr>
          <w:p>
            <w:pPr>
              <w:pStyle w:val="12"/>
            </w:pPr>
            <w:r>
              <w:t>≥95%</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根据文件规定每年年底发放独生子女费</w:t>
            </w:r>
          </w:p>
        </w:tc>
        <w:tc>
          <w:tcPr>
            <w:tcW w:w="2268" w:type="dxa"/>
            <w:vAlign w:val="center"/>
          </w:tcPr>
          <w:p>
            <w:pPr>
              <w:pStyle w:val="12"/>
            </w:pPr>
            <w:r>
              <w:t>12月底</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独生子女费发放标准每人每月</w:t>
            </w:r>
          </w:p>
        </w:tc>
        <w:tc>
          <w:tcPr>
            <w:tcW w:w="2268" w:type="dxa"/>
            <w:vAlign w:val="center"/>
          </w:tcPr>
          <w:p>
            <w:pPr>
              <w:pStyle w:val="12"/>
            </w:pPr>
            <w:r>
              <w:t>≥10元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独生子女费发放工作在全镇得到广大群众的认可</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5386" w:type="dxa"/>
            <w:vAlign w:val="center"/>
          </w:tcPr>
          <w:p>
            <w:pPr>
              <w:pStyle w:val="12"/>
            </w:pPr>
            <w:r>
              <w:t>群众对拨付工作的满意度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13010926P00002510078X</w:t>
            </w:r>
          </w:p>
        </w:tc>
        <w:tc>
          <w:tcPr>
            <w:tcW w:w="2835" w:type="dxa"/>
            <w:vAlign w:val="center"/>
          </w:tcPr>
          <w:p>
            <w:pPr>
              <w:pStyle w:val="10"/>
            </w:pPr>
            <w:r>
              <w:t>项目名称</w:t>
            </w:r>
          </w:p>
        </w:tc>
        <w:tc>
          <w:tcPr>
            <w:tcW w:w="6095" w:type="dxa"/>
            <w:gridSpan w:val="3"/>
            <w:vAlign w:val="center"/>
          </w:tcPr>
          <w:p>
            <w:pPr>
              <w:pStyle w:val="12"/>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17.28</w:t>
            </w:r>
          </w:p>
        </w:tc>
        <w:tc>
          <w:tcPr>
            <w:tcW w:w="2835" w:type="dxa"/>
            <w:vAlign w:val="center"/>
          </w:tcPr>
          <w:p>
            <w:pPr>
              <w:pStyle w:val="10"/>
            </w:pPr>
            <w:r>
              <w:t>其中：财政    资金</w:t>
            </w:r>
          </w:p>
        </w:tc>
        <w:tc>
          <w:tcPr>
            <w:tcW w:w="2551" w:type="dxa"/>
            <w:vAlign w:val="center"/>
          </w:tcPr>
          <w:p>
            <w:pPr>
              <w:pStyle w:val="12"/>
            </w:pPr>
            <w:r>
              <w:t>17.28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按照学区工会工作要求及时上缴工会经费。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11.00</w:t>
            </w:r>
          </w:p>
        </w:tc>
        <w:tc>
          <w:tcPr>
            <w:tcW w:w="2551" w:type="dxa"/>
            <w:vAlign w:val="center"/>
          </w:tcPr>
          <w:p>
            <w:pPr>
              <w:pStyle w:val="13"/>
            </w:pPr>
            <w:r>
              <w:t>16.00</w:t>
            </w:r>
          </w:p>
        </w:tc>
        <w:tc>
          <w:tcPr>
            <w:tcW w:w="3544" w:type="dxa"/>
            <w:gridSpan w:val="2"/>
            <w:vAlign w:val="center"/>
          </w:tcPr>
          <w:p>
            <w:pPr>
              <w:pStyle w:val="13"/>
            </w:pPr>
            <w:r>
              <w:t>17.28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1.按照学区工会工作要求及时上缴工会经费。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学区工会费覆盖人数</w:t>
            </w:r>
          </w:p>
        </w:tc>
        <w:tc>
          <w:tcPr>
            <w:tcW w:w="2268" w:type="dxa"/>
            <w:vAlign w:val="center"/>
          </w:tcPr>
          <w:p>
            <w:pPr>
              <w:pStyle w:val="12"/>
            </w:pPr>
            <w:r>
              <w:t>56人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按照工会安排资金数量上缴工会费完成率</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按照区工会安排时间上缴工会费</w:t>
            </w:r>
          </w:p>
        </w:tc>
        <w:tc>
          <w:tcPr>
            <w:tcW w:w="2268" w:type="dxa"/>
            <w:vAlign w:val="center"/>
          </w:tcPr>
          <w:p>
            <w:pPr>
              <w:pStyle w:val="12"/>
            </w:pPr>
            <w:r>
              <w:t>12月底完成</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工会费标准</w:t>
            </w:r>
          </w:p>
        </w:tc>
        <w:tc>
          <w:tcPr>
            <w:tcW w:w="5386" w:type="dxa"/>
            <w:vAlign w:val="center"/>
          </w:tcPr>
          <w:p>
            <w:pPr>
              <w:pStyle w:val="12"/>
            </w:pPr>
            <w:r>
              <w:t>工会费缴纳每人每月应发工会费标准</w:t>
            </w:r>
          </w:p>
        </w:tc>
        <w:tc>
          <w:tcPr>
            <w:tcW w:w="2268" w:type="dxa"/>
            <w:vAlign w:val="center"/>
          </w:tcPr>
          <w:p>
            <w:pPr>
              <w:pStyle w:val="12"/>
            </w:pPr>
            <w:r>
              <w:t>0.026万元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工会工作形成的重要影响得到认可</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对此项工作的满意度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13010926P000025100753</w:t>
            </w:r>
          </w:p>
        </w:tc>
        <w:tc>
          <w:tcPr>
            <w:tcW w:w="2835" w:type="dxa"/>
            <w:vAlign w:val="center"/>
          </w:tcPr>
          <w:p>
            <w:pPr>
              <w:pStyle w:val="10"/>
            </w:pPr>
            <w:r>
              <w:t>项目名称</w:t>
            </w:r>
          </w:p>
        </w:tc>
        <w:tc>
          <w:tcPr>
            <w:tcW w:w="6095" w:type="dxa"/>
            <w:gridSpan w:val="3"/>
            <w:vAlign w:val="center"/>
          </w:tcPr>
          <w:p>
            <w:pPr>
              <w:pStyle w:val="12"/>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w:t>
            </w:r>
          </w:p>
        </w:tc>
        <w:tc>
          <w:tcPr>
            <w:tcW w:w="2835" w:type="dxa"/>
            <w:vAlign w:val="center"/>
          </w:tcPr>
          <w:p>
            <w:pPr>
              <w:pStyle w:val="10"/>
            </w:pPr>
            <w:r>
              <w:t>其中：财政    资金</w:t>
            </w:r>
          </w:p>
        </w:tc>
        <w:tc>
          <w:tcPr>
            <w:tcW w:w="2551" w:type="dxa"/>
            <w:vAlign w:val="center"/>
          </w:tcPr>
          <w:p>
            <w:pPr>
              <w:pStyle w:val="12"/>
            </w:pPr>
            <w:r>
              <w:t>1.97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根据文件要求及时发放原经贸系统关闭企业下放回乡的合同工、副业工涉军人员生活补贴，保障农村籍退役士兵老年生活。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1.97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1.根据文件要求及时发放原经贸系统关闭企业下放回乡的合同工、副业工涉军人员生活补贴，保障农村籍退役士兵老年生活。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享受补贴的人数</w:t>
            </w:r>
          </w:p>
        </w:tc>
        <w:tc>
          <w:tcPr>
            <w:tcW w:w="2268" w:type="dxa"/>
            <w:vAlign w:val="center"/>
          </w:tcPr>
          <w:p>
            <w:pPr>
              <w:pStyle w:val="12"/>
            </w:pPr>
            <w:r>
              <w:t>8人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补贴准确、足额发放人数完成率</w:t>
            </w:r>
          </w:p>
        </w:tc>
        <w:tc>
          <w:tcPr>
            <w:tcW w:w="2268" w:type="dxa"/>
            <w:vAlign w:val="center"/>
          </w:tcPr>
          <w:p>
            <w:pPr>
              <w:pStyle w:val="12"/>
            </w:pPr>
            <w:r>
              <w:t>≥95%</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发放补助完成及时率</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涉军人员每月补助标准</w:t>
            </w:r>
          </w:p>
        </w:tc>
        <w:tc>
          <w:tcPr>
            <w:tcW w:w="2268" w:type="dxa"/>
            <w:vAlign w:val="center"/>
          </w:tcPr>
          <w:p>
            <w:pPr>
              <w:pStyle w:val="12"/>
            </w:pPr>
            <w:r>
              <w:t>≥200元/人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保障情况</w:t>
            </w:r>
          </w:p>
        </w:tc>
        <w:tc>
          <w:tcPr>
            <w:tcW w:w="5386" w:type="dxa"/>
            <w:vAlign w:val="center"/>
          </w:tcPr>
          <w:p>
            <w:pPr>
              <w:pStyle w:val="12"/>
            </w:pPr>
            <w:r>
              <w:t>保障农村籍退役士兵老年生活</w:t>
            </w:r>
          </w:p>
        </w:tc>
        <w:tc>
          <w:tcPr>
            <w:tcW w:w="2268" w:type="dxa"/>
            <w:vAlign w:val="center"/>
          </w:tcPr>
          <w:p>
            <w:pPr>
              <w:pStyle w:val="12"/>
            </w:pPr>
            <w:r>
              <w:t>保障</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群众对本项工作的满意度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13010926P00002510076N</w:t>
            </w:r>
          </w:p>
        </w:tc>
        <w:tc>
          <w:tcPr>
            <w:tcW w:w="2835" w:type="dxa"/>
            <w:vAlign w:val="center"/>
          </w:tcPr>
          <w:p>
            <w:pPr>
              <w:pStyle w:val="10"/>
            </w:pPr>
            <w:r>
              <w:t>项目名称</w:t>
            </w:r>
          </w:p>
        </w:tc>
        <w:tc>
          <w:tcPr>
            <w:tcW w:w="6095" w:type="dxa"/>
            <w:gridSpan w:val="3"/>
            <w:vAlign w:val="center"/>
          </w:tcPr>
          <w:p>
            <w:pPr>
              <w:pStyle w:val="12"/>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保证工会费及时、足额上缴。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0.90</w:t>
            </w:r>
          </w:p>
        </w:tc>
        <w:tc>
          <w:tcPr>
            <w:tcW w:w="2835" w:type="dxa"/>
            <w:vAlign w:val="center"/>
          </w:tcPr>
          <w:p>
            <w:pPr>
              <w:pStyle w:val="13"/>
            </w:pPr>
            <w:r>
              <w:t>1.80</w:t>
            </w:r>
          </w:p>
        </w:tc>
        <w:tc>
          <w:tcPr>
            <w:tcW w:w="2551" w:type="dxa"/>
            <w:vAlign w:val="center"/>
          </w:tcPr>
          <w:p>
            <w:pPr>
              <w:pStyle w:val="13"/>
            </w:pPr>
            <w:r>
              <w:t>2.60</w:t>
            </w:r>
          </w:p>
        </w:tc>
        <w:tc>
          <w:tcPr>
            <w:tcW w:w="3544" w:type="dxa"/>
            <w:gridSpan w:val="2"/>
            <w:vAlign w:val="center"/>
          </w:tcPr>
          <w:p>
            <w:pPr>
              <w:pStyle w:val="13"/>
            </w:pPr>
            <w:r>
              <w:t>2.88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1.保证工会费及时、足额上缴。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上缴工会费人数</w:t>
            </w:r>
          </w:p>
        </w:tc>
        <w:tc>
          <w:tcPr>
            <w:tcW w:w="2268" w:type="dxa"/>
            <w:vAlign w:val="center"/>
          </w:tcPr>
          <w:p>
            <w:pPr>
              <w:pStyle w:val="12"/>
            </w:pPr>
            <w:r>
              <w:t>53人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上缴工会费完成率</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上交工会费及时率</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上缴标准</w:t>
            </w:r>
          </w:p>
        </w:tc>
        <w:tc>
          <w:tcPr>
            <w:tcW w:w="5386" w:type="dxa"/>
            <w:vAlign w:val="center"/>
          </w:tcPr>
          <w:p>
            <w:pPr>
              <w:pStyle w:val="12"/>
            </w:pPr>
            <w:r>
              <w:t>工会费上缴标准</w:t>
            </w:r>
          </w:p>
        </w:tc>
        <w:tc>
          <w:tcPr>
            <w:tcW w:w="2268" w:type="dxa"/>
            <w:vAlign w:val="center"/>
          </w:tcPr>
          <w:p>
            <w:pPr>
              <w:pStyle w:val="12"/>
            </w:pPr>
            <w:r>
              <w:t>按规定执行</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保障程度</w:t>
            </w:r>
          </w:p>
        </w:tc>
        <w:tc>
          <w:tcPr>
            <w:tcW w:w="5386" w:type="dxa"/>
            <w:vAlign w:val="center"/>
          </w:tcPr>
          <w:p>
            <w:pPr>
              <w:pStyle w:val="12"/>
            </w:pPr>
            <w:r>
              <w:t>保障工会费按时上交</w:t>
            </w:r>
          </w:p>
        </w:tc>
        <w:tc>
          <w:tcPr>
            <w:tcW w:w="2268" w:type="dxa"/>
            <w:vAlign w:val="center"/>
          </w:tcPr>
          <w:p>
            <w:pPr>
              <w:pStyle w:val="12"/>
            </w:pPr>
            <w:r>
              <w:t>保障</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对服务工作的满意度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13010926P00002510102E</w:t>
            </w:r>
          </w:p>
        </w:tc>
        <w:tc>
          <w:tcPr>
            <w:tcW w:w="2835" w:type="dxa"/>
            <w:vAlign w:val="center"/>
          </w:tcPr>
          <w:p>
            <w:pPr>
              <w:pStyle w:val="10"/>
            </w:pPr>
            <w:r>
              <w:t>项目名称</w:t>
            </w:r>
          </w:p>
        </w:tc>
        <w:tc>
          <w:tcPr>
            <w:tcW w:w="6095" w:type="dxa"/>
            <w:gridSpan w:val="3"/>
            <w:vAlign w:val="center"/>
          </w:tcPr>
          <w:p>
            <w:pPr>
              <w:pStyle w:val="12"/>
            </w:pPr>
            <w:r>
              <w:t>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保障常安镇政府机关正常运转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1.保障常安镇政府机关正常运转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完成工作任务数</w:t>
            </w:r>
          </w:p>
        </w:tc>
        <w:tc>
          <w:tcPr>
            <w:tcW w:w="5386" w:type="dxa"/>
            <w:vAlign w:val="center"/>
          </w:tcPr>
          <w:p>
            <w:pPr>
              <w:pStyle w:val="12"/>
            </w:pPr>
            <w:r>
              <w:t>完成工作任务数</w:t>
            </w:r>
          </w:p>
        </w:tc>
        <w:tc>
          <w:tcPr>
            <w:tcW w:w="2268" w:type="dxa"/>
            <w:vAlign w:val="center"/>
          </w:tcPr>
          <w:p>
            <w:pPr>
              <w:pStyle w:val="12"/>
            </w:pPr>
            <w:r>
              <w:t>≥3项</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工作完成质量</w:t>
            </w:r>
          </w:p>
        </w:tc>
        <w:tc>
          <w:tcPr>
            <w:tcW w:w="5386" w:type="dxa"/>
            <w:vAlign w:val="center"/>
          </w:tcPr>
          <w:p>
            <w:pPr>
              <w:pStyle w:val="12"/>
            </w:pPr>
            <w:r>
              <w:t>工作完成质量</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5386" w:type="dxa"/>
            <w:vAlign w:val="center"/>
          </w:tcPr>
          <w:p>
            <w:pPr>
              <w:pStyle w:val="12"/>
            </w:pPr>
            <w:r>
              <w:t>完成工作时间</w:t>
            </w:r>
          </w:p>
        </w:tc>
        <w:tc>
          <w:tcPr>
            <w:tcW w:w="2268" w:type="dxa"/>
            <w:vAlign w:val="center"/>
          </w:tcPr>
          <w:p>
            <w:pPr>
              <w:pStyle w:val="12"/>
            </w:pPr>
            <w:r>
              <w:t>12月底之前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在预算范围内</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保障机关正常运转</w:t>
            </w:r>
          </w:p>
        </w:tc>
        <w:tc>
          <w:tcPr>
            <w:tcW w:w="5386" w:type="dxa"/>
            <w:vAlign w:val="center"/>
          </w:tcPr>
          <w:p>
            <w:pPr>
              <w:pStyle w:val="12"/>
            </w:pPr>
            <w:r>
              <w:t>保障机关正常运转</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机关人员对工作满意度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1.14</w:t>
            </w:r>
          </w:p>
        </w:tc>
        <w:tc>
          <w:tcPr>
            <w:tcW w:w="964" w:type="dxa"/>
            <w:vAlign w:val="center"/>
          </w:tcPr>
          <w:p>
            <w:pPr>
              <w:pStyle w:val="15"/>
            </w:pPr>
            <w:r>
              <w:t>1.14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石家庄市藁城区常安镇人民政府本级小计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1.14</w:t>
            </w:r>
          </w:p>
        </w:tc>
        <w:tc>
          <w:tcPr>
            <w:tcW w:w="964" w:type="dxa"/>
            <w:vAlign w:val="center"/>
          </w:tcPr>
          <w:p>
            <w:pPr>
              <w:pStyle w:val="15"/>
            </w:pPr>
            <w:r>
              <w:t>1.14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112.13</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112.13</w:t>
            </w:r>
          </w:p>
        </w:tc>
        <w:tc>
          <w:tcPr>
            <w:tcW w:w="1134" w:type="dxa"/>
            <w:vAlign w:val="center"/>
          </w:tcPr>
          <w:p>
            <w:pPr>
              <w:pStyle w:val="12"/>
            </w:pPr>
            <w:r>
              <w:t>高拍仪</w:t>
            </w:r>
          </w:p>
        </w:tc>
        <w:tc>
          <w:tcPr>
            <w:tcW w:w="1134" w:type="dxa"/>
            <w:vAlign w:val="center"/>
          </w:tcPr>
          <w:p>
            <w:pPr>
              <w:pStyle w:val="12"/>
            </w:pPr>
            <w:r>
              <w:t>A02021120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112.13</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112.13</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张</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112.13</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112.13</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0.05</w:t>
            </w:r>
          </w:p>
        </w:tc>
        <w:tc>
          <w:tcPr>
            <w:tcW w:w="964" w:type="dxa"/>
            <w:vAlign w:val="center"/>
          </w:tcPr>
          <w:p>
            <w:pPr>
              <w:pStyle w:val="11"/>
            </w:pPr>
            <w:r>
              <w:t>0.05</w:t>
            </w:r>
          </w:p>
        </w:tc>
        <w:tc>
          <w:tcPr>
            <w:tcW w:w="964" w:type="dxa"/>
            <w:vAlign w:val="center"/>
          </w:tcPr>
          <w:p>
            <w:pPr>
              <w:pStyle w:val="11"/>
            </w:pPr>
            <w:r>
              <w:t>0.05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112.13</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2</w:t>
            </w:r>
          </w:p>
        </w:tc>
        <w:tc>
          <w:tcPr>
            <w:tcW w:w="850" w:type="dxa"/>
            <w:vAlign w:val="center"/>
          </w:tcPr>
          <w:p>
            <w:pPr>
              <w:pStyle w:val="11"/>
            </w:pPr>
            <w:r>
              <w:t>0.04</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112.13</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3</w:t>
            </w:r>
          </w:p>
        </w:tc>
        <w:tc>
          <w:tcPr>
            <w:tcW w:w="850" w:type="dxa"/>
            <w:vAlign w:val="center"/>
          </w:tcPr>
          <w:p>
            <w:pPr>
              <w:pStyle w:val="11"/>
            </w:pPr>
            <w:r>
              <w:t>0.02</w:t>
            </w:r>
          </w:p>
        </w:tc>
        <w:tc>
          <w:tcPr>
            <w:tcW w:w="964" w:type="dxa"/>
            <w:vAlign w:val="center"/>
          </w:tcPr>
          <w:p>
            <w:pPr>
              <w:pStyle w:val="11"/>
            </w:pPr>
            <w:r>
              <w:t>0.05</w:t>
            </w:r>
          </w:p>
        </w:tc>
        <w:tc>
          <w:tcPr>
            <w:tcW w:w="964" w:type="dxa"/>
            <w:vAlign w:val="center"/>
          </w:tcPr>
          <w:p>
            <w:pPr>
              <w:pStyle w:val="11"/>
            </w:pPr>
            <w:r>
              <w:t>0.05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112.13</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2</w:t>
            </w:r>
          </w:p>
        </w:tc>
        <w:tc>
          <w:tcPr>
            <w:tcW w:w="850" w:type="dxa"/>
            <w:vAlign w:val="center"/>
          </w:tcPr>
          <w:p>
            <w:pPr>
              <w:pStyle w:val="11"/>
            </w:pPr>
            <w:r>
              <w:t>0.05</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石家庄市藁城区常安镇人民政府本级上年末固定资产金额为1192.82万元（详见下表）。本年度拟购置固定资产总额为1.46万元，已按要求列入政府采购预算，详见政府采购预算表。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804001石家庄市藁城区常安镇人民政府本级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1192.82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1500</w:t>
            </w:r>
          </w:p>
        </w:tc>
        <w:tc>
          <w:tcPr>
            <w:tcW w:w="2835" w:type="dxa"/>
            <w:vAlign w:val="center"/>
          </w:tcPr>
          <w:p>
            <w:pPr>
              <w:pStyle w:val="11"/>
            </w:pPr>
            <w:r>
              <w:t>131.83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477</w:t>
            </w:r>
          </w:p>
        </w:tc>
        <w:tc>
          <w:tcPr>
            <w:tcW w:w="2835" w:type="dxa"/>
            <w:vAlign w:val="center"/>
          </w:tcPr>
          <w:p>
            <w:pPr>
              <w:pStyle w:val="11"/>
            </w:pPr>
            <w:r>
              <w:t>41.65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1031</w:t>
            </w:r>
          </w:p>
        </w:tc>
        <w:tc>
          <w:tcPr>
            <w:tcW w:w="2835" w:type="dxa"/>
            <w:vAlign w:val="center"/>
          </w:tcPr>
          <w:p>
            <w:pPr>
              <w:pStyle w:val="11"/>
            </w:pPr>
            <w:r>
              <w:t>1052.31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DF1EFE"/>
    <w:rsid w:val="2E911192"/>
    <w:rsid w:val="324F3278"/>
    <w:rsid w:val="329A1E5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11506</Words>
  <Characters>14420</Characters>
  <TotalTime>32</TotalTime>
  <ScaleCrop>false</ScaleCrop>
  <LinksUpToDate>false</LinksUpToDate>
  <CharactersWithSpaces>14634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2026-02-28T15:10:00Z</dcterms:created>
  <dc:creator>Administrator</dc:creator>
  <cp:lastModifiedBy>565465</cp:lastModifiedBy>
  <dcterms:modified xsi:type="dcterms:W3CDTF">2026-03-04T08:10:09Z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eyJoZGlkIjoiNmRhOTk2YjZkMWZmNzRlZmE4NjNlMzZlYmQ0NWE0MzIiLCJ1c2VySWQiOiIzMTMwMjg3MTAifQ==</vt:lpwstr>
  </property>
  <property fmtid="{D5CDD505-2E9C-101B-9397-08002B2CF9AE}" pid="3" name="KSOProductBuildVer">
    <vt:lpwstr>2052-11.1.0.11744</vt:lpwstr>
  </property>
  <property fmtid="{D5CDD505-2E9C-101B-9397-08002B2CF9AE}" pid="4" name="ICV">
    <vt:lpwstr>B20E6B21BDBC49768853E3EF9FAF4672_12</vt:lpwstr>
  </property>
</Properties>
</file>