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241石家庄市藁城区档案馆</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181.21</w:t>
            </w:r>
          </w:p>
        </w:tc>
        <w:tc>
          <w:tcPr>
            <w:tcW w:w="4535" w:type="dxa"/>
            <w:vAlign w:val="center"/>
          </w:tcPr>
          <w:p>
            <w:pPr>
              <w:pStyle w:val="13"/>
            </w:pPr>
            <w:r>
              <w:t>一、一般公共服务支出</w:t>
            </w:r>
          </w:p>
        </w:tc>
        <w:tc>
          <w:tcPr>
            <w:tcW w:w="2126" w:type="dxa"/>
            <w:vAlign w:val="center"/>
          </w:tcPr>
          <w:p>
            <w:pPr>
              <w:pStyle w:val="12"/>
            </w:pPr>
            <w:r>
              <w:t>140.65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wordWrap w:val="0"/>
              <w:rPr>
                <w:rFonts w:hint="default" w:eastAsia="方正书宋_GBK"/>
                <w:lang w:val="en-US" w:eastAsia="zh-CN"/>
              </w:rPr>
            </w:pPr>
            <w:r>
              <w:rPr>
                <w:rFonts w:hint="eastAsia"/>
                <w:lang w:val="en-US" w:eastAsia="zh-CN"/>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181.21</w:t>
            </w:r>
          </w:p>
        </w:tc>
        <w:tc>
          <w:tcPr>
            <w:tcW w:w="4535" w:type="dxa"/>
            <w:vAlign w:val="center"/>
          </w:tcPr>
          <w:p>
            <w:pPr>
              <w:pStyle w:val="15"/>
            </w:pPr>
            <w:r>
              <w:t>本年支出合计</w:t>
            </w:r>
          </w:p>
        </w:tc>
        <w:tc>
          <w:tcPr>
            <w:tcW w:w="2126" w:type="dxa"/>
            <w:vAlign w:val="center"/>
          </w:tcPr>
          <w:p>
            <w:pPr>
              <w:pStyle w:val="16"/>
            </w:pPr>
            <w:r>
              <w:t>181.21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181.21</w:t>
            </w:r>
          </w:p>
        </w:tc>
        <w:tc>
          <w:tcPr>
            <w:tcW w:w="4535" w:type="dxa"/>
            <w:vAlign w:val="center"/>
          </w:tcPr>
          <w:p>
            <w:pPr>
              <w:pStyle w:val="15"/>
            </w:pPr>
            <w:r>
              <w:t>支出总计</w:t>
            </w:r>
          </w:p>
        </w:tc>
        <w:tc>
          <w:tcPr>
            <w:tcW w:w="2126" w:type="dxa"/>
            <w:vAlign w:val="center"/>
          </w:tcPr>
          <w:p>
            <w:pPr>
              <w:pStyle w:val="16"/>
            </w:pPr>
            <w:r>
              <w:t>181.21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241石家庄市藁城区档案馆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181.21</w:t>
            </w:r>
          </w:p>
        </w:tc>
        <w:tc>
          <w:tcPr>
            <w:tcW w:w="1134" w:type="dxa"/>
            <w:vAlign w:val="center"/>
          </w:tcPr>
          <w:p>
            <w:pPr>
              <w:pStyle w:val="16"/>
            </w:pPr>
            <w:r>
              <w:t>181.21</w:t>
            </w:r>
          </w:p>
        </w:tc>
        <w:tc>
          <w:tcPr>
            <w:tcW w:w="1134" w:type="dxa"/>
            <w:vAlign w:val="center"/>
          </w:tcPr>
          <w:p>
            <w:pPr>
              <w:pStyle w:val="16"/>
            </w:pPr>
            <w:r>
              <w:t>181.21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140.65</w:t>
            </w:r>
          </w:p>
        </w:tc>
        <w:tc>
          <w:tcPr>
            <w:tcW w:w="1134" w:type="dxa"/>
            <w:vAlign w:val="center"/>
          </w:tcPr>
          <w:p>
            <w:pPr>
              <w:pStyle w:val="12"/>
            </w:pPr>
            <w:r>
              <w:t>140.65</w:t>
            </w:r>
          </w:p>
        </w:tc>
        <w:tc>
          <w:tcPr>
            <w:tcW w:w="1134" w:type="dxa"/>
            <w:vAlign w:val="center"/>
          </w:tcPr>
          <w:p>
            <w:pPr>
              <w:pStyle w:val="12"/>
            </w:pPr>
            <w:r>
              <w:t>140.65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20126</w:t>
            </w:r>
          </w:p>
        </w:tc>
        <w:tc>
          <w:tcPr>
            <w:tcW w:w="1559" w:type="dxa"/>
            <w:vAlign w:val="center"/>
          </w:tcPr>
          <w:p>
            <w:pPr>
              <w:pStyle w:val="13"/>
            </w:pPr>
            <w:r>
              <w:t>档案事务</w:t>
            </w:r>
          </w:p>
        </w:tc>
        <w:tc>
          <w:tcPr>
            <w:tcW w:w="1134" w:type="dxa"/>
            <w:vAlign w:val="center"/>
          </w:tcPr>
          <w:p>
            <w:pPr>
              <w:pStyle w:val="12"/>
            </w:pPr>
            <w:r>
              <w:t>140.65</w:t>
            </w:r>
          </w:p>
        </w:tc>
        <w:tc>
          <w:tcPr>
            <w:tcW w:w="1134" w:type="dxa"/>
            <w:vAlign w:val="center"/>
          </w:tcPr>
          <w:p>
            <w:pPr>
              <w:pStyle w:val="12"/>
            </w:pPr>
            <w:r>
              <w:t>140.65</w:t>
            </w:r>
          </w:p>
        </w:tc>
        <w:tc>
          <w:tcPr>
            <w:tcW w:w="1134" w:type="dxa"/>
            <w:vAlign w:val="center"/>
          </w:tcPr>
          <w:p>
            <w:pPr>
              <w:pStyle w:val="12"/>
            </w:pPr>
            <w:r>
              <w:t>140.65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2012604</w:t>
            </w:r>
          </w:p>
        </w:tc>
        <w:tc>
          <w:tcPr>
            <w:tcW w:w="1559" w:type="dxa"/>
            <w:vAlign w:val="center"/>
          </w:tcPr>
          <w:p>
            <w:pPr>
              <w:pStyle w:val="13"/>
            </w:pPr>
            <w:r>
              <w:t>档案馆</w:t>
            </w:r>
          </w:p>
        </w:tc>
        <w:tc>
          <w:tcPr>
            <w:tcW w:w="1134" w:type="dxa"/>
            <w:vAlign w:val="center"/>
          </w:tcPr>
          <w:p>
            <w:pPr>
              <w:pStyle w:val="12"/>
            </w:pPr>
            <w:r>
              <w:t>140.65</w:t>
            </w:r>
          </w:p>
        </w:tc>
        <w:tc>
          <w:tcPr>
            <w:tcW w:w="1134" w:type="dxa"/>
            <w:vAlign w:val="center"/>
          </w:tcPr>
          <w:p>
            <w:pPr>
              <w:pStyle w:val="12"/>
            </w:pPr>
            <w:r>
              <w:t>140.65</w:t>
            </w:r>
          </w:p>
        </w:tc>
        <w:tc>
          <w:tcPr>
            <w:tcW w:w="1134" w:type="dxa"/>
            <w:vAlign w:val="center"/>
          </w:tcPr>
          <w:p>
            <w:pPr>
              <w:pStyle w:val="12"/>
            </w:pPr>
            <w:r>
              <w:t>140.65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22.12</w:t>
            </w:r>
          </w:p>
        </w:tc>
        <w:tc>
          <w:tcPr>
            <w:tcW w:w="1134" w:type="dxa"/>
            <w:vAlign w:val="center"/>
          </w:tcPr>
          <w:p>
            <w:pPr>
              <w:pStyle w:val="12"/>
            </w:pPr>
            <w:r>
              <w:t>22.12</w:t>
            </w:r>
          </w:p>
        </w:tc>
        <w:tc>
          <w:tcPr>
            <w:tcW w:w="1134" w:type="dxa"/>
            <w:vAlign w:val="center"/>
          </w:tcPr>
          <w:p>
            <w:pPr>
              <w:pStyle w:val="12"/>
            </w:pPr>
            <w:r>
              <w:t>22.12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22.12</w:t>
            </w:r>
          </w:p>
        </w:tc>
        <w:tc>
          <w:tcPr>
            <w:tcW w:w="1134" w:type="dxa"/>
            <w:vAlign w:val="center"/>
          </w:tcPr>
          <w:p>
            <w:pPr>
              <w:pStyle w:val="12"/>
            </w:pPr>
            <w:r>
              <w:t>22.12</w:t>
            </w:r>
          </w:p>
        </w:tc>
        <w:tc>
          <w:tcPr>
            <w:tcW w:w="1134" w:type="dxa"/>
            <w:vAlign w:val="center"/>
          </w:tcPr>
          <w:p>
            <w:pPr>
              <w:pStyle w:val="12"/>
            </w:pPr>
            <w:r>
              <w:t>22.12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14.84</w:t>
            </w:r>
          </w:p>
        </w:tc>
        <w:tc>
          <w:tcPr>
            <w:tcW w:w="1134" w:type="dxa"/>
            <w:vAlign w:val="center"/>
          </w:tcPr>
          <w:p>
            <w:pPr>
              <w:pStyle w:val="12"/>
            </w:pPr>
            <w:r>
              <w:t>14.84</w:t>
            </w:r>
          </w:p>
        </w:tc>
        <w:tc>
          <w:tcPr>
            <w:tcW w:w="1134" w:type="dxa"/>
            <w:vAlign w:val="center"/>
          </w:tcPr>
          <w:p>
            <w:pPr>
              <w:pStyle w:val="12"/>
            </w:pPr>
            <w:r>
              <w:t>14.84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7.27</w:t>
            </w:r>
          </w:p>
        </w:tc>
        <w:tc>
          <w:tcPr>
            <w:tcW w:w="1134" w:type="dxa"/>
            <w:vAlign w:val="center"/>
          </w:tcPr>
          <w:p>
            <w:pPr>
              <w:pStyle w:val="12"/>
            </w:pPr>
            <w:r>
              <w:t>7.27</w:t>
            </w:r>
          </w:p>
        </w:tc>
        <w:tc>
          <w:tcPr>
            <w:tcW w:w="1134" w:type="dxa"/>
            <w:vAlign w:val="center"/>
          </w:tcPr>
          <w:p>
            <w:pPr>
              <w:pStyle w:val="12"/>
            </w:pPr>
            <w:r>
              <w:t>7.27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7.54</w:t>
            </w:r>
          </w:p>
        </w:tc>
        <w:tc>
          <w:tcPr>
            <w:tcW w:w="1134" w:type="dxa"/>
            <w:vAlign w:val="center"/>
          </w:tcPr>
          <w:p>
            <w:pPr>
              <w:pStyle w:val="12"/>
            </w:pPr>
            <w:r>
              <w:t>7.54</w:t>
            </w:r>
          </w:p>
        </w:tc>
        <w:tc>
          <w:tcPr>
            <w:tcW w:w="1134" w:type="dxa"/>
            <w:vAlign w:val="center"/>
          </w:tcPr>
          <w:p>
            <w:pPr>
              <w:pStyle w:val="12"/>
            </w:pPr>
            <w:r>
              <w:t>7.54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7.54</w:t>
            </w:r>
          </w:p>
        </w:tc>
        <w:tc>
          <w:tcPr>
            <w:tcW w:w="1134" w:type="dxa"/>
            <w:vAlign w:val="center"/>
          </w:tcPr>
          <w:p>
            <w:pPr>
              <w:pStyle w:val="12"/>
            </w:pPr>
            <w:r>
              <w:t>7.54</w:t>
            </w:r>
          </w:p>
        </w:tc>
        <w:tc>
          <w:tcPr>
            <w:tcW w:w="1134" w:type="dxa"/>
            <w:vAlign w:val="center"/>
          </w:tcPr>
          <w:p>
            <w:pPr>
              <w:pStyle w:val="12"/>
            </w:pPr>
            <w:r>
              <w:t>7.54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5.32</w:t>
            </w:r>
          </w:p>
        </w:tc>
        <w:tc>
          <w:tcPr>
            <w:tcW w:w="1134" w:type="dxa"/>
            <w:vAlign w:val="center"/>
          </w:tcPr>
          <w:p>
            <w:pPr>
              <w:pStyle w:val="12"/>
            </w:pPr>
            <w:r>
              <w:t>5.32</w:t>
            </w:r>
          </w:p>
        </w:tc>
        <w:tc>
          <w:tcPr>
            <w:tcW w:w="1134" w:type="dxa"/>
            <w:vAlign w:val="center"/>
          </w:tcPr>
          <w:p>
            <w:pPr>
              <w:pStyle w:val="12"/>
            </w:pPr>
            <w:r>
              <w:t>5.32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2.22</w:t>
            </w:r>
          </w:p>
        </w:tc>
        <w:tc>
          <w:tcPr>
            <w:tcW w:w="1134" w:type="dxa"/>
            <w:vAlign w:val="center"/>
          </w:tcPr>
          <w:p>
            <w:pPr>
              <w:pStyle w:val="12"/>
            </w:pPr>
            <w:r>
              <w:t>2.22</w:t>
            </w:r>
          </w:p>
        </w:tc>
        <w:tc>
          <w:tcPr>
            <w:tcW w:w="1134" w:type="dxa"/>
            <w:vAlign w:val="center"/>
          </w:tcPr>
          <w:p>
            <w:pPr>
              <w:pStyle w:val="12"/>
            </w:pPr>
            <w:r>
              <w:t>2.22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10.91</w:t>
            </w:r>
          </w:p>
        </w:tc>
        <w:tc>
          <w:tcPr>
            <w:tcW w:w="1134" w:type="dxa"/>
            <w:vAlign w:val="center"/>
          </w:tcPr>
          <w:p>
            <w:pPr>
              <w:pStyle w:val="12"/>
            </w:pPr>
            <w:r>
              <w:t>10.91</w:t>
            </w:r>
          </w:p>
        </w:tc>
        <w:tc>
          <w:tcPr>
            <w:tcW w:w="1134" w:type="dxa"/>
            <w:vAlign w:val="center"/>
          </w:tcPr>
          <w:p>
            <w:pPr>
              <w:pStyle w:val="12"/>
            </w:pPr>
            <w:r>
              <w:t>10.91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10.91</w:t>
            </w:r>
          </w:p>
        </w:tc>
        <w:tc>
          <w:tcPr>
            <w:tcW w:w="1134" w:type="dxa"/>
            <w:vAlign w:val="center"/>
          </w:tcPr>
          <w:p>
            <w:pPr>
              <w:pStyle w:val="12"/>
            </w:pPr>
            <w:r>
              <w:t>10.91</w:t>
            </w:r>
          </w:p>
        </w:tc>
        <w:tc>
          <w:tcPr>
            <w:tcW w:w="1134" w:type="dxa"/>
            <w:vAlign w:val="center"/>
          </w:tcPr>
          <w:p>
            <w:pPr>
              <w:pStyle w:val="12"/>
            </w:pPr>
            <w:r>
              <w:t>10.91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10.91</w:t>
            </w:r>
          </w:p>
        </w:tc>
        <w:tc>
          <w:tcPr>
            <w:tcW w:w="1134" w:type="dxa"/>
            <w:vAlign w:val="center"/>
          </w:tcPr>
          <w:p>
            <w:pPr>
              <w:pStyle w:val="12"/>
            </w:pPr>
            <w:r>
              <w:t>10.91</w:t>
            </w:r>
          </w:p>
        </w:tc>
        <w:tc>
          <w:tcPr>
            <w:tcW w:w="1134" w:type="dxa"/>
            <w:vAlign w:val="center"/>
          </w:tcPr>
          <w:p>
            <w:pPr>
              <w:pStyle w:val="12"/>
            </w:pPr>
            <w:r>
              <w:t>10.91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241石家庄市藁城区档案馆</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181.21</w:t>
            </w:r>
          </w:p>
        </w:tc>
        <w:tc>
          <w:tcPr>
            <w:tcW w:w="1361" w:type="dxa"/>
            <w:vAlign w:val="center"/>
          </w:tcPr>
          <w:p>
            <w:pPr>
              <w:pStyle w:val="16"/>
            </w:pPr>
            <w:r>
              <w:t>174.21</w:t>
            </w:r>
          </w:p>
        </w:tc>
        <w:tc>
          <w:tcPr>
            <w:tcW w:w="1361" w:type="dxa"/>
            <w:vAlign w:val="center"/>
          </w:tcPr>
          <w:p>
            <w:pPr>
              <w:pStyle w:val="16"/>
            </w:pPr>
            <w:r>
              <w:t>7.00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140.65</w:t>
            </w:r>
          </w:p>
        </w:tc>
        <w:tc>
          <w:tcPr>
            <w:tcW w:w="1361" w:type="dxa"/>
            <w:vAlign w:val="center"/>
          </w:tcPr>
          <w:p>
            <w:pPr>
              <w:pStyle w:val="12"/>
            </w:pPr>
            <w:r>
              <w:t>133.65</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20126</w:t>
            </w:r>
          </w:p>
        </w:tc>
        <w:tc>
          <w:tcPr>
            <w:tcW w:w="4535" w:type="dxa"/>
            <w:vAlign w:val="center"/>
          </w:tcPr>
          <w:p>
            <w:pPr>
              <w:pStyle w:val="13"/>
            </w:pPr>
            <w:r>
              <w:t>档案事务</w:t>
            </w:r>
          </w:p>
        </w:tc>
        <w:tc>
          <w:tcPr>
            <w:tcW w:w="1361" w:type="dxa"/>
            <w:vAlign w:val="center"/>
          </w:tcPr>
          <w:p>
            <w:pPr>
              <w:pStyle w:val="12"/>
            </w:pPr>
            <w:r>
              <w:t>140.65</w:t>
            </w:r>
          </w:p>
        </w:tc>
        <w:tc>
          <w:tcPr>
            <w:tcW w:w="1361" w:type="dxa"/>
            <w:vAlign w:val="center"/>
          </w:tcPr>
          <w:p>
            <w:pPr>
              <w:pStyle w:val="12"/>
            </w:pPr>
            <w:r>
              <w:t>133.65</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2012604</w:t>
            </w:r>
          </w:p>
        </w:tc>
        <w:tc>
          <w:tcPr>
            <w:tcW w:w="4535" w:type="dxa"/>
            <w:vAlign w:val="center"/>
          </w:tcPr>
          <w:p>
            <w:pPr>
              <w:pStyle w:val="13"/>
            </w:pPr>
            <w:r>
              <w:t>档案馆</w:t>
            </w:r>
          </w:p>
        </w:tc>
        <w:tc>
          <w:tcPr>
            <w:tcW w:w="1361" w:type="dxa"/>
            <w:vAlign w:val="center"/>
          </w:tcPr>
          <w:p>
            <w:pPr>
              <w:pStyle w:val="12"/>
            </w:pPr>
            <w:r>
              <w:t>140.65</w:t>
            </w:r>
          </w:p>
        </w:tc>
        <w:tc>
          <w:tcPr>
            <w:tcW w:w="1361" w:type="dxa"/>
            <w:vAlign w:val="center"/>
          </w:tcPr>
          <w:p>
            <w:pPr>
              <w:pStyle w:val="12"/>
            </w:pPr>
            <w:r>
              <w:t>133.65</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22.12</w:t>
            </w:r>
          </w:p>
        </w:tc>
        <w:tc>
          <w:tcPr>
            <w:tcW w:w="1361" w:type="dxa"/>
            <w:vAlign w:val="center"/>
          </w:tcPr>
          <w:p>
            <w:pPr>
              <w:pStyle w:val="12"/>
            </w:pPr>
            <w:r>
              <w:t>22.12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22.12</w:t>
            </w:r>
          </w:p>
        </w:tc>
        <w:tc>
          <w:tcPr>
            <w:tcW w:w="1361" w:type="dxa"/>
            <w:vAlign w:val="center"/>
          </w:tcPr>
          <w:p>
            <w:pPr>
              <w:pStyle w:val="12"/>
            </w:pPr>
            <w:r>
              <w:t>22.12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14.84</w:t>
            </w:r>
          </w:p>
        </w:tc>
        <w:tc>
          <w:tcPr>
            <w:tcW w:w="1361" w:type="dxa"/>
            <w:vAlign w:val="center"/>
          </w:tcPr>
          <w:p>
            <w:pPr>
              <w:pStyle w:val="12"/>
            </w:pPr>
            <w:r>
              <w:t>14.84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7.27</w:t>
            </w:r>
          </w:p>
        </w:tc>
        <w:tc>
          <w:tcPr>
            <w:tcW w:w="1361" w:type="dxa"/>
            <w:vAlign w:val="center"/>
          </w:tcPr>
          <w:p>
            <w:pPr>
              <w:pStyle w:val="12"/>
            </w:pPr>
            <w:r>
              <w:t>7.27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7.54</w:t>
            </w:r>
          </w:p>
        </w:tc>
        <w:tc>
          <w:tcPr>
            <w:tcW w:w="1361" w:type="dxa"/>
            <w:vAlign w:val="center"/>
          </w:tcPr>
          <w:p>
            <w:pPr>
              <w:pStyle w:val="12"/>
            </w:pPr>
            <w:r>
              <w:t>7.54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7.54</w:t>
            </w:r>
          </w:p>
        </w:tc>
        <w:tc>
          <w:tcPr>
            <w:tcW w:w="1361" w:type="dxa"/>
            <w:vAlign w:val="center"/>
          </w:tcPr>
          <w:p>
            <w:pPr>
              <w:pStyle w:val="12"/>
            </w:pPr>
            <w:r>
              <w:t>7.54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5.32</w:t>
            </w:r>
          </w:p>
        </w:tc>
        <w:tc>
          <w:tcPr>
            <w:tcW w:w="1361" w:type="dxa"/>
            <w:vAlign w:val="center"/>
          </w:tcPr>
          <w:p>
            <w:pPr>
              <w:pStyle w:val="12"/>
            </w:pPr>
            <w:r>
              <w:t>5.32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2.22</w:t>
            </w: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10.91</w:t>
            </w:r>
          </w:p>
        </w:tc>
        <w:tc>
          <w:tcPr>
            <w:tcW w:w="1361" w:type="dxa"/>
            <w:vAlign w:val="center"/>
          </w:tcPr>
          <w:p>
            <w:pPr>
              <w:pStyle w:val="12"/>
            </w:pPr>
            <w:r>
              <w:t>10.91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10.91</w:t>
            </w:r>
          </w:p>
        </w:tc>
        <w:tc>
          <w:tcPr>
            <w:tcW w:w="1361" w:type="dxa"/>
            <w:vAlign w:val="center"/>
          </w:tcPr>
          <w:p>
            <w:pPr>
              <w:pStyle w:val="12"/>
            </w:pPr>
            <w:r>
              <w:t>10.91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10.91</w:t>
            </w:r>
          </w:p>
        </w:tc>
        <w:tc>
          <w:tcPr>
            <w:tcW w:w="1361" w:type="dxa"/>
            <w:vAlign w:val="center"/>
          </w:tcPr>
          <w:p>
            <w:pPr>
              <w:pStyle w:val="12"/>
            </w:pPr>
            <w:r>
              <w:t>10.91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241石家庄市藁城区档案馆</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181.21</w:t>
            </w:r>
          </w:p>
        </w:tc>
        <w:tc>
          <w:tcPr>
            <w:tcW w:w="3402" w:type="dxa"/>
            <w:vAlign w:val="center"/>
          </w:tcPr>
          <w:p>
            <w:pPr>
              <w:pStyle w:val="13"/>
            </w:pPr>
            <w:r>
              <w:t>一、一般公共服务支出</w:t>
            </w:r>
          </w:p>
        </w:tc>
        <w:tc>
          <w:tcPr>
            <w:tcW w:w="1474" w:type="dxa"/>
            <w:vAlign w:val="center"/>
          </w:tcPr>
          <w:p>
            <w:pPr>
              <w:pStyle w:val="12"/>
            </w:pPr>
            <w:r>
              <w:t>140.65</w:t>
            </w:r>
          </w:p>
        </w:tc>
        <w:tc>
          <w:tcPr>
            <w:tcW w:w="1474" w:type="dxa"/>
            <w:vAlign w:val="center"/>
          </w:tcPr>
          <w:p>
            <w:pPr>
              <w:pStyle w:val="12"/>
            </w:pPr>
            <w:r>
              <w:t>140.65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22.12</w:t>
            </w:r>
          </w:p>
        </w:tc>
        <w:tc>
          <w:tcPr>
            <w:tcW w:w="1474" w:type="dxa"/>
            <w:vAlign w:val="center"/>
          </w:tcPr>
          <w:p>
            <w:pPr>
              <w:pStyle w:val="12"/>
            </w:pPr>
            <w:r>
              <w:t>22.12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7.54</w:t>
            </w:r>
          </w:p>
        </w:tc>
        <w:tc>
          <w:tcPr>
            <w:tcW w:w="1474" w:type="dxa"/>
            <w:vAlign w:val="center"/>
          </w:tcPr>
          <w:p>
            <w:pPr>
              <w:pStyle w:val="12"/>
            </w:pPr>
            <w:r>
              <w:t>7.54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10.91</w:t>
            </w:r>
          </w:p>
        </w:tc>
        <w:tc>
          <w:tcPr>
            <w:tcW w:w="1474" w:type="dxa"/>
            <w:vAlign w:val="center"/>
          </w:tcPr>
          <w:p>
            <w:pPr>
              <w:pStyle w:val="12"/>
            </w:pPr>
            <w:r>
              <w:t>10.91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181.21</w:t>
            </w:r>
          </w:p>
        </w:tc>
        <w:tc>
          <w:tcPr>
            <w:tcW w:w="3402" w:type="dxa"/>
            <w:vAlign w:val="center"/>
          </w:tcPr>
          <w:p>
            <w:pPr>
              <w:pStyle w:val="15"/>
            </w:pPr>
            <w:r>
              <w:t>本年支出合计</w:t>
            </w:r>
          </w:p>
        </w:tc>
        <w:tc>
          <w:tcPr>
            <w:tcW w:w="1474" w:type="dxa"/>
            <w:vAlign w:val="center"/>
          </w:tcPr>
          <w:p>
            <w:pPr>
              <w:pStyle w:val="16"/>
            </w:pPr>
            <w:r>
              <w:t>181.21</w:t>
            </w:r>
          </w:p>
        </w:tc>
        <w:tc>
          <w:tcPr>
            <w:tcW w:w="1474" w:type="dxa"/>
            <w:vAlign w:val="center"/>
          </w:tcPr>
          <w:p>
            <w:pPr>
              <w:pStyle w:val="16"/>
            </w:pPr>
            <w:r>
              <w:t>181.21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181.21</w:t>
            </w:r>
          </w:p>
        </w:tc>
        <w:tc>
          <w:tcPr>
            <w:tcW w:w="3402" w:type="dxa"/>
            <w:vAlign w:val="center"/>
          </w:tcPr>
          <w:p>
            <w:pPr>
              <w:pStyle w:val="15"/>
            </w:pPr>
            <w:r>
              <w:t>支出总计</w:t>
            </w:r>
          </w:p>
        </w:tc>
        <w:tc>
          <w:tcPr>
            <w:tcW w:w="1474" w:type="dxa"/>
            <w:vAlign w:val="center"/>
          </w:tcPr>
          <w:p>
            <w:pPr>
              <w:pStyle w:val="16"/>
            </w:pPr>
            <w:r>
              <w:t>181.21</w:t>
            </w:r>
          </w:p>
        </w:tc>
        <w:tc>
          <w:tcPr>
            <w:tcW w:w="1474" w:type="dxa"/>
            <w:vAlign w:val="center"/>
          </w:tcPr>
          <w:p>
            <w:pPr>
              <w:pStyle w:val="16"/>
            </w:pPr>
            <w:r>
              <w:t>181.21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241石家庄市藁城区档案馆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181.21</w:t>
            </w:r>
          </w:p>
        </w:tc>
        <w:tc>
          <w:tcPr>
            <w:tcW w:w="2551" w:type="dxa"/>
            <w:vAlign w:val="center"/>
          </w:tcPr>
          <w:p>
            <w:pPr>
              <w:pStyle w:val="16"/>
            </w:pPr>
            <w:r>
              <w:t>174.21</w:t>
            </w:r>
          </w:p>
        </w:tc>
        <w:tc>
          <w:tcPr>
            <w:tcW w:w="2551" w:type="dxa"/>
            <w:vAlign w:val="center"/>
          </w:tcPr>
          <w:p>
            <w:pPr>
              <w:pStyle w:val="16"/>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140.65</w:t>
            </w:r>
          </w:p>
        </w:tc>
        <w:tc>
          <w:tcPr>
            <w:tcW w:w="2551" w:type="dxa"/>
            <w:vAlign w:val="center"/>
          </w:tcPr>
          <w:p>
            <w:pPr>
              <w:pStyle w:val="12"/>
            </w:pPr>
            <w:r>
              <w:t>133.65</w:t>
            </w: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20126</w:t>
            </w:r>
          </w:p>
        </w:tc>
        <w:tc>
          <w:tcPr>
            <w:tcW w:w="4535" w:type="dxa"/>
            <w:vAlign w:val="center"/>
          </w:tcPr>
          <w:p>
            <w:pPr>
              <w:pStyle w:val="13"/>
            </w:pPr>
            <w:r>
              <w:t>档案事务</w:t>
            </w:r>
          </w:p>
        </w:tc>
        <w:tc>
          <w:tcPr>
            <w:tcW w:w="2551" w:type="dxa"/>
            <w:vAlign w:val="center"/>
          </w:tcPr>
          <w:p>
            <w:pPr>
              <w:pStyle w:val="12"/>
            </w:pPr>
            <w:r>
              <w:t>140.65</w:t>
            </w:r>
          </w:p>
        </w:tc>
        <w:tc>
          <w:tcPr>
            <w:tcW w:w="2551" w:type="dxa"/>
            <w:vAlign w:val="center"/>
          </w:tcPr>
          <w:p>
            <w:pPr>
              <w:pStyle w:val="12"/>
            </w:pPr>
            <w:r>
              <w:t>133.65</w:t>
            </w: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2012604</w:t>
            </w:r>
          </w:p>
        </w:tc>
        <w:tc>
          <w:tcPr>
            <w:tcW w:w="4535" w:type="dxa"/>
            <w:vAlign w:val="center"/>
          </w:tcPr>
          <w:p>
            <w:pPr>
              <w:pStyle w:val="13"/>
            </w:pPr>
            <w:r>
              <w:t>档案馆</w:t>
            </w:r>
          </w:p>
        </w:tc>
        <w:tc>
          <w:tcPr>
            <w:tcW w:w="2551" w:type="dxa"/>
            <w:vAlign w:val="center"/>
          </w:tcPr>
          <w:p>
            <w:pPr>
              <w:pStyle w:val="12"/>
            </w:pPr>
            <w:r>
              <w:t>140.65</w:t>
            </w:r>
          </w:p>
        </w:tc>
        <w:tc>
          <w:tcPr>
            <w:tcW w:w="2551" w:type="dxa"/>
            <w:vAlign w:val="center"/>
          </w:tcPr>
          <w:p>
            <w:pPr>
              <w:pStyle w:val="12"/>
            </w:pPr>
            <w:r>
              <w:t>133.65</w:t>
            </w: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22.12</w:t>
            </w:r>
          </w:p>
        </w:tc>
        <w:tc>
          <w:tcPr>
            <w:tcW w:w="2551" w:type="dxa"/>
            <w:vAlign w:val="center"/>
          </w:tcPr>
          <w:p>
            <w:pPr>
              <w:pStyle w:val="12"/>
            </w:pPr>
            <w:r>
              <w:t>22.12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22.12</w:t>
            </w:r>
          </w:p>
        </w:tc>
        <w:tc>
          <w:tcPr>
            <w:tcW w:w="2551" w:type="dxa"/>
            <w:vAlign w:val="center"/>
          </w:tcPr>
          <w:p>
            <w:pPr>
              <w:pStyle w:val="12"/>
            </w:pPr>
            <w:r>
              <w:t>22.12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14.84</w:t>
            </w:r>
          </w:p>
        </w:tc>
        <w:tc>
          <w:tcPr>
            <w:tcW w:w="2551" w:type="dxa"/>
            <w:vAlign w:val="center"/>
          </w:tcPr>
          <w:p>
            <w:pPr>
              <w:pStyle w:val="12"/>
            </w:pPr>
            <w:r>
              <w:t>14.84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7.27</w:t>
            </w:r>
          </w:p>
        </w:tc>
        <w:tc>
          <w:tcPr>
            <w:tcW w:w="2551" w:type="dxa"/>
            <w:vAlign w:val="center"/>
          </w:tcPr>
          <w:p>
            <w:pPr>
              <w:pStyle w:val="12"/>
            </w:pPr>
            <w:r>
              <w:t>7.27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7.54</w:t>
            </w:r>
          </w:p>
        </w:tc>
        <w:tc>
          <w:tcPr>
            <w:tcW w:w="2551" w:type="dxa"/>
            <w:vAlign w:val="center"/>
          </w:tcPr>
          <w:p>
            <w:pPr>
              <w:pStyle w:val="12"/>
            </w:pPr>
            <w:r>
              <w:t>7.54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7.54</w:t>
            </w:r>
          </w:p>
        </w:tc>
        <w:tc>
          <w:tcPr>
            <w:tcW w:w="2551" w:type="dxa"/>
            <w:vAlign w:val="center"/>
          </w:tcPr>
          <w:p>
            <w:pPr>
              <w:pStyle w:val="12"/>
            </w:pPr>
            <w:r>
              <w:t>7.54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5.32</w:t>
            </w:r>
          </w:p>
        </w:tc>
        <w:tc>
          <w:tcPr>
            <w:tcW w:w="2551" w:type="dxa"/>
            <w:vAlign w:val="center"/>
          </w:tcPr>
          <w:p>
            <w:pPr>
              <w:pStyle w:val="12"/>
            </w:pPr>
            <w:r>
              <w:t>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2.22</w:t>
            </w:r>
          </w:p>
        </w:tc>
        <w:tc>
          <w:tcPr>
            <w:tcW w:w="2551" w:type="dxa"/>
            <w:vAlign w:val="center"/>
          </w:tcPr>
          <w:p>
            <w:pPr>
              <w:pStyle w:val="12"/>
            </w:pPr>
            <w:r>
              <w:t>2.22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10.91</w:t>
            </w:r>
          </w:p>
        </w:tc>
        <w:tc>
          <w:tcPr>
            <w:tcW w:w="2551" w:type="dxa"/>
            <w:vAlign w:val="center"/>
          </w:tcPr>
          <w:p>
            <w:pPr>
              <w:pStyle w:val="12"/>
            </w:pPr>
            <w:r>
              <w:t>10.91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10.91</w:t>
            </w:r>
          </w:p>
        </w:tc>
        <w:tc>
          <w:tcPr>
            <w:tcW w:w="2551" w:type="dxa"/>
            <w:vAlign w:val="center"/>
          </w:tcPr>
          <w:p>
            <w:pPr>
              <w:pStyle w:val="12"/>
            </w:pPr>
            <w:r>
              <w:t>10.91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10.91</w:t>
            </w:r>
          </w:p>
        </w:tc>
        <w:tc>
          <w:tcPr>
            <w:tcW w:w="2551" w:type="dxa"/>
            <w:vAlign w:val="center"/>
          </w:tcPr>
          <w:p>
            <w:pPr>
              <w:pStyle w:val="12"/>
            </w:pPr>
            <w:r>
              <w:t>10.91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241石家庄市藁城区档案馆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174.21</w:t>
            </w:r>
          </w:p>
        </w:tc>
        <w:tc>
          <w:tcPr>
            <w:tcW w:w="2551" w:type="dxa"/>
            <w:vAlign w:val="center"/>
          </w:tcPr>
          <w:p>
            <w:pPr>
              <w:pStyle w:val="16"/>
            </w:pPr>
            <w:r>
              <w:t>168.03</w:t>
            </w:r>
          </w:p>
        </w:tc>
        <w:tc>
          <w:tcPr>
            <w:tcW w:w="2551" w:type="dxa"/>
            <w:vAlign w:val="center"/>
          </w:tcPr>
          <w:p>
            <w:pPr>
              <w:pStyle w:val="16"/>
            </w:pPr>
            <w:r>
              <w:t>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139.06</w:t>
            </w:r>
          </w:p>
        </w:tc>
        <w:tc>
          <w:tcPr>
            <w:tcW w:w="2551" w:type="dxa"/>
            <w:vAlign w:val="center"/>
          </w:tcPr>
          <w:p>
            <w:pPr>
              <w:pStyle w:val="12"/>
            </w:pPr>
            <w:r>
              <w:t>139.06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48.81</w:t>
            </w:r>
          </w:p>
        </w:tc>
        <w:tc>
          <w:tcPr>
            <w:tcW w:w="2551" w:type="dxa"/>
            <w:vAlign w:val="center"/>
          </w:tcPr>
          <w:p>
            <w:pPr>
              <w:pStyle w:val="12"/>
            </w:pPr>
            <w:r>
              <w:t>48.81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45.80</w:t>
            </w:r>
          </w:p>
        </w:tc>
        <w:tc>
          <w:tcPr>
            <w:tcW w:w="2551" w:type="dxa"/>
            <w:vAlign w:val="center"/>
          </w:tcPr>
          <w:p>
            <w:pPr>
              <w:pStyle w:val="12"/>
            </w:pPr>
            <w:r>
              <w:t>45.80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14.84</w:t>
            </w:r>
          </w:p>
        </w:tc>
        <w:tc>
          <w:tcPr>
            <w:tcW w:w="2551" w:type="dxa"/>
            <w:vAlign w:val="center"/>
          </w:tcPr>
          <w:p>
            <w:pPr>
              <w:pStyle w:val="12"/>
            </w:pPr>
            <w:r>
              <w:t>14.84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7.27</w:t>
            </w:r>
          </w:p>
        </w:tc>
        <w:tc>
          <w:tcPr>
            <w:tcW w:w="2551" w:type="dxa"/>
            <w:vAlign w:val="center"/>
          </w:tcPr>
          <w:p>
            <w:pPr>
              <w:pStyle w:val="12"/>
            </w:pPr>
            <w:r>
              <w:t>7.27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5.32</w:t>
            </w:r>
          </w:p>
        </w:tc>
        <w:tc>
          <w:tcPr>
            <w:tcW w:w="2551" w:type="dxa"/>
            <w:vAlign w:val="center"/>
          </w:tcPr>
          <w:p>
            <w:pPr>
              <w:pStyle w:val="12"/>
            </w:pPr>
            <w:r>
              <w:t>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2.22</w:t>
            </w:r>
          </w:p>
        </w:tc>
        <w:tc>
          <w:tcPr>
            <w:tcW w:w="2551" w:type="dxa"/>
            <w:vAlign w:val="center"/>
          </w:tcPr>
          <w:p>
            <w:pPr>
              <w:pStyle w:val="12"/>
            </w:pPr>
            <w:r>
              <w:t>2.22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0.89</w:t>
            </w:r>
          </w:p>
        </w:tc>
        <w:tc>
          <w:tcPr>
            <w:tcW w:w="2551" w:type="dxa"/>
            <w:vAlign w:val="center"/>
          </w:tcPr>
          <w:p>
            <w:pPr>
              <w:pStyle w:val="12"/>
            </w:pPr>
            <w:r>
              <w:t>0.89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10.91</w:t>
            </w:r>
          </w:p>
        </w:tc>
        <w:tc>
          <w:tcPr>
            <w:tcW w:w="2551" w:type="dxa"/>
            <w:vAlign w:val="center"/>
          </w:tcPr>
          <w:p>
            <w:pPr>
              <w:pStyle w:val="12"/>
            </w:pPr>
            <w:r>
              <w:t>10.91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6.10</w:t>
            </w:r>
          </w:p>
        </w:tc>
        <w:tc>
          <w:tcPr>
            <w:tcW w:w="2551" w:type="dxa"/>
            <w:vAlign w:val="center"/>
          </w:tcPr>
          <w:p>
            <w:pPr>
              <w:pStyle w:val="12"/>
            </w:pPr>
          </w:p>
        </w:tc>
        <w:tc>
          <w:tcPr>
            <w:tcW w:w="2551" w:type="dxa"/>
            <w:vAlign w:val="center"/>
          </w:tcPr>
          <w:p>
            <w:pPr>
              <w:pStyle w:val="12"/>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3.03</w:t>
            </w:r>
          </w:p>
        </w:tc>
        <w:tc>
          <w:tcPr>
            <w:tcW w:w="2551" w:type="dxa"/>
            <w:vAlign w:val="center"/>
          </w:tcPr>
          <w:p>
            <w:pPr>
              <w:pStyle w:val="12"/>
            </w:pPr>
          </w:p>
        </w:tc>
        <w:tc>
          <w:tcPr>
            <w:tcW w:w="2551" w:type="dxa"/>
            <w:vAlign w:val="center"/>
          </w:tcPr>
          <w:p>
            <w:pPr>
              <w:pStyle w:val="12"/>
            </w:pPr>
            <w:r>
              <w:t>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0.97</w:t>
            </w:r>
          </w:p>
        </w:tc>
        <w:tc>
          <w:tcPr>
            <w:tcW w:w="2551" w:type="dxa"/>
            <w:vAlign w:val="center"/>
          </w:tcPr>
          <w:p>
            <w:pPr>
              <w:pStyle w:val="12"/>
            </w:pPr>
          </w:p>
        </w:tc>
        <w:tc>
          <w:tcPr>
            <w:tcW w:w="2551" w:type="dxa"/>
            <w:vAlign w:val="center"/>
          </w:tcPr>
          <w:p>
            <w:pPr>
              <w:pStyle w:val="12"/>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0.72</w:t>
            </w:r>
          </w:p>
        </w:tc>
        <w:tc>
          <w:tcPr>
            <w:tcW w:w="2551" w:type="dxa"/>
            <w:vAlign w:val="center"/>
          </w:tcPr>
          <w:p>
            <w:pPr>
              <w:pStyle w:val="12"/>
            </w:pPr>
          </w:p>
        </w:tc>
        <w:tc>
          <w:tcPr>
            <w:tcW w:w="2551"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28.97</w:t>
            </w:r>
          </w:p>
        </w:tc>
        <w:tc>
          <w:tcPr>
            <w:tcW w:w="2551" w:type="dxa"/>
            <w:vAlign w:val="center"/>
          </w:tcPr>
          <w:p>
            <w:pPr>
              <w:pStyle w:val="12"/>
            </w:pPr>
            <w:r>
              <w:t>28.97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28.97</w:t>
            </w:r>
          </w:p>
        </w:tc>
        <w:tc>
          <w:tcPr>
            <w:tcW w:w="2551" w:type="dxa"/>
            <w:vAlign w:val="center"/>
          </w:tcPr>
          <w:p>
            <w:pPr>
              <w:pStyle w:val="12"/>
            </w:pPr>
            <w:r>
              <w:t>28.97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0.08</w:t>
            </w:r>
          </w:p>
        </w:tc>
        <w:tc>
          <w:tcPr>
            <w:tcW w:w="2551" w:type="dxa"/>
            <w:vAlign w:val="center"/>
          </w:tcPr>
          <w:p>
            <w:pPr>
              <w:pStyle w:val="12"/>
            </w:pPr>
          </w:p>
        </w:tc>
        <w:tc>
          <w:tcPr>
            <w:tcW w:w="2551"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0.08</w:t>
            </w:r>
          </w:p>
        </w:tc>
        <w:tc>
          <w:tcPr>
            <w:tcW w:w="2551" w:type="dxa"/>
            <w:vAlign w:val="center"/>
          </w:tcPr>
          <w:p>
            <w:pPr>
              <w:pStyle w:val="12"/>
            </w:pPr>
          </w:p>
        </w:tc>
        <w:tc>
          <w:tcPr>
            <w:tcW w:w="2551" w:type="dxa"/>
            <w:vAlign w:val="center"/>
          </w:tcPr>
          <w:p>
            <w:pPr>
              <w:pStyle w:val="12"/>
            </w:pPr>
            <w:r>
              <w:t>0.08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241石家庄市藁城区档案馆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241石家庄市藁城区档案馆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241石家庄市藁城区档案馆</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石家庄市藁城区档案馆2026年部门预算信息公开情况说明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石家庄市藁城区档案馆2026年部门预算信息公开情况说明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按照《中华人民共和国预算法》、《地方预决算公开操作规程》和《关于进一步推进预算公开工作的实施意见》规定，现将石家庄市藁城区档案馆2026年部门预算公开如下：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藁城区档案馆职能配置、内设机构和人员编制规定》，为贯彻落实党中央、省委、市委和区委关于档案工作的方针政策和决策部署，坚持和加强党对档案工作的集中统一领导。区档案馆主要职责是： </w:t>
      </w:r>
    </w:p>
    <w:p>
      <w:pPr>
        <w:pStyle w:val="18"/>
      </w:pPr>
      <w:r>
        <w:t>一、贯彻执行国家和本省有关档案管理的法律、法规、规章。</w:t>
      </w:r>
    </w:p>
    <w:p>
      <w:pPr>
        <w:pStyle w:val="18"/>
      </w:pPr>
      <w:r>
        <w:t>二、集中统一管理区直机关、乡镇各历史时期的档案资料，保守党和国家机密，维护档案完整，确保档案资料安全。</w:t>
      </w:r>
    </w:p>
    <w:p>
      <w:pPr>
        <w:pStyle w:val="18"/>
      </w:pPr>
      <w:r>
        <w:t>三、接收区委，区人大，区政府，区政协，区纪委，及区直各机关单位、乡镇应进馆的档案资料。</w:t>
      </w:r>
    </w:p>
    <w:p>
      <w:pPr>
        <w:pStyle w:val="18"/>
      </w:pPr>
      <w:r>
        <w:t>四、收集和接收本馆保管范围内对国家和社会有保存价值的档案，征集社会珍贵档案资料。</w:t>
      </w:r>
    </w:p>
    <w:p>
      <w:pPr>
        <w:pStyle w:val="18"/>
      </w:pPr>
      <w:r>
        <w:t>五、负责馆藏档案资料完整的整理、编目、鉴定、统计和技术保护工作。</w:t>
      </w:r>
    </w:p>
    <w:p>
      <w:pPr>
        <w:pStyle w:val="18"/>
      </w:pPr>
      <w:r>
        <w:t>六、依法开放档案，为党和政府及社会各方面提供利用服务。</w:t>
      </w:r>
    </w:p>
    <w:p>
      <w:pPr>
        <w:pStyle w:val="18"/>
      </w:pPr>
      <w:r>
        <w:t>七、承担政府公开信息的收集、管理和集中查阅工作。</w:t>
      </w:r>
    </w:p>
    <w:p>
      <w:pPr>
        <w:pStyle w:val="18"/>
      </w:pPr>
      <w:r>
        <w:t>八、制定馆藏档案信息资源开发规划，开发档案信息资源，开展馆藏档案史料的编研出版、展览陈列和社会教育活动。</w:t>
      </w:r>
    </w:p>
    <w:p>
      <w:pPr>
        <w:pStyle w:val="18"/>
      </w:pPr>
      <w:r>
        <w:t>九、运用现代化技术手段，开展馆藏档案信息化建设。</w:t>
      </w:r>
    </w:p>
    <w:p>
      <w:pPr>
        <w:pStyle w:val="18"/>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石家庄市藁城区档案馆本级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按照预算管理有关规定，目前部门预算的编制实行综合预算管理，即全部收入和支出都反映在预算中。石家庄市藁城区档案馆机关及所属事业单位的收支包含在部门预算中。</w:t>
      </w:r>
    </w:p>
    <w:p>
      <w:pPr>
        <w:pStyle w:val="19"/>
      </w:pPr>
      <w:r>
        <w:t>1、收入说明</w:t>
      </w:r>
    </w:p>
    <w:p>
      <w:pPr>
        <w:pStyle w:val="19"/>
      </w:pPr>
      <w:r>
        <w:t>反映本部门当年全部收入。2026年预算收入181.21万元，其中：一般公共预算收入181.21万元，基金预算收入0.00万元，国有资本经营预算收入0.00万元，财政专户核拨收入0.00万元，单位资金收入0.00万元，上年结转结余0.00万元。</w:t>
      </w:r>
      <w:bookmarkStart w:id="20" w:name="_GoBack"/>
      <w:bookmarkEnd w:id="20"/>
    </w:p>
    <w:p>
      <w:pPr>
        <w:pStyle w:val="19"/>
      </w:pPr>
      <w:r>
        <w:t>2、支出说明</w:t>
      </w:r>
    </w:p>
    <w:p>
      <w:pPr>
        <w:pStyle w:val="19"/>
      </w:pPr>
      <w:r>
        <w:t>收支预算总表支出栏、基本支出表、项目支出表按经济分类和支出功能分类科目编制，反映石家庄市藁城区档案馆年度部门预算中支出预算的总体情况。2026年支出预算181.21万元，其中基本支出174.21万元，包括人员经费168.03万元和日常公用经费6.18万元；项目支出7.00万元，主要为档案馆履职工作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181.21万元，较2025年预算减少30.76万元，其中：基本支出减少26.76万元，主要为人员减少，相应减少人员经费和日常公用经费。项目支出减少4.00万元，主要为压减项目经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2026年，我部门机关运行经费共计安排6.18万元，主要用于日常维修、办公用房水电费、办公用房取暖费、办公用房物业管理费等日常运行支出。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集中统一管理乡镇（区）、区直机关各历史时期的档案资料，保守党和国家机密，维护档案完整，确保档案资料安全；接收区委、区人大、区政府、区政协、区纪委监委等区直各机关单位、乡镇（区）应进馆的档案资料；做好全区各类档案保管保密工作，确保档案资料安全；征集散存在社会上对国家和社会有保存价值的珍贵档案资料；负责馆藏档案资料的整理、编目、鉴定、统计和技术保护工作；依法开放年满25年的馆藏档案，为党和政府及社会各方面提供利用服务；运用现代化技术手段，开展馆藏档案信息化建设。贯彻执行国家、省、市及我区有关档案管理的法律、法规和制度。完成区委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（一）推进档案治理现代化</w:t>
      </w:r>
    </w:p>
    <w:p>
      <w:pPr>
        <w:pStyle w:val="23"/>
      </w:pPr>
      <w:r>
        <w:t>绩效目标：对馆藏档案进行整理，对年满25年的馆藏档案进行鉴定和开放；配合馆藏档案数字化，继续开展档案修复工作。</w:t>
      </w:r>
    </w:p>
    <w:p>
      <w:pPr>
        <w:pStyle w:val="23"/>
      </w:pPr>
      <w:r>
        <w:t>绩效指标：对符合开放的馆藏档案，应开尽开，及时修复破损档案，延长档案寿命，便于提供利用。</w:t>
      </w:r>
    </w:p>
    <w:p>
      <w:pPr>
        <w:pStyle w:val="23"/>
      </w:pPr>
      <w:r>
        <w:t>（二）推进档案信息化建设</w:t>
      </w:r>
    </w:p>
    <w:p>
      <w:pPr>
        <w:pStyle w:val="23"/>
      </w:pPr>
      <w:r>
        <w:t>绩效目标：加快档案信息化建设步伐，加速档案信息系统整合和资源共享。</w:t>
      </w:r>
    </w:p>
    <w:p>
      <w:pPr>
        <w:pStyle w:val="23"/>
      </w:pPr>
      <w:r>
        <w:t>绩效指标：根据年初工作计划，如期完成馆藏档案数字化扫描工作，不断提升档案利用效率。</w:t>
      </w:r>
    </w:p>
    <w:p>
      <w:pPr>
        <w:pStyle w:val="23"/>
      </w:pPr>
      <w:r>
        <w:t>（三）确保库房存放档案安全</w:t>
      </w:r>
    </w:p>
    <w:p>
      <w:pPr>
        <w:pStyle w:val="23"/>
      </w:pPr>
      <w:r>
        <w:t>绩效目标：不断改善库房存放环境，确保档案资料完整、安全。</w:t>
      </w:r>
    </w:p>
    <w:p>
      <w:pPr>
        <w:pStyle w:val="23"/>
      </w:pPr>
      <w:r>
        <w:t>绩效指标：确保库房存放条件符合十防标准；全天24小时有人值班，做好值班值守；设备维护及时到位，5个库房能正常运转。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按照《关于全面实施预算绩效管理的实施意见》(冀发(2018）54号）、《河北省省级部门预算绩效管理办法》冀财绩（2019）4号）和《河北省省级部门预算绩效目标设定规范》(冀财绩(2019）6号）等文件精神，区档案馆将采取切实有效的工作保障措施，科学确定总体绩效目标和分项绩效目标，加强预算绩效管理，做好绩效自评和整体评价，使我馆预算绩效工作顺利开展。</w:t>
      </w:r>
    </w:p>
    <w:p>
      <w:pPr>
        <w:pStyle w:val="24"/>
      </w:pPr>
      <w:r>
        <w:t>一、完善制度建设。切实提高政治站位，始终牢记“档案工作姓党”。要旗帜鲜明讲政治，不断增强档案工作的政治敏锐性和政治鉴别力，以高度的政治自觉和强烈的政治担当做好档案工作。完善财务管理规定，专门制定了预算管理制度、货币资金管理办法、资产及物品采购管理办法和项目资金管理办法。保证预算编制合理细致；资产及物品采购程序合理合法，资产管理到位，支出合理，物尽其用；项目资金安全高效使用。</w:t>
      </w:r>
    </w:p>
    <w:p>
      <w:pPr>
        <w:pStyle w:val="24"/>
      </w:pPr>
      <w:r>
        <w:t>二、加强支出管理。编制预算时严格按照财政要求支出比例和节点分季度编报。执行过程中，实行季报制度，要求每季度汇报项目完成和支出情况，报送项目支出进度和绩效运行统计表，经主管领导签字报送财政部门。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强化内部监督。制定了一系列内控制度，严格按照内控制度进行运转，对绩效运行情况、重大支出决策、资产处置及其他重要经济业务事项的决策和执行进行督导。成立馆内审工作领导小组及其办公室，加强内审工作。严格审核、监督重大支出决策程序，审核固定资产投资、资产处置及其他重要经济业务事项的决策和执行是否符合馆有关规定，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七、强化宣传培训调研等。着力抓好干部教育和培训，扎实做好人才培养工作，加大宣传力度，强化预算绩效管理意识，促进预算绩效管理水平进一步提升。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我部门2025年无专项资金。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1、档案馆履职工作经费绩效目标表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13010926P000113101327</w:t>
            </w:r>
          </w:p>
        </w:tc>
        <w:tc>
          <w:tcPr>
            <w:tcW w:w="2835" w:type="dxa"/>
            <w:vAlign w:val="center"/>
          </w:tcPr>
          <w:p>
            <w:pPr>
              <w:pStyle w:val="11"/>
            </w:pPr>
            <w:r>
              <w:t>项目名称</w:t>
            </w:r>
          </w:p>
        </w:tc>
        <w:tc>
          <w:tcPr>
            <w:tcW w:w="6095" w:type="dxa"/>
            <w:gridSpan w:val="3"/>
            <w:vAlign w:val="center"/>
          </w:tcPr>
          <w:p>
            <w:pPr>
              <w:pStyle w:val="13"/>
            </w:pPr>
            <w:r>
              <w:t>档案馆履职工作经费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用于档案科学保管及数字化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w:t>
            </w:r>
          </w:p>
        </w:tc>
        <w:tc>
          <w:tcPr>
            <w:tcW w:w="2835" w:type="dxa"/>
            <w:vAlign w:val="center"/>
          </w:tcPr>
          <w:p>
            <w:pPr>
              <w:pStyle w:val="14"/>
            </w:pPr>
            <w:r>
              <w:t>4.20</w:t>
            </w:r>
          </w:p>
        </w:tc>
        <w:tc>
          <w:tcPr>
            <w:tcW w:w="2551" w:type="dxa"/>
            <w:vAlign w:val="center"/>
          </w:tcPr>
          <w:p>
            <w:pPr>
              <w:pStyle w:val="14"/>
            </w:pPr>
            <w:r>
              <w:t>6.30</w:t>
            </w:r>
          </w:p>
        </w:tc>
        <w:tc>
          <w:tcPr>
            <w:tcW w:w="3544" w:type="dxa"/>
            <w:gridSpan w:val="2"/>
            <w:vAlign w:val="center"/>
          </w:tcPr>
          <w:p>
            <w:pPr>
              <w:pStyle w:val="14"/>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1.对档案库房设备进行日常维护，确保设备正常使用</w:t>
            </w:r>
          </w:p>
          <w:p>
            <w:pPr>
              <w:pStyle w:val="13"/>
            </w:pPr>
            <w:r>
              <w:t>2.对馆藏档案进行人防、物防、技防等保护措施，确保档案实体安全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档案保护频次</w:t>
            </w:r>
          </w:p>
        </w:tc>
        <w:tc>
          <w:tcPr>
            <w:tcW w:w="5386" w:type="dxa"/>
            <w:vAlign w:val="center"/>
          </w:tcPr>
          <w:p>
            <w:pPr>
              <w:pStyle w:val="13"/>
            </w:pPr>
            <w:r>
              <w:t>对馆藏档案进行人防、物防、技防的频率</w:t>
            </w:r>
          </w:p>
        </w:tc>
        <w:tc>
          <w:tcPr>
            <w:tcW w:w="2268" w:type="dxa"/>
            <w:vAlign w:val="center"/>
          </w:tcPr>
          <w:p>
            <w:pPr>
              <w:pStyle w:val="13"/>
            </w:pPr>
            <w:r>
              <w:t>≥12次</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档案实体安全率</w:t>
            </w:r>
          </w:p>
        </w:tc>
        <w:tc>
          <w:tcPr>
            <w:tcW w:w="5386" w:type="dxa"/>
            <w:vAlign w:val="center"/>
          </w:tcPr>
          <w:p>
            <w:pPr>
              <w:pStyle w:val="13"/>
            </w:pPr>
            <w:r>
              <w:t>馆藏档案实体安全程度</w:t>
            </w:r>
          </w:p>
        </w:tc>
        <w:tc>
          <w:tcPr>
            <w:tcW w:w="2268" w:type="dxa"/>
            <w:vAlign w:val="center"/>
          </w:tcPr>
          <w:p>
            <w:pPr>
              <w:pStyle w:val="13"/>
            </w:pPr>
            <w:r>
              <w:t>≥95%</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维护及时率</w:t>
            </w:r>
          </w:p>
        </w:tc>
        <w:tc>
          <w:tcPr>
            <w:tcW w:w="5386" w:type="dxa"/>
            <w:vAlign w:val="center"/>
          </w:tcPr>
          <w:p>
            <w:pPr>
              <w:pStyle w:val="13"/>
            </w:pPr>
            <w:r>
              <w:t>馆藏档案技术保护及时程度</w:t>
            </w:r>
          </w:p>
        </w:tc>
        <w:tc>
          <w:tcPr>
            <w:tcW w:w="2268" w:type="dxa"/>
            <w:vAlign w:val="center"/>
          </w:tcPr>
          <w:p>
            <w:pPr>
              <w:pStyle w:val="13"/>
            </w:pPr>
            <w:r>
              <w:t>≥95%</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不超预算控制数</w:t>
            </w:r>
          </w:p>
        </w:tc>
        <w:tc>
          <w:tcPr>
            <w:tcW w:w="2268" w:type="dxa"/>
            <w:vAlign w:val="center"/>
          </w:tcPr>
          <w:p>
            <w:pPr>
              <w:pStyle w:val="13"/>
            </w:pPr>
            <w:r>
              <w:t>≤7万元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延续性</w:t>
            </w:r>
          </w:p>
        </w:tc>
        <w:tc>
          <w:tcPr>
            <w:tcW w:w="5386" w:type="dxa"/>
            <w:vAlign w:val="center"/>
          </w:tcPr>
          <w:p>
            <w:pPr>
              <w:pStyle w:val="13"/>
            </w:pPr>
            <w:r>
              <w:t>持续发挥馆藏档案资政育民的作用</w:t>
            </w:r>
          </w:p>
        </w:tc>
        <w:tc>
          <w:tcPr>
            <w:tcW w:w="2268" w:type="dxa"/>
            <w:vAlign w:val="center"/>
          </w:tcPr>
          <w:p>
            <w:pPr>
              <w:pStyle w:val="13"/>
            </w:pPr>
            <w:r>
              <w:t>能够较好地发挥馆藏档案资政育民作用</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档案移交单位、个人、社会团体等满意度</w:t>
            </w:r>
          </w:p>
        </w:tc>
        <w:tc>
          <w:tcPr>
            <w:tcW w:w="5386" w:type="dxa"/>
            <w:vAlign w:val="center"/>
          </w:tcPr>
          <w:p>
            <w:pPr>
              <w:pStyle w:val="13"/>
            </w:pPr>
            <w:r>
              <w:t>档案移交单位、个人、社会团体对档案保存、保护的满意度</w:t>
            </w:r>
          </w:p>
        </w:tc>
        <w:tc>
          <w:tcPr>
            <w:tcW w:w="2268" w:type="dxa"/>
            <w:vAlign w:val="center"/>
          </w:tcPr>
          <w:p>
            <w:pPr>
              <w:pStyle w:val="13"/>
            </w:pPr>
            <w:r>
              <w:t>≥95%</w:t>
            </w:r>
          </w:p>
        </w:tc>
        <w:tc>
          <w:tcPr>
            <w:tcW w:w="1276" w:type="dxa"/>
            <w:vAlign w:val="center"/>
          </w:tcPr>
          <w:p>
            <w:pPr>
              <w:pStyle w:val="13"/>
            </w:pPr>
            <w:r>
              <w:t>实际工作情况</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241石家庄市藁城区档案馆</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0.08</w:t>
            </w:r>
          </w:p>
        </w:tc>
        <w:tc>
          <w:tcPr>
            <w:tcW w:w="964" w:type="dxa"/>
            <w:vAlign w:val="center"/>
          </w:tcPr>
          <w:p>
            <w:pPr>
              <w:pStyle w:val="16"/>
            </w:pPr>
            <w:r>
              <w:t>0.08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石家庄市藁城区档案馆本级小计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0.08</w:t>
            </w:r>
          </w:p>
        </w:tc>
        <w:tc>
          <w:tcPr>
            <w:tcW w:w="964" w:type="dxa"/>
            <w:vAlign w:val="center"/>
          </w:tcPr>
          <w:p>
            <w:pPr>
              <w:pStyle w:val="16"/>
            </w:pPr>
            <w:r>
              <w:t>0.08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4.12</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b w:val="0"/>
          <w:color w:val="000000"/>
          <w:sz w:val="28"/>
        </w:rPr>
        <w:t>石家庄市藁城区档案馆（含所属单位）上年末固定资产金额为73.08万元（详见下表）。本年度拟购置固定资产总额为0.08万元，已按要求列入政府采购预算，详见政府采购预算表。</w:t>
      </w:r>
      <w:r>
        <w:rPr>
          <w:rFonts w:hint="eastAsia" w:eastAsia="方正仿宋_GBK" w:cs="Times New Roman"/>
          <w:b w:val="0"/>
          <w:color w:val="000000"/>
          <w:sz w:val="28"/>
          <w:lang w:val="en-US" w:eastAsia="zh-CN"/>
        </w:rPr>
        <w:tab/>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241石家庄市藁城区档案馆</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55</w:t>
            </w:r>
          </w:p>
        </w:tc>
        <w:tc>
          <w:tcPr>
            <w:tcW w:w="2835" w:type="dxa"/>
            <w:vAlign w:val="center"/>
          </w:tcPr>
          <w:p>
            <w:pPr>
              <w:pStyle w:val="12"/>
            </w:pPr>
            <w:r>
              <w:t>73.08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979DB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156</TotalTime>
  <ScaleCrop>false</ScaleCrop>
  <LinksUpToDate>false</LinksUpToDate>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2026-02-28T00:32:00Z</dcterms:created>
  <dc:creator>inspur</dc:creator>
  <cp:lastModifiedBy>inspur</cp:lastModifiedBy>
  <dcterms:modified xsi:type="dcterms:W3CDTF">2026-03-03T19:55:22Z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1F9125889B3E985D2ACCA66946D10E7A</vt:lpwstr>
  </property>
</Properties>
</file>