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一、石家庄市藁城区审计局本级收支预算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一、石家庄市藁城区审计局本级收支预算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644.84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526.22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64.97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21.60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32.06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644.84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644.84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644.84</w:t>
            </w:r>
          </w:p>
        </w:tc>
        <w:tc>
          <w:tcPr>
            <w:tcW w:w="4535" w:type="dxa"/>
            <w:vAlign w:val="center"/>
          </w:tcPr>
          <w:p>
            <w:pPr>
              <w:pStyle w:val="单元格样式6"/>
            </w:pPr>
            <w:r>
              <w:t xml:space="preserve">支出总计</w:t>
            </w:r>
          </w:p>
        </w:tc>
        <w:tc>
          <w:tcPr>
            <w:tcW w:w="2126" w:type="dxa"/>
            <w:vAlign w:val="center"/>
          </w:tcPr>
          <w:p>
            <w:pPr>
              <w:pStyle w:val="单元格样式7"/>
            </w:pPr>
            <w:r>
              <w:t xml:space="preserve">644.84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644.84</w:t>
            </w:r>
          </w:p>
        </w:tc>
        <w:tc>
          <w:tcPr>
            <w:tcW w:w="1134" w:type="dxa"/>
            <w:vAlign w:val="center"/>
          </w:tcPr>
          <w:p>
            <w:pPr>
              <w:pStyle w:val="单元格样式7"/>
            </w:pPr>
            <w:r>
              <w:t xml:space="preserve">644.84</w:t>
            </w:r>
          </w:p>
        </w:tc>
        <w:tc>
          <w:tcPr>
            <w:tcW w:w="1134" w:type="dxa"/>
            <w:vAlign w:val="center"/>
          </w:tcPr>
          <w:p>
            <w:pPr>
              <w:pStyle w:val="单元格样式7"/>
            </w:pPr>
            <w:r>
              <w:t xml:space="preserve">644.84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526.22</w:t>
            </w:r>
          </w:p>
        </w:tc>
        <w:tc>
          <w:tcPr>
            <w:tcW w:w="1134" w:type="dxa"/>
            <w:vAlign w:val="center"/>
          </w:tcPr>
          <w:p>
            <w:pPr>
              <w:pStyle w:val="单元格样式4"/>
            </w:pPr>
            <w:r>
              <w:t xml:space="preserve">526.22</w:t>
            </w:r>
          </w:p>
        </w:tc>
        <w:tc>
          <w:tcPr>
            <w:tcW w:w="1134" w:type="dxa"/>
            <w:vAlign w:val="center"/>
          </w:tcPr>
          <w:p>
            <w:pPr>
              <w:pStyle w:val="单元格样式4"/>
            </w:pPr>
            <w:r>
              <w:t xml:space="preserve">526.22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526.22</w:t>
            </w:r>
          </w:p>
        </w:tc>
        <w:tc>
          <w:tcPr>
            <w:tcW w:w="1134" w:type="dxa"/>
            <w:vAlign w:val="center"/>
          </w:tcPr>
          <w:p>
            <w:pPr>
              <w:pStyle w:val="单元格样式4"/>
            </w:pPr>
            <w:r>
              <w:t xml:space="preserve">526.22</w:t>
            </w:r>
          </w:p>
        </w:tc>
        <w:tc>
          <w:tcPr>
            <w:tcW w:w="1134" w:type="dxa"/>
            <w:vAlign w:val="center"/>
          </w:tcPr>
          <w:p>
            <w:pPr>
              <w:pStyle w:val="单元格样式4"/>
            </w:pPr>
            <w:r>
              <w:t xml:space="preserve">526.22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477.44</w:t>
            </w:r>
          </w:p>
        </w:tc>
        <w:tc>
          <w:tcPr>
            <w:tcW w:w="1134" w:type="dxa"/>
            <w:vAlign w:val="center"/>
          </w:tcPr>
          <w:p>
            <w:pPr>
              <w:pStyle w:val="单元格样式4"/>
            </w:pPr>
            <w:r>
              <w:t xml:space="preserve">477.44</w:t>
            </w:r>
          </w:p>
        </w:tc>
        <w:tc>
          <w:tcPr>
            <w:tcW w:w="1134" w:type="dxa"/>
            <w:vAlign w:val="center"/>
          </w:tcPr>
          <w:p>
            <w:pPr>
              <w:pStyle w:val="单元格样式4"/>
            </w:pPr>
            <w:r>
              <w:t xml:space="preserve">477.44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2010805</w:t>
            </w:r>
          </w:p>
        </w:tc>
        <w:tc>
          <w:tcPr>
            <w:tcW w:w="1559" w:type="dxa"/>
            <w:vAlign w:val="center"/>
          </w:tcPr>
          <w:p>
            <w:pPr>
              <w:pStyle w:val="单元格样式2"/>
            </w:pPr>
            <w:r>
              <w:t xml:space="preserve">审计管理</w:t>
            </w:r>
          </w:p>
        </w:tc>
        <w:tc>
          <w:tcPr>
            <w:tcW w:w="1134" w:type="dxa"/>
            <w:vAlign w:val="center"/>
          </w:tcPr>
          <w:p>
            <w:pPr>
              <w:pStyle w:val="单元格样式4"/>
            </w:pPr>
            <w:r>
              <w:t xml:space="preserve">38.78</w:t>
            </w:r>
          </w:p>
        </w:tc>
        <w:tc>
          <w:tcPr>
            <w:tcW w:w="1134" w:type="dxa"/>
            <w:vAlign w:val="center"/>
          </w:tcPr>
          <w:p>
            <w:pPr>
              <w:pStyle w:val="单元格样式4"/>
            </w:pPr>
            <w:r>
              <w:t xml:space="preserve">38.78</w:t>
            </w:r>
          </w:p>
        </w:tc>
        <w:tc>
          <w:tcPr>
            <w:tcW w:w="1134" w:type="dxa"/>
            <w:vAlign w:val="center"/>
          </w:tcPr>
          <w:p>
            <w:pPr>
              <w:pStyle w:val="单元格样式4"/>
            </w:pPr>
            <w:r>
              <w:t xml:space="preserve">38.78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2010806</w:t>
            </w:r>
          </w:p>
        </w:tc>
        <w:tc>
          <w:tcPr>
            <w:tcW w:w="1559" w:type="dxa"/>
            <w:vAlign w:val="center"/>
          </w:tcPr>
          <w:p>
            <w:pPr>
              <w:pStyle w:val="单元格样式2"/>
            </w:pPr>
            <w:r>
              <w:t xml:space="preserve">信息化建设</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64.97</w:t>
            </w:r>
          </w:p>
        </w:tc>
        <w:tc>
          <w:tcPr>
            <w:tcW w:w="1134" w:type="dxa"/>
            <w:vAlign w:val="center"/>
          </w:tcPr>
          <w:p>
            <w:pPr>
              <w:pStyle w:val="单元格样式4"/>
            </w:pPr>
            <w:r>
              <w:t xml:space="preserve">64.97</w:t>
            </w:r>
          </w:p>
        </w:tc>
        <w:tc>
          <w:tcPr>
            <w:tcW w:w="1134" w:type="dxa"/>
            <w:vAlign w:val="center"/>
          </w:tcPr>
          <w:p>
            <w:pPr>
              <w:pStyle w:val="单元格样式4"/>
            </w:pPr>
            <w:r>
              <w:t xml:space="preserve">64.97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64.97</w:t>
            </w:r>
          </w:p>
        </w:tc>
        <w:tc>
          <w:tcPr>
            <w:tcW w:w="1134" w:type="dxa"/>
            <w:vAlign w:val="center"/>
          </w:tcPr>
          <w:p>
            <w:pPr>
              <w:pStyle w:val="单元格样式4"/>
            </w:pPr>
            <w:r>
              <w:t xml:space="preserve">64.97</w:t>
            </w:r>
          </w:p>
        </w:tc>
        <w:tc>
          <w:tcPr>
            <w:tcW w:w="1134" w:type="dxa"/>
            <w:vAlign w:val="center"/>
          </w:tcPr>
          <w:p>
            <w:pPr>
              <w:pStyle w:val="单元格样式4"/>
            </w:pPr>
            <w:r>
              <w:t xml:space="preserve">64.97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43.60</w:t>
            </w:r>
          </w:p>
        </w:tc>
        <w:tc>
          <w:tcPr>
            <w:tcW w:w="1134" w:type="dxa"/>
            <w:vAlign w:val="center"/>
          </w:tcPr>
          <w:p>
            <w:pPr>
              <w:pStyle w:val="单元格样式4"/>
            </w:pPr>
            <w:r>
              <w:t xml:space="preserve">43.60</w:t>
            </w:r>
          </w:p>
        </w:tc>
        <w:tc>
          <w:tcPr>
            <w:tcW w:w="1134" w:type="dxa"/>
            <w:vAlign w:val="center"/>
          </w:tcPr>
          <w:p>
            <w:pPr>
              <w:pStyle w:val="单元格样式4"/>
            </w:pPr>
            <w:r>
              <w:t xml:space="preserve">43.60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21.37</w:t>
            </w:r>
          </w:p>
        </w:tc>
        <w:tc>
          <w:tcPr>
            <w:tcW w:w="1134" w:type="dxa"/>
            <w:vAlign w:val="center"/>
          </w:tcPr>
          <w:p>
            <w:pPr>
              <w:pStyle w:val="单元格样式4"/>
            </w:pPr>
            <w:r>
              <w:t xml:space="preserve">21.37</w:t>
            </w:r>
          </w:p>
        </w:tc>
        <w:tc>
          <w:tcPr>
            <w:tcW w:w="1134" w:type="dxa"/>
            <w:vAlign w:val="center"/>
          </w:tcPr>
          <w:p>
            <w:pPr>
              <w:pStyle w:val="单元格样式4"/>
            </w:pPr>
            <w:r>
              <w:t xml:space="preserve">21.37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21.60</w:t>
            </w:r>
          </w:p>
        </w:tc>
        <w:tc>
          <w:tcPr>
            <w:tcW w:w="1134" w:type="dxa"/>
            <w:vAlign w:val="center"/>
          </w:tcPr>
          <w:p>
            <w:pPr>
              <w:pStyle w:val="单元格样式4"/>
            </w:pPr>
            <w:r>
              <w:t xml:space="preserve">21.60</w:t>
            </w:r>
          </w:p>
        </w:tc>
        <w:tc>
          <w:tcPr>
            <w:tcW w:w="1134" w:type="dxa"/>
            <w:vAlign w:val="center"/>
          </w:tcPr>
          <w:p>
            <w:pPr>
              <w:pStyle w:val="单元格样式4"/>
            </w:pPr>
            <w:r>
              <w:t xml:space="preserve">21.60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21.60</w:t>
            </w:r>
          </w:p>
        </w:tc>
        <w:tc>
          <w:tcPr>
            <w:tcW w:w="1134" w:type="dxa"/>
            <w:vAlign w:val="center"/>
          </w:tcPr>
          <w:p>
            <w:pPr>
              <w:pStyle w:val="单元格样式4"/>
            </w:pPr>
            <w:r>
              <w:t xml:space="preserve">21.60</w:t>
            </w:r>
          </w:p>
        </w:tc>
        <w:tc>
          <w:tcPr>
            <w:tcW w:w="1134" w:type="dxa"/>
            <w:vAlign w:val="center"/>
          </w:tcPr>
          <w:p>
            <w:pPr>
              <w:pStyle w:val="单元格样式4"/>
            </w:pPr>
            <w:r>
              <w:t xml:space="preserve">21.60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15.25</w:t>
            </w:r>
          </w:p>
        </w:tc>
        <w:tc>
          <w:tcPr>
            <w:tcW w:w="1134" w:type="dxa"/>
            <w:vAlign w:val="center"/>
          </w:tcPr>
          <w:p>
            <w:pPr>
              <w:pStyle w:val="单元格样式4"/>
            </w:pPr>
            <w:r>
              <w:t xml:space="preserve">15.25</w:t>
            </w:r>
          </w:p>
        </w:tc>
        <w:tc>
          <w:tcPr>
            <w:tcW w:w="1134" w:type="dxa"/>
            <w:vAlign w:val="center"/>
          </w:tcPr>
          <w:p>
            <w:pPr>
              <w:pStyle w:val="单元格样式4"/>
            </w:pPr>
            <w:r>
              <w:t xml:space="preserve">15.25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6.35</w:t>
            </w:r>
          </w:p>
        </w:tc>
        <w:tc>
          <w:tcPr>
            <w:tcW w:w="1134" w:type="dxa"/>
            <w:vAlign w:val="center"/>
          </w:tcPr>
          <w:p>
            <w:pPr>
              <w:pStyle w:val="单元格样式4"/>
            </w:pPr>
            <w:r>
              <w:t xml:space="preserve">6.35</w:t>
            </w:r>
          </w:p>
        </w:tc>
        <w:tc>
          <w:tcPr>
            <w:tcW w:w="1134" w:type="dxa"/>
            <w:vAlign w:val="center"/>
          </w:tcPr>
          <w:p>
            <w:pPr>
              <w:pStyle w:val="单元格样式4"/>
            </w:pPr>
            <w:r>
              <w:t xml:space="preserve">6.35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32.06</w:t>
            </w:r>
          </w:p>
        </w:tc>
        <w:tc>
          <w:tcPr>
            <w:tcW w:w="1134" w:type="dxa"/>
            <w:vAlign w:val="center"/>
          </w:tcPr>
          <w:p>
            <w:pPr>
              <w:pStyle w:val="单元格样式4"/>
            </w:pPr>
            <w:r>
              <w:t xml:space="preserve">32.06</w:t>
            </w:r>
          </w:p>
        </w:tc>
        <w:tc>
          <w:tcPr>
            <w:tcW w:w="1134" w:type="dxa"/>
            <w:vAlign w:val="center"/>
          </w:tcPr>
          <w:p>
            <w:pPr>
              <w:pStyle w:val="单元格样式4"/>
            </w:pPr>
            <w:r>
              <w:t xml:space="preserve">32.06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32.06</w:t>
            </w:r>
          </w:p>
        </w:tc>
        <w:tc>
          <w:tcPr>
            <w:tcW w:w="1134" w:type="dxa"/>
            <w:vAlign w:val="center"/>
          </w:tcPr>
          <w:p>
            <w:pPr>
              <w:pStyle w:val="单元格样式4"/>
            </w:pPr>
            <w:r>
              <w:t xml:space="preserve">32.06</w:t>
            </w:r>
          </w:p>
        </w:tc>
        <w:tc>
          <w:tcPr>
            <w:tcW w:w="1134" w:type="dxa"/>
            <w:vAlign w:val="center"/>
          </w:tcPr>
          <w:p>
            <w:pPr>
              <w:pStyle w:val="单元格样式4"/>
            </w:pPr>
            <w:r>
              <w:t xml:space="preserve">32.06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32.06</w:t>
            </w:r>
          </w:p>
        </w:tc>
        <w:tc>
          <w:tcPr>
            <w:tcW w:w="1134" w:type="dxa"/>
            <w:vAlign w:val="center"/>
          </w:tcPr>
          <w:p>
            <w:pPr>
              <w:pStyle w:val="单元格样式4"/>
            </w:pPr>
            <w:r>
              <w:t xml:space="preserve">32.06</w:t>
            </w:r>
          </w:p>
        </w:tc>
        <w:tc>
          <w:tcPr>
            <w:tcW w:w="1134" w:type="dxa"/>
            <w:vAlign w:val="center"/>
          </w:tcPr>
          <w:p>
            <w:pPr>
              <w:pStyle w:val="单元格样式4"/>
            </w:pPr>
            <w:r>
              <w:t xml:space="preserve">32.06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644.84</w:t>
            </w:r>
          </w:p>
        </w:tc>
        <w:tc>
          <w:tcPr>
            <w:tcW w:w="1361" w:type="dxa"/>
            <w:vAlign w:val="center"/>
          </w:tcPr>
          <w:p>
            <w:pPr>
              <w:pStyle w:val="单元格样式7"/>
            </w:pPr>
            <w:r>
              <w:t xml:space="preserve">596.06</w:t>
            </w:r>
          </w:p>
        </w:tc>
        <w:tc>
          <w:tcPr>
            <w:tcW w:w="1361" w:type="dxa"/>
            <w:vAlign w:val="center"/>
          </w:tcPr>
          <w:p>
            <w:pPr>
              <w:pStyle w:val="单元格样式7"/>
            </w:pPr>
            <w:r>
              <w:t xml:space="preserve">48.78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526.22</w:t>
            </w:r>
          </w:p>
        </w:tc>
        <w:tc>
          <w:tcPr>
            <w:tcW w:w="1361" w:type="dxa"/>
            <w:vAlign w:val="center"/>
          </w:tcPr>
          <w:p>
            <w:pPr>
              <w:pStyle w:val="单元格样式4"/>
            </w:pPr>
            <w:r>
              <w:t xml:space="preserve">477.44</w:t>
            </w:r>
          </w:p>
        </w:tc>
        <w:tc>
          <w:tcPr>
            <w:tcW w:w="1361" w:type="dxa"/>
            <w:vAlign w:val="center"/>
          </w:tcPr>
          <w:p>
            <w:pPr>
              <w:pStyle w:val="单元格样式4"/>
            </w:pPr>
            <w:r>
              <w:t xml:space="preserve">48.78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526.22</w:t>
            </w:r>
          </w:p>
        </w:tc>
        <w:tc>
          <w:tcPr>
            <w:tcW w:w="1361" w:type="dxa"/>
            <w:vAlign w:val="center"/>
          </w:tcPr>
          <w:p>
            <w:pPr>
              <w:pStyle w:val="单元格样式4"/>
            </w:pPr>
            <w:r>
              <w:t xml:space="preserve">477.44</w:t>
            </w:r>
          </w:p>
        </w:tc>
        <w:tc>
          <w:tcPr>
            <w:tcW w:w="1361" w:type="dxa"/>
            <w:vAlign w:val="center"/>
          </w:tcPr>
          <w:p>
            <w:pPr>
              <w:pStyle w:val="单元格样式4"/>
            </w:pPr>
            <w:r>
              <w:t xml:space="preserve">48.78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477.44</w:t>
            </w:r>
          </w:p>
        </w:tc>
        <w:tc>
          <w:tcPr>
            <w:tcW w:w="1361" w:type="dxa"/>
            <w:vAlign w:val="center"/>
          </w:tcPr>
          <w:p>
            <w:pPr>
              <w:pStyle w:val="单元格样式4"/>
            </w:pPr>
            <w:r>
              <w:t xml:space="preserve">477.44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2010805</w:t>
            </w:r>
          </w:p>
        </w:tc>
        <w:tc>
          <w:tcPr>
            <w:tcW w:w="4535" w:type="dxa"/>
            <w:vAlign w:val="center"/>
          </w:tcPr>
          <w:p>
            <w:pPr>
              <w:pStyle w:val="单元格样式2"/>
            </w:pPr>
            <w:r>
              <w:t xml:space="preserve">审计管理</w:t>
            </w:r>
          </w:p>
        </w:tc>
        <w:tc>
          <w:tcPr>
            <w:tcW w:w="1361" w:type="dxa"/>
            <w:vAlign w:val="center"/>
          </w:tcPr>
          <w:p>
            <w:pPr>
              <w:pStyle w:val="单元格样式4"/>
            </w:pPr>
            <w:r>
              <w:t xml:space="preserve">38.78</w:t>
            </w:r>
          </w:p>
        </w:tc>
        <w:tc>
          <w:tcPr>
            <w:tcW w:w="1361" w:type="dxa"/>
            <w:vAlign w:val="center"/>
          </w:tcPr>
          <w:p>
            <w:pPr>
              <w:pStyle w:val="单元格样式4"/>
            </w:pPr>
          </w:p>
        </w:tc>
        <w:tc>
          <w:tcPr>
            <w:tcW w:w="1361" w:type="dxa"/>
            <w:vAlign w:val="center"/>
          </w:tcPr>
          <w:p>
            <w:pPr>
              <w:pStyle w:val="单元格样式4"/>
            </w:pPr>
            <w:r>
              <w:t xml:space="preserve">38.78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2010806</w:t>
            </w:r>
          </w:p>
        </w:tc>
        <w:tc>
          <w:tcPr>
            <w:tcW w:w="4535" w:type="dxa"/>
            <w:vAlign w:val="center"/>
          </w:tcPr>
          <w:p>
            <w:pPr>
              <w:pStyle w:val="单元格样式2"/>
            </w:pPr>
            <w:r>
              <w:t xml:space="preserve">信息化建设</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64.97</w:t>
            </w:r>
          </w:p>
        </w:tc>
        <w:tc>
          <w:tcPr>
            <w:tcW w:w="1361" w:type="dxa"/>
            <w:vAlign w:val="center"/>
          </w:tcPr>
          <w:p>
            <w:pPr>
              <w:pStyle w:val="单元格样式4"/>
            </w:pPr>
            <w:r>
              <w:t xml:space="preserve">64.97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64.97</w:t>
            </w:r>
          </w:p>
        </w:tc>
        <w:tc>
          <w:tcPr>
            <w:tcW w:w="1361" w:type="dxa"/>
            <w:vAlign w:val="center"/>
          </w:tcPr>
          <w:p>
            <w:pPr>
              <w:pStyle w:val="单元格样式4"/>
            </w:pPr>
            <w:r>
              <w:t xml:space="preserve">64.97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43.60</w:t>
            </w:r>
          </w:p>
        </w:tc>
        <w:tc>
          <w:tcPr>
            <w:tcW w:w="1361" w:type="dxa"/>
            <w:vAlign w:val="center"/>
          </w:tcPr>
          <w:p>
            <w:pPr>
              <w:pStyle w:val="单元格样式4"/>
            </w:pPr>
            <w:r>
              <w:t xml:space="preserve">43.60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21.37</w:t>
            </w:r>
          </w:p>
        </w:tc>
        <w:tc>
          <w:tcPr>
            <w:tcW w:w="1361" w:type="dxa"/>
            <w:vAlign w:val="center"/>
          </w:tcPr>
          <w:p>
            <w:pPr>
              <w:pStyle w:val="单元格样式4"/>
            </w:pPr>
            <w:r>
              <w:t xml:space="preserve">21.37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21.60</w:t>
            </w:r>
          </w:p>
        </w:tc>
        <w:tc>
          <w:tcPr>
            <w:tcW w:w="1361" w:type="dxa"/>
            <w:vAlign w:val="center"/>
          </w:tcPr>
          <w:p>
            <w:pPr>
              <w:pStyle w:val="单元格样式4"/>
            </w:pPr>
            <w:r>
              <w:t xml:space="preserve">21.60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21.60</w:t>
            </w:r>
          </w:p>
        </w:tc>
        <w:tc>
          <w:tcPr>
            <w:tcW w:w="1361" w:type="dxa"/>
            <w:vAlign w:val="center"/>
          </w:tcPr>
          <w:p>
            <w:pPr>
              <w:pStyle w:val="单元格样式4"/>
            </w:pPr>
            <w:r>
              <w:t xml:space="preserve">21.60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15.25</w:t>
            </w:r>
          </w:p>
        </w:tc>
        <w:tc>
          <w:tcPr>
            <w:tcW w:w="1361" w:type="dxa"/>
            <w:vAlign w:val="center"/>
          </w:tcPr>
          <w:p>
            <w:pPr>
              <w:pStyle w:val="单元格样式4"/>
            </w:pPr>
            <w:r>
              <w:t xml:space="preserve">15.25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6.35</w:t>
            </w:r>
          </w:p>
        </w:tc>
        <w:tc>
          <w:tcPr>
            <w:tcW w:w="1361" w:type="dxa"/>
            <w:vAlign w:val="center"/>
          </w:tcPr>
          <w:p>
            <w:pPr>
              <w:pStyle w:val="单元格样式4"/>
            </w:pPr>
            <w:r>
              <w:t xml:space="preserve">6.35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32.06</w:t>
            </w:r>
          </w:p>
        </w:tc>
        <w:tc>
          <w:tcPr>
            <w:tcW w:w="1361" w:type="dxa"/>
            <w:vAlign w:val="center"/>
          </w:tcPr>
          <w:p>
            <w:pPr>
              <w:pStyle w:val="单元格样式4"/>
            </w:pPr>
            <w:r>
              <w:t xml:space="preserve">32.06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32.06</w:t>
            </w:r>
          </w:p>
        </w:tc>
        <w:tc>
          <w:tcPr>
            <w:tcW w:w="1361" w:type="dxa"/>
            <w:vAlign w:val="center"/>
          </w:tcPr>
          <w:p>
            <w:pPr>
              <w:pStyle w:val="单元格样式4"/>
            </w:pPr>
            <w:r>
              <w:t xml:space="preserve">32.06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32.06</w:t>
            </w:r>
          </w:p>
        </w:tc>
        <w:tc>
          <w:tcPr>
            <w:tcW w:w="1361" w:type="dxa"/>
            <w:vAlign w:val="center"/>
          </w:tcPr>
          <w:p>
            <w:pPr>
              <w:pStyle w:val="单元格样式4"/>
            </w:pPr>
            <w:r>
              <w:t xml:space="preserve">32.06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644.84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526.22</w:t>
            </w:r>
          </w:p>
        </w:tc>
        <w:tc>
          <w:tcPr>
            <w:tcW w:w="1474" w:type="dxa"/>
            <w:vAlign w:val="center"/>
          </w:tcPr>
          <w:p>
            <w:pPr>
              <w:pStyle w:val="单元格样式4"/>
            </w:pPr>
            <w:r>
              <w:t xml:space="preserve">526.22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64.97</w:t>
            </w:r>
          </w:p>
        </w:tc>
        <w:tc>
          <w:tcPr>
            <w:tcW w:w="1474" w:type="dxa"/>
            <w:vAlign w:val="center"/>
          </w:tcPr>
          <w:p>
            <w:pPr>
              <w:pStyle w:val="单元格样式4"/>
            </w:pPr>
            <w:r>
              <w:t xml:space="preserve">64.97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21.60</w:t>
            </w:r>
          </w:p>
        </w:tc>
        <w:tc>
          <w:tcPr>
            <w:tcW w:w="1474" w:type="dxa"/>
            <w:vAlign w:val="center"/>
          </w:tcPr>
          <w:p>
            <w:pPr>
              <w:pStyle w:val="单元格样式4"/>
            </w:pPr>
            <w:r>
              <w:t xml:space="preserve">21.60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32.06</w:t>
            </w:r>
          </w:p>
        </w:tc>
        <w:tc>
          <w:tcPr>
            <w:tcW w:w="1474" w:type="dxa"/>
            <w:vAlign w:val="center"/>
          </w:tcPr>
          <w:p>
            <w:pPr>
              <w:pStyle w:val="单元格样式4"/>
            </w:pPr>
            <w:r>
              <w:t xml:space="preserve">32.06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644.84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644.84</w:t>
            </w:r>
          </w:p>
        </w:tc>
        <w:tc>
          <w:tcPr>
            <w:tcW w:w="1474" w:type="dxa"/>
            <w:vAlign w:val="center"/>
          </w:tcPr>
          <w:p>
            <w:pPr>
              <w:pStyle w:val="单元格样式7"/>
            </w:pPr>
            <w:r>
              <w:t xml:space="preserve">644.84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644.84</w:t>
            </w:r>
          </w:p>
        </w:tc>
        <w:tc>
          <w:tcPr>
            <w:tcW w:w="3402" w:type="dxa"/>
            <w:vAlign w:val="center"/>
          </w:tcPr>
          <w:p>
            <w:pPr>
              <w:pStyle w:val="单元格样式6"/>
            </w:pPr>
            <w:r>
              <w:t xml:space="preserve">支出总计</w:t>
            </w:r>
          </w:p>
        </w:tc>
        <w:tc>
          <w:tcPr>
            <w:tcW w:w="1474" w:type="dxa"/>
            <w:vAlign w:val="center"/>
          </w:tcPr>
          <w:p>
            <w:pPr>
              <w:pStyle w:val="单元格样式7"/>
            </w:pPr>
            <w:r>
              <w:t xml:space="preserve">644.84</w:t>
            </w:r>
          </w:p>
        </w:tc>
        <w:tc>
          <w:tcPr>
            <w:tcW w:w="1474" w:type="dxa"/>
            <w:vAlign w:val="center"/>
          </w:tcPr>
          <w:p>
            <w:pPr>
              <w:pStyle w:val="单元格样式7"/>
            </w:pPr>
            <w:r>
              <w:t xml:space="preserve">644.84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644.84</w:t>
            </w:r>
          </w:p>
        </w:tc>
        <w:tc>
          <w:tcPr>
            <w:tcW w:w="2551" w:type="dxa"/>
            <w:vAlign w:val="center"/>
          </w:tcPr>
          <w:p>
            <w:pPr>
              <w:pStyle w:val="单元格样式7"/>
            </w:pPr>
            <w:r>
              <w:t xml:space="preserve">596.06</w:t>
            </w:r>
          </w:p>
        </w:tc>
        <w:tc>
          <w:tcPr>
            <w:tcW w:w="2551" w:type="dxa"/>
            <w:vAlign w:val="center"/>
          </w:tcPr>
          <w:p>
            <w:pPr>
              <w:pStyle w:val="单元格样式7"/>
            </w:pPr>
            <w:r>
              <w:t xml:space="preserve">48.78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526.22</w:t>
            </w:r>
          </w:p>
        </w:tc>
        <w:tc>
          <w:tcPr>
            <w:tcW w:w="2551" w:type="dxa"/>
            <w:vAlign w:val="center"/>
          </w:tcPr>
          <w:p>
            <w:pPr>
              <w:pStyle w:val="单元格样式4"/>
            </w:pPr>
            <w:r>
              <w:t xml:space="preserve">477.44</w:t>
            </w:r>
          </w:p>
        </w:tc>
        <w:tc>
          <w:tcPr>
            <w:tcW w:w="2551" w:type="dxa"/>
            <w:vAlign w:val="center"/>
          </w:tcPr>
          <w:p>
            <w:pPr>
              <w:pStyle w:val="单元格样式4"/>
            </w:pPr>
            <w:r>
              <w:t xml:space="preserve">48.78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526.22</w:t>
            </w:r>
          </w:p>
        </w:tc>
        <w:tc>
          <w:tcPr>
            <w:tcW w:w="2551" w:type="dxa"/>
            <w:vAlign w:val="center"/>
          </w:tcPr>
          <w:p>
            <w:pPr>
              <w:pStyle w:val="单元格样式4"/>
            </w:pPr>
            <w:r>
              <w:t xml:space="preserve">477.44</w:t>
            </w:r>
          </w:p>
        </w:tc>
        <w:tc>
          <w:tcPr>
            <w:tcW w:w="2551" w:type="dxa"/>
            <w:vAlign w:val="center"/>
          </w:tcPr>
          <w:p>
            <w:pPr>
              <w:pStyle w:val="单元格样式4"/>
            </w:pPr>
            <w:r>
              <w:t xml:space="preserve">48.78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477.44</w:t>
            </w:r>
          </w:p>
        </w:tc>
        <w:tc>
          <w:tcPr>
            <w:tcW w:w="2551" w:type="dxa"/>
            <w:vAlign w:val="center"/>
          </w:tcPr>
          <w:p>
            <w:pPr>
              <w:pStyle w:val="单元格样式4"/>
            </w:pPr>
            <w:r>
              <w:t xml:space="preserve">477.44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2010805</w:t>
            </w:r>
          </w:p>
        </w:tc>
        <w:tc>
          <w:tcPr>
            <w:tcW w:w="4535" w:type="dxa"/>
            <w:vAlign w:val="center"/>
          </w:tcPr>
          <w:p>
            <w:pPr>
              <w:pStyle w:val="单元格样式2"/>
            </w:pPr>
            <w:r>
              <w:t xml:space="preserve">审计管理</w:t>
            </w:r>
          </w:p>
        </w:tc>
        <w:tc>
          <w:tcPr>
            <w:tcW w:w="2551" w:type="dxa"/>
            <w:vAlign w:val="center"/>
          </w:tcPr>
          <w:p>
            <w:pPr>
              <w:pStyle w:val="单元格样式4"/>
            </w:pPr>
            <w:r>
              <w:t xml:space="preserve">38.78</w:t>
            </w:r>
          </w:p>
        </w:tc>
        <w:tc>
          <w:tcPr>
            <w:tcW w:w="2551" w:type="dxa"/>
            <w:vAlign w:val="center"/>
          </w:tcPr>
          <w:p>
            <w:pPr>
              <w:pStyle w:val="单元格样式4"/>
            </w:pPr>
          </w:p>
        </w:tc>
        <w:tc>
          <w:tcPr>
            <w:tcW w:w="2551" w:type="dxa"/>
            <w:vAlign w:val="center"/>
          </w:tcPr>
          <w:p>
            <w:pPr>
              <w:pStyle w:val="单元格样式4"/>
            </w:pPr>
            <w:r>
              <w:t xml:space="preserve">38.78</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2010806</w:t>
            </w:r>
          </w:p>
        </w:tc>
        <w:tc>
          <w:tcPr>
            <w:tcW w:w="4535" w:type="dxa"/>
            <w:vAlign w:val="center"/>
          </w:tcPr>
          <w:p>
            <w:pPr>
              <w:pStyle w:val="单元格样式2"/>
            </w:pPr>
            <w:r>
              <w:t xml:space="preserve">信息化建设</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64.97</w:t>
            </w:r>
          </w:p>
        </w:tc>
        <w:tc>
          <w:tcPr>
            <w:tcW w:w="2551" w:type="dxa"/>
            <w:vAlign w:val="center"/>
          </w:tcPr>
          <w:p>
            <w:pPr>
              <w:pStyle w:val="单元格样式4"/>
            </w:pPr>
            <w:r>
              <w:t xml:space="preserve">64.97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64.97</w:t>
            </w:r>
          </w:p>
        </w:tc>
        <w:tc>
          <w:tcPr>
            <w:tcW w:w="2551" w:type="dxa"/>
            <w:vAlign w:val="center"/>
          </w:tcPr>
          <w:p>
            <w:pPr>
              <w:pStyle w:val="单元格样式4"/>
            </w:pPr>
            <w:r>
              <w:t xml:space="preserve">64.97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43.60</w:t>
            </w:r>
          </w:p>
        </w:tc>
        <w:tc>
          <w:tcPr>
            <w:tcW w:w="2551" w:type="dxa"/>
            <w:vAlign w:val="center"/>
          </w:tcPr>
          <w:p>
            <w:pPr>
              <w:pStyle w:val="单元格样式4"/>
            </w:pPr>
            <w:r>
              <w:t xml:space="preserve">43.60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21.37</w:t>
            </w:r>
          </w:p>
        </w:tc>
        <w:tc>
          <w:tcPr>
            <w:tcW w:w="2551" w:type="dxa"/>
            <w:vAlign w:val="center"/>
          </w:tcPr>
          <w:p>
            <w:pPr>
              <w:pStyle w:val="单元格样式4"/>
            </w:pPr>
            <w:r>
              <w:t xml:space="preserve">21.37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21.60</w:t>
            </w:r>
          </w:p>
        </w:tc>
        <w:tc>
          <w:tcPr>
            <w:tcW w:w="2551" w:type="dxa"/>
            <w:vAlign w:val="center"/>
          </w:tcPr>
          <w:p>
            <w:pPr>
              <w:pStyle w:val="单元格样式4"/>
            </w:pPr>
            <w:r>
              <w:t xml:space="preserve">21.60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21.60</w:t>
            </w:r>
          </w:p>
        </w:tc>
        <w:tc>
          <w:tcPr>
            <w:tcW w:w="2551" w:type="dxa"/>
            <w:vAlign w:val="center"/>
          </w:tcPr>
          <w:p>
            <w:pPr>
              <w:pStyle w:val="单元格样式4"/>
            </w:pPr>
            <w:r>
              <w:t xml:space="preserve">21.60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15.25</w:t>
            </w:r>
          </w:p>
        </w:tc>
        <w:tc>
          <w:tcPr>
            <w:tcW w:w="2551" w:type="dxa"/>
            <w:vAlign w:val="center"/>
          </w:tcPr>
          <w:p>
            <w:pPr>
              <w:pStyle w:val="单元格样式4"/>
            </w:pPr>
            <w:r>
              <w:t xml:space="preserve">15.25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6.35</w:t>
            </w:r>
          </w:p>
        </w:tc>
        <w:tc>
          <w:tcPr>
            <w:tcW w:w="2551" w:type="dxa"/>
            <w:vAlign w:val="center"/>
          </w:tcPr>
          <w:p>
            <w:pPr>
              <w:pStyle w:val="单元格样式4"/>
            </w:pPr>
            <w:r>
              <w:t xml:space="preserve">6.35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32.06</w:t>
            </w:r>
          </w:p>
        </w:tc>
        <w:tc>
          <w:tcPr>
            <w:tcW w:w="2551" w:type="dxa"/>
            <w:vAlign w:val="center"/>
          </w:tcPr>
          <w:p>
            <w:pPr>
              <w:pStyle w:val="单元格样式4"/>
            </w:pPr>
            <w:r>
              <w:t xml:space="preserve">32.06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32.06</w:t>
            </w:r>
          </w:p>
        </w:tc>
        <w:tc>
          <w:tcPr>
            <w:tcW w:w="2551" w:type="dxa"/>
            <w:vAlign w:val="center"/>
          </w:tcPr>
          <w:p>
            <w:pPr>
              <w:pStyle w:val="单元格样式4"/>
            </w:pPr>
            <w:r>
              <w:t xml:space="preserve">32.06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32.06</w:t>
            </w:r>
          </w:p>
        </w:tc>
        <w:tc>
          <w:tcPr>
            <w:tcW w:w="2551" w:type="dxa"/>
            <w:vAlign w:val="center"/>
          </w:tcPr>
          <w:p>
            <w:pPr>
              <w:pStyle w:val="单元格样式4"/>
            </w:pPr>
            <w:r>
              <w:t xml:space="preserve">32.06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596.06</w:t>
            </w:r>
          </w:p>
        </w:tc>
        <w:tc>
          <w:tcPr>
            <w:tcW w:w="2551" w:type="dxa"/>
            <w:vAlign w:val="center"/>
          </w:tcPr>
          <w:p>
            <w:pPr>
              <w:pStyle w:val="单元格样式7"/>
            </w:pPr>
            <w:r>
              <w:t xml:space="preserve">554.28</w:t>
            </w:r>
          </w:p>
        </w:tc>
        <w:tc>
          <w:tcPr>
            <w:tcW w:w="2551" w:type="dxa"/>
            <w:vAlign w:val="center"/>
          </w:tcPr>
          <w:p>
            <w:pPr>
              <w:pStyle w:val="单元格样式7"/>
            </w:pPr>
            <w:r>
              <w:t xml:space="preserve">41.78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434.55</w:t>
            </w:r>
          </w:p>
        </w:tc>
        <w:tc>
          <w:tcPr>
            <w:tcW w:w="2551" w:type="dxa"/>
            <w:vAlign w:val="center"/>
          </w:tcPr>
          <w:p>
            <w:pPr>
              <w:pStyle w:val="单元格样式4"/>
            </w:pPr>
            <w:r>
              <w:t xml:space="preserve">434.55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132.04</w:t>
            </w:r>
          </w:p>
        </w:tc>
        <w:tc>
          <w:tcPr>
            <w:tcW w:w="2551" w:type="dxa"/>
            <w:vAlign w:val="center"/>
          </w:tcPr>
          <w:p>
            <w:pPr>
              <w:pStyle w:val="单元格样式4"/>
            </w:pPr>
            <w:r>
              <w:t xml:space="preserve">132.04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83.40</w:t>
            </w:r>
          </w:p>
        </w:tc>
        <w:tc>
          <w:tcPr>
            <w:tcW w:w="2551" w:type="dxa"/>
            <w:vAlign w:val="center"/>
          </w:tcPr>
          <w:p>
            <w:pPr>
              <w:pStyle w:val="单元格样式4"/>
            </w:pPr>
            <w:r>
              <w:t xml:space="preserve">83.40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97.89</w:t>
            </w:r>
          </w:p>
        </w:tc>
        <w:tc>
          <w:tcPr>
            <w:tcW w:w="2551" w:type="dxa"/>
            <w:vAlign w:val="center"/>
          </w:tcPr>
          <w:p>
            <w:pPr>
              <w:pStyle w:val="单元格样式4"/>
            </w:pPr>
            <w:r>
              <w:t xml:space="preserve">97.89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43.60</w:t>
            </w:r>
          </w:p>
        </w:tc>
        <w:tc>
          <w:tcPr>
            <w:tcW w:w="2551" w:type="dxa"/>
            <w:vAlign w:val="center"/>
          </w:tcPr>
          <w:p>
            <w:pPr>
              <w:pStyle w:val="单元格样式4"/>
            </w:pPr>
            <w:r>
              <w:t xml:space="preserve">43.60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21.37</w:t>
            </w:r>
          </w:p>
        </w:tc>
        <w:tc>
          <w:tcPr>
            <w:tcW w:w="2551" w:type="dxa"/>
            <w:vAlign w:val="center"/>
          </w:tcPr>
          <w:p>
            <w:pPr>
              <w:pStyle w:val="单元格样式4"/>
            </w:pPr>
            <w:r>
              <w:t xml:space="preserve">21.37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15.25</w:t>
            </w:r>
          </w:p>
        </w:tc>
        <w:tc>
          <w:tcPr>
            <w:tcW w:w="2551" w:type="dxa"/>
            <w:vAlign w:val="center"/>
          </w:tcPr>
          <w:p>
            <w:pPr>
              <w:pStyle w:val="单元格样式4"/>
            </w:pPr>
            <w:r>
              <w:t xml:space="preserve">15.25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6.35</w:t>
            </w:r>
          </w:p>
        </w:tc>
        <w:tc>
          <w:tcPr>
            <w:tcW w:w="2551" w:type="dxa"/>
            <w:vAlign w:val="center"/>
          </w:tcPr>
          <w:p>
            <w:pPr>
              <w:pStyle w:val="单元格样式4"/>
            </w:pPr>
            <w:r>
              <w:t xml:space="preserve">6.35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2.60</w:t>
            </w:r>
          </w:p>
        </w:tc>
        <w:tc>
          <w:tcPr>
            <w:tcW w:w="2551" w:type="dxa"/>
            <w:vAlign w:val="center"/>
          </w:tcPr>
          <w:p>
            <w:pPr>
              <w:pStyle w:val="单元格样式4"/>
            </w:pPr>
            <w:r>
              <w:t xml:space="preserve">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32.06</w:t>
            </w:r>
          </w:p>
        </w:tc>
        <w:tc>
          <w:tcPr>
            <w:tcW w:w="2551" w:type="dxa"/>
            <w:vAlign w:val="center"/>
          </w:tcPr>
          <w:p>
            <w:pPr>
              <w:pStyle w:val="单元格样式4"/>
            </w:pPr>
            <w:r>
              <w:t xml:space="preserve">32.06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41.78</w:t>
            </w:r>
          </w:p>
        </w:tc>
        <w:tc>
          <w:tcPr>
            <w:tcW w:w="2551" w:type="dxa"/>
            <w:vAlign w:val="center"/>
          </w:tcPr>
          <w:p>
            <w:pPr>
              <w:pStyle w:val="单元格样式4"/>
            </w:pPr>
          </w:p>
        </w:tc>
        <w:tc>
          <w:tcPr>
            <w:tcW w:w="2551" w:type="dxa"/>
            <w:vAlign w:val="center"/>
          </w:tcPr>
          <w:p>
            <w:pPr>
              <w:pStyle w:val="单元格样式4"/>
            </w:pPr>
            <w:r>
              <w:t xml:space="preserve">41.78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9.51</w:t>
            </w:r>
          </w:p>
        </w:tc>
        <w:tc>
          <w:tcPr>
            <w:tcW w:w="2551" w:type="dxa"/>
            <w:vAlign w:val="center"/>
          </w:tcPr>
          <w:p>
            <w:pPr>
              <w:pStyle w:val="单元格样式4"/>
            </w:pPr>
          </w:p>
        </w:tc>
        <w:tc>
          <w:tcPr>
            <w:tcW w:w="2551" w:type="dxa"/>
            <w:vAlign w:val="center"/>
          </w:tcPr>
          <w:p>
            <w:pPr>
              <w:pStyle w:val="单元格样式4"/>
            </w:pPr>
            <w:r>
              <w:t xml:space="preserve">9.51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12.74</w:t>
            </w:r>
          </w:p>
        </w:tc>
        <w:tc>
          <w:tcPr>
            <w:tcW w:w="2551" w:type="dxa"/>
            <w:vAlign w:val="center"/>
          </w:tcPr>
          <w:p>
            <w:pPr>
              <w:pStyle w:val="单元格样式4"/>
            </w:pPr>
          </w:p>
        </w:tc>
        <w:tc>
          <w:tcPr>
            <w:tcW w:w="2551" w:type="dxa"/>
            <w:vAlign w:val="center"/>
          </w:tcPr>
          <w:p>
            <w:pPr>
              <w:pStyle w:val="单元格样式4"/>
            </w:pPr>
            <w:r>
              <w:t xml:space="preserve">12.74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2.82</w:t>
            </w:r>
          </w:p>
        </w:tc>
        <w:tc>
          <w:tcPr>
            <w:tcW w:w="2551" w:type="dxa"/>
            <w:vAlign w:val="center"/>
          </w:tcPr>
          <w:p>
            <w:pPr>
              <w:pStyle w:val="单元格样式4"/>
            </w:pPr>
          </w:p>
        </w:tc>
        <w:tc>
          <w:tcPr>
            <w:tcW w:w="2551" w:type="dxa"/>
            <w:vAlign w:val="center"/>
          </w:tcPr>
          <w:p>
            <w:pPr>
              <w:pStyle w:val="单元格样式4"/>
            </w:pPr>
            <w:r>
              <w:t xml:space="preserve">2.82</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13.64</w:t>
            </w:r>
          </w:p>
        </w:tc>
        <w:tc>
          <w:tcPr>
            <w:tcW w:w="2551" w:type="dxa"/>
            <w:vAlign w:val="center"/>
          </w:tcPr>
          <w:p>
            <w:pPr>
              <w:pStyle w:val="单元格样式4"/>
            </w:pPr>
          </w:p>
        </w:tc>
        <w:tc>
          <w:tcPr>
            <w:tcW w:w="2551" w:type="dxa"/>
            <w:vAlign w:val="center"/>
          </w:tcPr>
          <w:p>
            <w:pPr>
              <w:pStyle w:val="单元格样式4"/>
            </w:pPr>
            <w:r>
              <w:t xml:space="preserve">13.64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3.07</w:t>
            </w:r>
          </w:p>
        </w:tc>
        <w:tc>
          <w:tcPr>
            <w:tcW w:w="2551" w:type="dxa"/>
            <w:vAlign w:val="center"/>
          </w:tcPr>
          <w:p>
            <w:pPr>
              <w:pStyle w:val="单元格样式4"/>
            </w:pPr>
          </w:p>
        </w:tc>
        <w:tc>
          <w:tcPr>
            <w:tcW w:w="2551" w:type="dxa"/>
            <w:vAlign w:val="center"/>
          </w:tcPr>
          <w:p>
            <w:pPr>
              <w:pStyle w:val="单元格样式4"/>
            </w:pPr>
            <w:r>
              <w:t xml:space="preserve">3.07</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119.73</w:t>
            </w:r>
          </w:p>
        </w:tc>
        <w:tc>
          <w:tcPr>
            <w:tcW w:w="2551" w:type="dxa"/>
            <w:vAlign w:val="center"/>
          </w:tcPr>
          <w:p>
            <w:pPr>
              <w:pStyle w:val="单元格样式4"/>
            </w:pPr>
            <w:r>
              <w:t xml:space="preserve">119.73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118.67</w:t>
            </w:r>
          </w:p>
        </w:tc>
        <w:tc>
          <w:tcPr>
            <w:tcW w:w="2551" w:type="dxa"/>
            <w:vAlign w:val="center"/>
          </w:tcPr>
          <w:p>
            <w:pPr>
              <w:pStyle w:val="单元格样式4"/>
            </w:pPr>
            <w:r>
              <w:t xml:space="preserve">118.67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1.07</w:t>
            </w:r>
          </w:p>
        </w:tc>
        <w:tc>
          <w:tcPr>
            <w:tcW w:w="2551" w:type="dxa"/>
            <w:vAlign w:val="center"/>
          </w:tcPr>
          <w:p>
            <w:pPr>
              <w:pStyle w:val="单元格样式4"/>
            </w:pPr>
            <w:r>
              <w:t xml:space="preserve">1.07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石家庄市藁城区审计局本级2026年单位预算信息公开情况说明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按照《中华人民共和国预算法》、《地方预决算公开操作规程》和《关于进一步推进预算公开工作的实施意见》规定，现将石家庄市藁城区审计局本级2026年单位预算公开如下：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pPr>
        <w:pStyle w:val="插入文本样式-插入单位职责文件"/>
      </w:pPr>
      <w:r>
        <w:t xml:space="preserve">（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pPr>
        <w:pStyle w:val="插入文本样式-插入单位职责文件"/>
      </w:pPr>
      <w:r>
        <w:t xml:space="preserve">（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pStyle w:val="插入文本样式-插入单位职责文件"/>
      </w:pPr>
      <w:r>
        <w:t xml:space="preserve">（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pPr>
        <w:pStyle w:val="插入文本样式-插入单位职责文件"/>
      </w:pPr>
      <w:r>
        <w:t xml:space="preserve">财务收支；有关社会保障基金、社会捐赠资金和其他基金、资金的财务收支；上级授权审计的国际组织和外国政府援助、贷款项目的财务收支；法律法规规定的其他事项。</w:t>
      </w:r>
    </w:p>
    <w:p>
      <w:pPr>
        <w:pStyle w:val="插入文本样式-插入单位职责文件"/>
      </w:pPr>
      <w:r>
        <w:t xml:space="preserve">（五）按规定对区管党政主要领导干部及其他单位主要负责人实施经济责任审计和自然资源资产离任审计。</w:t>
      </w:r>
    </w:p>
    <w:p>
      <w:pPr>
        <w:pStyle w:val="插入文本样式-插入单位职责文件"/>
      </w:pPr>
      <w:r>
        <w:t xml:space="preserve">（六）组织实施对财经法律法规、规章、政策和宏观调控措施执行情况、财政预算管理及国有资产管理使用等与财政收支有关的特定事项进行专项审计调查。</w:t>
      </w:r>
    </w:p>
    <w:p>
      <w:pPr>
        <w:pStyle w:val="插入文本样式-插入单位职责文件"/>
      </w:pPr>
      <w:r>
        <w:t xml:space="preserve">（七）依法检查审计决定执行情况，督促整改审计查出的问题，依法办理被审计单位对审计决定提请行政复议、行政诉讼或区政府裁决中的有关事项；协助配合有关部门查处相关重大案件。</w:t>
      </w:r>
    </w:p>
    <w:p>
      <w:pPr>
        <w:pStyle w:val="插入文本样式-插入单位职责文件"/>
      </w:pPr>
      <w:r>
        <w:t xml:space="preserve">（八）指导和监督内部审计工作，核查社会审计机构对依法属于审计监督对象的单位出具的相关审计报告。</w:t>
      </w:r>
    </w:p>
    <w:p>
      <w:pPr>
        <w:pStyle w:val="插入文本样式-插入单位职责文件"/>
      </w:pPr>
      <w:r>
        <w:t xml:space="preserve">（九）会同区委机构编制委员会办公室，对党政机关及直属事业机构的机构设置、编制使用，以及有关机构编制规定的执行情况进行审计调查。</w:t>
      </w:r>
    </w:p>
    <w:p>
      <w:pPr>
        <w:pStyle w:val="插入文本样式-插入单位职责文件"/>
      </w:pPr>
      <w:r>
        <w:t xml:space="preserve">（十）组织开展审计领域的交流与合作，负责审计信息系统建设，指导和推广信息技术在审计领域的应用。</w:t>
      </w:r>
    </w:p>
    <w:p>
      <w:pPr>
        <w:pStyle w:val="插入文本样式-插入单位职责文件"/>
      </w:pPr>
      <w:r>
        <w:t xml:space="preserve">（十一）完成区委、区政府和上级审计机关交办的其他任务。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石家庄市藁城区审计局本级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644.84万元，其中：一般公共预算收入644.84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藁城区审计局本级年度单位预算中支出预算的总体情况。2026年支出预算644.84万元，其中基本支出596.06万元，包括人员经费554.28万元和日常公用经费41.78万元；项目支出48.78万元，主要为审计服务费25.28万元，审计局履职工作经费13.5万元，网络运行维护费10万元。；预计下年使用的单位资金结余0.00万元。委托业务费共计安排25.28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2026年预算收支安排644.84万元，较2025年预算增加13.51万元，其中：基本支出增加28.93万元，主要为人员增加。项目支出减少15.42万元，主要为压缩开支。。预计下年使用的单位资金结余增加0.00万元。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1、审计服务费绩效目标表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13010926P00008810002H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审计服务费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审计服务费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12.60</w:t>
            </w:r>
          </w:p>
        </w:tc>
        <w:tc>
          <w:tcPr>
            <w:tcW w:w="2551" w:type="dxa"/>
            <w:vAlign w:val="center"/>
          </w:tcPr>
          <w:p>
            <w:pPr>
              <w:pStyle w:val="单元格样式3"/>
            </w:pPr>
            <w:r>
              <w:t xml:space="preserve">18.90</w:t>
            </w:r>
          </w:p>
        </w:tc>
        <w:tc>
          <w:tcPr>
            <w:tcW w:w="3544" w:type="dxa"/>
            <w:gridSpan w:val="2"/>
            <w:vAlign w:val="center"/>
          </w:tcPr>
          <w:p>
            <w:pPr>
              <w:pStyle w:val="单元格样式3"/>
            </w:pPr>
            <w:r>
              <w:t xml:space="preserve">21.00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1.通过财政、财务收支审计，维护国家经济秩序，促进廉政建设，保障国民经济的健康运行。</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计划开展项目审计数量</w:t>
            </w:r>
          </w:p>
        </w:tc>
        <w:tc>
          <w:tcPr>
            <w:tcW w:w="5386" w:type="dxa"/>
            <w:vAlign w:val="center"/>
          </w:tcPr>
          <w:p>
            <w:pPr>
              <w:pStyle w:val="单元格样式2"/>
            </w:pPr>
            <w:r>
              <w:t xml:space="preserve">计划委托第三方机构对国家建设项目进行审计的年初计划数</w:t>
            </w:r>
          </w:p>
        </w:tc>
        <w:tc>
          <w:tcPr>
            <w:tcW w:w="2268" w:type="dxa"/>
            <w:vAlign w:val="center"/>
          </w:tcPr>
          <w:p>
            <w:pPr>
              <w:pStyle w:val="单元格样式2"/>
            </w:pPr>
            <w:r>
              <w:t xml:space="preserve">≥3个</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审计项目报告合格率</w:t>
            </w:r>
          </w:p>
        </w:tc>
        <w:tc>
          <w:tcPr>
            <w:tcW w:w="5386" w:type="dxa"/>
            <w:vAlign w:val="center"/>
          </w:tcPr>
          <w:p>
            <w:pPr>
              <w:pStyle w:val="单元格样式2"/>
            </w:pPr>
            <w:r>
              <w:t xml:space="preserve">合格的审计报告占审计报告总数的比例</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按时完成审计项目</w:t>
            </w:r>
          </w:p>
        </w:tc>
        <w:tc>
          <w:tcPr>
            <w:tcW w:w="5386" w:type="dxa"/>
            <w:vAlign w:val="center"/>
          </w:tcPr>
          <w:p>
            <w:pPr>
              <w:pStyle w:val="单元格样式2"/>
            </w:pPr>
            <w:r>
              <w:t xml:space="preserve">按时保质保量完成审计项目占全部审计计划的比例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严控预算控制数</w:t>
            </w:r>
          </w:p>
        </w:tc>
        <w:tc>
          <w:tcPr>
            <w:tcW w:w="2268" w:type="dxa"/>
            <w:vAlign w:val="center"/>
          </w:tcPr>
          <w:p>
            <w:pPr>
              <w:pStyle w:val="单元格样式2"/>
            </w:pPr>
            <w:r>
              <w:t xml:space="preserve">≤21万元</w:t>
            </w:r>
          </w:p>
        </w:tc>
        <w:tc>
          <w:tcPr>
            <w:tcW w:w="1276" w:type="dxa"/>
            <w:vAlign w:val="center"/>
          </w:tcPr>
          <w:p>
            <w:pPr>
              <w:pStyle w:val="单元格样式2"/>
            </w:pPr>
            <w:r>
              <w:t xml:space="preserve">年初预算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问题整改率</w:t>
            </w:r>
          </w:p>
        </w:tc>
        <w:tc>
          <w:tcPr>
            <w:tcW w:w="5386" w:type="dxa"/>
            <w:vAlign w:val="center"/>
          </w:tcPr>
          <w:p>
            <w:pPr>
              <w:pStyle w:val="单元格样式2"/>
            </w:pPr>
            <w:r>
              <w:t xml:space="preserve">已整改问题数量占发现问题总数的比率</w:t>
            </w:r>
          </w:p>
          <w:p>
            <w:pPr>
              <w:pStyle w:val="单元格样式2"/>
            </w:pPr>
          </w:p>
        </w:tc>
        <w:tc>
          <w:tcPr>
            <w:tcW w:w="2268" w:type="dxa"/>
            <w:vAlign w:val="center"/>
          </w:tcPr>
          <w:p>
            <w:pPr>
              <w:pStyle w:val="单元格样式2"/>
            </w:pPr>
            <w:r>
              <w:t xml:space="preserve">≥90百分比</w:t>
            </w:r>
          </w:p>
        </w:tc>
        <w:tc>
          <w:tcPr>
            <w:tcW w:w="1276" w:type="dxa"/>
            <w:vAlign w:val="center"/>
          </w:tcPr>
          <w:p>
            <w:pPr>
              <w:pStyle w:val="单元格样式2"/>
            </w:pPr>
            <w:r>
              <w:t xml:space="preserve">审计整改台账</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审计建议采纳率</w:t>
            </w:r>
          </w:p>
        </w:tc>
        <w:tc>
          <w:tcPr>
            <w:tcW w:w="5386" w:type="dxa"/>
            <w:vAlign w:val="center"/>
          </w:tcPr>
          <w:p>
            <w:pPr>
              <w:pStyle w:val="单元格样式2"/>
            </w:pPr>
            <w:r>
              <w:t xml:space="preserve">被采纳的审计建议占全部审计建议的比例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征求意见稿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2、审计局履职工作经费绩效目标表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13010926P000088100035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审计局履职工作经费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审计局履职工作经费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0.30</w:t>
            </w:r>
          </w:p>
        </w:tc>
        <w:tc>
          <w:tcPr>
            <w:tcW w:w="2835" w:type="dxa"/>
            <w:vAlign w:val="center"/>
          </w:tcPr>
          <w:p>
            <w:pPr>
              <w:pStyle w:val="单元格样式3"/>
            </w:pPr>
            <w:r>
              <w:t xml:space="preserve">8.40</w:t>
            </w:r>
          </w:p>
        </w:tc>
        <w:tc>
          <w:tcPr>
            <w:tcW w:w="2551" w:type="dxa"/>
            <w:vAlign w:val="center"/>
          </w:tcPr>
          <w:p>
            <w:pPr>
              <w:pStyle w:val="单元格样式3"/>
            </w:pPr>
            <w:r>
              <w:t xml:space="preserve">12.60</w:t>
            </w:r>
          </w:p>
        </w:tc>
        <w:tc>
          <w:tcPr>
            <w:tcW w:w="3544" w:type="dxa"/>
            <w:gridSpan w:val="2"/>
            <w:vAlign w:val="center"/>
          </w:tcPr>
          <w:p>
            <w:pPr>
              <w:pStyle w:val="单元格样式3"/>
            </w:pPr>
            <w:r>
              <w:t xml:space="preserve">14.00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1.通过审计，维护国家财政经济秩序，促进廉政建设，保障国民经济健康发展。  </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审计业务完成率</w:t>
            </w:r>
          </w:p>
        </w:tc>
        <w:tc>
          <w:tcPr>
            <w:tcW w:w="5386" w:type="dxa"/>
            <w:vAlign w:val="center"/>
          </w:tcPr>
          <w:p>
            <w:pPr>
              <w:pStyle w:val="单元格样式2"/>
            </w:pPr>
            <w:r>
              <w:t xml:space="preserve">审计业务完成数量</w:t>
            </w:r>
          </w:p>
          <w:p>
            <w:pPr>
              <w:pStyle w:val="单元格样式2"/>
            </w:pPr>
          </w:p>
        </w:tc>
        <w:tc>
          <w:tcPr>
            <w:tcW w:w="2268" w:type="dxa"/>
            <w:vAlign w:val="center"/>
          </w:tcPr>
          <w:p>
            <w:pPr>
              <w:pStyle w:val="单元格样式2"/>
            </w:pPr>
            <w:r>
              <w:t xml:space="preserve">≥5个</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审计业务完成率</w:t>
            </w:r>
          </w:p>
        </w:tc>
        <w:tc>
          <w:tcPr>
            <w:tcW w:w="5386" w:type="dxa"/>
            <w:vAlign w:val="center"/>
          </w:tcPr>
          <w:p>
            <w:pPr>
              <w:pStyle w:val="单元格样式2"/>
            </w:pPr>
            <w:r>
              <w:t xml:space="preserve">合格的审计报告占审计报告总数的比例</w:t>
            </w:r>
          </w:p>
          <w:p>
            <w:pPr>
              <w:pStyle w:val="单元格样式2"/>
            </w:pP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审计业务完成及时率</w:t>
            </w:r>
          </w:p>
        </w:tc>
        <w:tc>
          <w:tcPr>
            <w:tcW w:w="5386" w:type="dxa"/>
            <w:vAlign w:val="center"/>
          </w:tcPr>
          <w:p>
            <w:pPr>
              <w:pStyle w:val="单元格样式2"/>
            </w:pPr>
            <w:r>
              <w:t xml:space="preserve">按时保质保量完成审计项目占全部审计计划的比例</w:t>
            </w:r>
          </w:p>
          <w:p>
            <w:pPr>
              <w:pStyle w:val="单元格样式2"/>
            </w:pP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严控预算控制数</w:t>
            </w:r>
          </w:p>
        </w:tc>
        <w:tc>
          <w:tcPr>
            <w:tcW w:w="2268" w:type="dxa"/>
            <w:vAlign w:val="center"/>
          </w:tcPr>
          <w:p>
            <w:pPr>
              <w:pStyle w:val="单元格样式2"/>
            </w:pPr>
            <w:r>
              <w:t xml:space="preserve">≤14万元</w:t>
            </w:r>
          </w:p>
        </w:tc>
        <w:tc>
          <w:tcPr>
            <w:tcW w:w="1276" w:type="dxa"/>
            <w:vAlign w:val="center"/>
          </w:tcPr>
          <w:p>
            <w:pPr>
              <w:pStyle w:val="单元格样式2"/>
            </w:pPr>
            <w:r>
              <w:t xml:space="preserve">年初预算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问题整改率</w:t>
            </w:r>
          </w:p>
        </w:tc>
        <w:tc>
          <w:tcPr>
            <w:tcW w:w="5386" w:type="dxa"/>
            <w:vAlign w:val="center"/>
          </w:tcPr>
          <w:p>
            <w:pPr>
              <w:pStyle w:val="单元格样式2"/>
            </w:pPr>
            <w:r>
              <w:t xml:space="preserve">已整改问题数量占发现问题总数的比率</w:t>
            </w:r>
          </w:p>
          <w:p>
            <w:pPr>
              <w:pStyle w:val="单元格样式2"/>
            </w:pPr>
          </w:p>
        </w:tc>
        <w:tc>
          <w:tcPr>
            <w:tcW w:w="2268" w:type="dxa"/>
            <w:vAlign w:val="center"/>
          </w:tcPr>
          <w:p>
            <w:pPr>
              <w:pStyle w:val="单元格样式2"/>
            </w:pPr>
            <w:r>
              <w:t xml:space="preserve">≥90百分比</w:t>
            </w:r>
          </w:p>
        </w:tc>
        <w:tc>
          <w:tcPr>
            <w:tcW w:w="1276" w:type="dxa"/>
            <w:vAlign w:val="center"/>
          </w:tcPr>
          <w:p>
            <w:pPr>
              <w:pStyle w:val="单元格样式2"/>
            </w:pPr>
            <w:r>
              <w:t xml:space="preserve">审计整改台账</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审计报告征求意见</w:t>
            </w:r>
          </w:p>
        </w:tc>
        <w:tc>
          <w:tcPr>
            <w:tcW w:w="5386" w:type="dxa"/>
            <w:vAlign w:val="center"/>
          </w:tcPr>
          <w:p>
            <w:pPr>
              <w:pStyle w:val="单元格样式2"/>
            </w:pPr>
            <w:r>
              <w:t xml:space="preserve">"征求被审计单位对审计报告的意见反馈情况</w:t>
            </w:r>
          </w:p>
          <w:p>
            <w:pPr>
              <w:pStyle w:val="单元格样式2"/>
            </w:pPr>
            <w:r>
              <w:t xml:space="preserve">"</w:t>
            </w:r>
            <w:r>
              <w:tab/>
            </w:r>
          </w:p>
          <w:p>
            <w:pPr>
              <w:pStyle w:val="单元格样式2"/>
            </w:pPr>
          </w:p>
        </w:tc>
        <w:tc>
          <w:tcPr>
            <w:tcW w:w="2268" w:type="dxa"/>
            <w:vAlign w:val="center"/>
          </w:tcPr>
          <w:p>
            <w:pPr>
              <w:pStyle w:val="单元格样式2"/>
            </w:pPr>
            <w:r>
              <w:t xml:space="preserve">≥90百分比</w:t>
            </w:r>
          </w:p>
        </w:tc>
        <w:tc>
          <w:tcPr>
            <w:tcW w:w="1276" w:type="dxa"/>
            <w:vAlign w:val="center"/>
          </w:tcPr>
          <w:p>
            <w:pPr>
              <w:pStyle w:val="单元格样式2"/>
            </w:pPr>
            <w:r>
              <w:t xml:space="preserve">征求意见稿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3、网络运行维护费绩效目标表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13010926P00011310031A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网络运行维护费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网络运行维护费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0.30</w:t>
            </w:r>
          </w:p>
        </w:tc>
        <w:tc>
          <w:tcPr>
            <w:tcW w:w="2835" w:type="dxa"/>
            <w:vAlign w:val="center"/>
          </w:tcPr>
          <w:p>
            <w:pPr>
              <w:pStyle w:val="单元格样式3"/>
            </w:pPr>
            <w:r>
              <w:t xml:space="preserve">3.00</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1.通过网络建设，提高审计效率。</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办公自动化覆盖数</w:t>
            </w:r>
          </w:p>
        </w:tc>
        <w:tc>
          <w:tcPr>
            <w:tcW w:w="5386" w:type="dxa"/>
            <w:vAlign w:val="center"/>
          </w:tcPr>
          <w:p>
            <w:pPr>
              <w:pStyle w:val="单元格样式2"/>
            </w:pPr>
            <w:r>
              <w:t xml:space="preserve">办公自动化实际数量</w:t>
            </w:r>
          </w:p>
        </w:tc>
        <w:tc>
          <w:tcPr>
            <w:tcW w:w="2268" w:type="dxa"/>
            <w:vAlign w:val="center"/>
          </w:tcPr>
          <w:p>
            <w:pPr>
              <w:pStyle w:val="单元格样式2"/>
            </w:pPr>
            <w:r>
              <w:t xml:space="preserve">≥20个</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办公自动化覆盖数</w:t>
            </w:r>
          </w:p>
        </w:tc>
        <w:tc>
          <w:tcPr>
            <w:tcW w:w="5386" w:type="dxa"/>
            <w:vAlign w:val="center"/>
          </w:tcPr>
          <w:p>
            <w:pPr>
              <w:pStyle w:val="单元格样式2"/>
            </w:pPr>
            <w:r>
              <w:t xml:space="preserve">办公自动化覆盖范围占应覆盖范围</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业务处理及时性</w:t>
            </w:r>
          </w:p>
        </w:tc>
        <w:tc>
          <w:tcPr>
            <w:tcW w:w="5386" w:type="dxa"/>
            <w:vAlign w:val="center"/>
          </w:tcPr>
          <w:p>
            <w:pPr>
              <w:pStyle w:val="单元格样式2"/>
            </w:pPr>
            <w:r>
              <w:t xml:space="preserve">及时处理业务数占总处理数的比率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严控预算控制数</w:t>
            </w:r>
          </w:p>
        </w:tc>
        <w:tc>
          <w:tcPr>
            <w:tcW w:w="2268" w:type="dxa"/>
            <w:vAlign w:val="center"/>
          </w:tcPr>
          <w:p>
            <w:pPr>
              <w:pStyle w:val="单元格样式2"/>
            </w:pPr>
            <w:r>
              <w:t xml:space="preserve">≤5万元</w:t>
            </w:r>
          </w:p>
        </w:tc>
        <w:tc>
          <w:tcPr>
            <w:tcW w:w="1276" w:type="dxa"/>
            <w:vAlign w:val="center"/>
          </w:tcPr>
          <w:p>
            <w:pPr>
              <w:pStyle w:val="单元格样式2"/>
            </w:pPr>
            <w:r>
              <w:t xml:space="preserve">年初预算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审计能力提升情况</w:t>
            </w:r>
          </w:p>
        </w:tc>
        <w:tc>
          <w:tcPr>
            <w:tcW w:w="5386" w:type="dxa"/>
            <w:vAlign w:val="center"/>
          </w:tcPr>
          <w:p>
            <w:pPr>
              <w:pStyle w:val="单元格样式2"/>
            </w:pPr>
            <w:r>
              <w:t xml:space="preserve">审计效率提高，维护国家财政经济秩序，促进廉政建设。</w:t>
            </w: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业务人员满意度</w:t>
            </w:r>
          </w:p>
        </w:tc>
        <w:tc>
          <w:tcPr>
            <w:tcW w:w="5386" w:type="dxa"/>
            <w:vAlign w:val="center"/>
          </w:tcPr>
          <w:p>
            <w:pPr>
              <w:pStyle w:val="单元格样式2"/>
            </w:pPr>
            <w:r>
              <w:t xml:space="preserve">通过调查，反映满意的用户数占调查数比例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石家庄市藁城区审计局本级上年末固定资产金额为32.98万元（详见下表）。本年度拟购置固定资产总额为0.00万元，已按要求列入政府采购预算，详见政府采购预算表。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319001石家庄市藁城区审计局本级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32.98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141</w:t>
            </w:r>
          </w:p>
        </w:tc>
        <w:tc>
          <w:tcPr>
            <w:tcW w:w="2835" w:type="dxa"/>
            <w:vAlign w:val="center"/>
          </w:tcPr>
          <w:p>
            <w:pPr>
              <w:pStyle w:val="单元格样式4"/>
            </w:pPr>
            <w:r>
              <w:t xml:space="preserve">32.98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2026-02-28T14:05:45Z</dcterms:created>
  <dcterms:modified xsi:type="dcterms:W3CDTF">2026-02-28T14:05:45Z</dcterms:modified>
</cp:coreProperties>
</file>