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1087.79</w:t>
            </w:r>
          </w:p>
        </w:tc>
        <w:tc>
          <w:tcPr>
            <w:tcW w:w="4535" w:type="dxa"/>
            <w:vAlign w:val="center"/>
          </w:tcPr>
          <w:p>
            <w:pPr>
              <w:pStyle w:val="13"/>
            </w:pPr>
            <w:r>
              <w:t>一、一般公共服务支出</w:t>
            </w:r>
          </w:p>
        </w:tc>
        <w:tc>
          <w:tcPr>
            <w:tcW w:w="2126" w:type="dxa"/>
            <w:vAlign w:val="center"/>
          </w:tcPr>
          <w:p>
            <w:pPr>
              <w:pStyle w:val="12"/>
            </w:pPr>
            <w:r>
              <w:t>876.16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1087.79</w:t>
            </w:r>
          </w:p>
        </w:tc>
        <w:tc>
          <w:tcPr>
            <w:tcW w:w="4535" w:type="dxa"/>
            <w:vAlign w:val="center"/>
          </w:tcPr>
          <w:p>
            <w:pPr>
              <w:pStyle w:val="15"/>
            </w:pPr>
            <w:r>
              <w:t>本年支出合计</w:t>
            </w:r>
          </w:p>
        </w:tc>
        <w:tc>
          <w:tcPr>
            <w:tcW w:w="2126" w:type="dxa"/>
            <w:vAlign w:val="center"/>
          </w:tcPr>
          <w:p>
            <w:pPr>
              <w:pStyle w:val="16"/>
            </w:pPr>
            <w:r>
              <w:t>1087.79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1087.79</w:t>
            </w:r>
          </w:p>
        </w:tc>
        <w:tc>
          <w:tcPr>
            <w:tcW w:w="4535" w:type="dxa"/>
            <w:vAlign w:val="center"/>
          </w:tcPr>
          <w:p>
            <w:pPr>
              <w:pStyle w:val="15"/>
            </w:pPr>
            <w:r>
              <w:t>支出总计</w:t>
            </w:r>
          </w:p>
        </w:tc>
        <w:tc>
          <w:tcPr>
            <w:tcW w:w="2126" w:type="dxa"/>
            <w:vAlign w:val="center"/>
          </w:tcPr>
          <w:p>
            <w:pPr>
              <w:pStyle w:val="16"/>
            </w:pPr>
            <w:r>
              <w:t>1087.79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1087.79</w:t>
            </w:r>
          </w:p>
        </w:tc>
        <w:tc>
          <w:tcPr>
            <w:tcW w:w="1134" w:type="dxa"/>
            <w:vAlign w:val="center"/>
          </w:tcPr>
          <w:p>
            <w:pPr>
              <w:pStyle w:val="16"/>
            </w:pPr>
            <w:r>
              <w:t>1087.79</w:t>
            </w:r>
          </w:p>
        </w:tc>
        <w:tc>
          <w:tcPr>
            <w:tcW w:w="1134" w:type="dxa"/>
            <w:vAlign w:val="center"/>
          </w:tcPr>
          <w:p>
            <w:pPr>
              <w:pStyle w:val="16"/>
            </w:pPr>
            <w:r>
              <w:t>1087.79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876.16</w:t>
            </w:r>
          </w:p>
        </w:tc>
        <w:tc>
          <w:tcPr>
            <w:tcW w:w="1134" w:type="dxa"/>
            <w:vAlign w:val="center"/>
          </w:tcPr>
          <w:p>
            <w:pPr>
              <w:pStyle w:val="12"/>
            </w:pPr>
            <w:r>
              <w:t>876.16</w:t>
            </w:r>
          </w:p>
        </w:tc>
        <w:tc>
          <w:tcPr>
            <w:tcW w:w="1134" w:type="dxa"/>
            <w:vAlign w:val="center"/>
          </w:tcPr>
          <w:p>
            <w:pPr>
              <w:pStyle w:val="12"/>
            </w:pPr>
            <w:r>
              <w:t>876.16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876.16</w:t>
            </w:r>
          </w:p>
        </w:tc>
        <w:tc>
          <w:tcPr>
            <w:tcW w:w="1134" w:type="dxa"/>
            <w:vAlign w:val="center"/>
          </w:tcPr>
          <w:p>
            <w:pPr>
              <w:pStyle w:val="12"/>
            </w:pPr>
            <w:r>
              <w:t>876.16</w:t>
            </w:r>
          </w:p>
        </w:tc>
        <w:tc>
          <w:tcPr>
            <w:tcW w:w="1134" w:type="dxa"/>
            <w:vAlign w:val="center"/>
          </w:tcPr>
          <w:p>
            <w:pPr>
              <w:pStyle w:val="12"/>
            </w:pPr>
            <w:r>
              <w:t>876.16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766.16</w:t>
            </w:r>
          </w:p>
        </w:tc>
        <w:tc>
          <w:tcPr>
            <w:tcW w:w="1134" w:type="dxa"/>
            <w:vAlign w:val="center"/>
          </w:tcPr>
          <w:p>
            <w:pPr>
              <w:pStyle w:val="12"/>
            </w:pPr>
            <w:r>
              <w:t>766.16</w:t>
            </w:r>
          </w:p>
        </w:tc>
        <w:tc>
          <w:tcPr>
            <w:tcW w:w="1134" w:type="dxa"/>
            <w:vAlign w:val="center"/>
          </w:tcPr>
          <w:p>
            <w:pPr>
              <w:pStyle w:val="12"/>
            </w:pPr>
            <w:r>
              <w:t>766.16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116.25</w:t>
            </w:r>
          </w:p>
        </w:tc>
        <w:tc>
          <w:tcPr>
            <w:tcW w:w="1134" w:type="dxa"/>
            <w:vAlign w:val="center"/>
          </w:tcPr>
          <w:p>
            <w:pPr>
              <w:pStyle w:val="12"/>
            </w:pPr>
            <w:r>
              <w:t>116.25</w:t>
            </w:r>
          </w:p>
        </w:tc>
        <w:tc>
          <w:tcPr>
            <w:tcW w:w="1134" w:type="dxa"/>
            <w:vAlign w:val="center"/>
          </w:tcPr>
          <w:p>
            <w:pPr>
              <w:pStyle w:val="12"/>
            </w:pPr>
            <w:r>
              <w:t>116.25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116.25</w:t>
            </w:r>
          </w:p>
        </w:tc>
        <w:tc>
          <w:tcPr>
            <w:tcW w:w="1134" w:type="dxa"/>
            <w:vAlign w:val="center"/>
          </w:tcPr>
          <w:p>
            <w:pPr>
              <w:pStyle w:val="12"/>
            </w:pPr>
            <w:r>
              <w:t>116.25</w:t>
            </w:r>
          </w:p>
        </w:tc>
        <w:tc>
          <w:tcPr>
            <w:tcW w:w="1134" w:type="dxa"/>
            <w:vAlign w:val="center"/>
          </w:tcPr>
          <w:p>
            <w:pPr>
              <w:pStyle w:val="12"/>
            </w:pPr>
            <w:r>
              <w:t>116.25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78.01</w:t>
            </w:r>
          </w:p>
        </w:tc>
        <w:tc>
          <w:tcPr>
            <w:tcW w:w="1134" w:type="dxa"/>
            <w:vAlign w:val="center"/>
          </w:tcPr>
          <w:p>
            <w:pPr>
              <w:pStyle w:val="12"/>
            </w:pPr>
            <w:r>
              <w:t>78.01</w:t>
            </w:r>
          </w:p>
        </w:tc>
        <w:tc>
          <w:tcPr>
            <w:tcW w:w="1134" w:type="dxa"/>
            <w:vAlign w:val="center"/>
          </w:tcPr>
          <w:p>
            <w:pPr>
              <w:pStyle w:val="12"/>
            </w:pPr>
            <w:r>
              <w:t>78.01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r>
              <w:t>38.24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26.84</w:t>
            </w:r>
          </w:p>
        </w:tc>
        <w:tc>
          <w:tcPr>
            <w:tcW w:w="1134" w:type="dxa"/>
            <w:vAlign w:val="center"/>
          </w:tcPr>
          <w:p>
            <w:pPr>
              <w:pStyle w:val="12"/>
            </w:pPr>
            <w:r>
              <w:t>26.84</w:t>
            </w:r>
          </w:p>
        </w:tc>
        <w:tc>
          <w:tcPr>
            <w:tcW w:w="1134" w:type="dxa"/>
            <w:vAlign w:val="center"/>
          </w:tcPr>
          <w:p>
            <w:pPr>
              <w:pStyle w:val="12"/>
            </w:pPr>
            <w:r>
              <w:t>26.84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11.18</w:t>
            </w:r>
          </w:p>
        </w:tc>
        <w:tc>
          <w:tcPr>
            <w:tcW w:w="1134" w:type="dxa"/>
            <w:vAlign w:val="center"/>
          </w:tcPr>
          <w:p>
            <w:pPr>
              <w:pStyle w:val="12"/>
            </w:pPr>
            <w:r>
              <w:t>11.18</w:t>
            </w:r>
          </w:p>
        </w:tc>
        <w:tc>
          <w:tcPr>
            <w:tcW w:w="1134" w:type="dxa"/>
            <w:vAlign w:val="center"/>
          </w:tcPr>
          <w:p>
            <w:pPr>
              <w:pStyle w:val="12"/>
            </w:pPr>
            <w:r>
              <w:t>11.18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r>
              <w:t>57.36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1087.79</w:t>
            </w:r>
          </w:p>
        </w:tc>
        <w:tc>
          <w:tcPr>
            <w:tcW w:w="1361" w:type="dxa"/>
            <w:vAlign w:val="center"/>
          </w:tcPr>
          <w:p>
            <w:pPr>
              <w:pStyle w:val="16"/>
            </w:pPr>
            <w:r>
              <w:t>977.79</w:t>
            </w:r>
          </w:p>
        </w:tc>
        <w:tc>
          <w:tcPr>
            <w:tcW w:w="1361" w:type="dxa"/>
            <w:vAlign w:val="center"/>
          </w:tcPr>
          <w:p>
            <w:pPr>
              <w:pStyle w:val="16"/>
            </w:pPr>
            <w:r>
              <w:t>110.00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876.16</w:t>
            </w:r>
          </w:p>
        </w:tc>
        <w:tc>
          <w:tcPr>
            <w:tcW w:w="1361" w:type="dxa"/>
            <w:vAlign w:val="center"/>
          </w:tcPr>
          <w:p>
            <w:pPr>
              <w:pStyle w:val="12"/>
            </w:pPr>
            <w:r>
              <w:t>766.16</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876.16</w:t>
            </w:r>
          </w:p>
        </w:tc>
        <w:tc>
          <w:tcPr>
            <w:tcW w:w="1361" w:type="dxa"/>
            <w:vAlign w:val="center"/>
          </w:tcPr>
          <w:p>
            <w:pPr>
              <w:pStyle w:val="12"/>
            </w:pPr>
            <w:r>
              <w:t>766.16</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766.16</w:t>
            </w:r>
          </w:p>
        </w:tc>
        <w:tc>
          <w:tcPr>
            <w:tcW w:w="1361" w:type="dxa"/>
            <w:vAlign w:val="center"/>
          </w:tcPr>
          <w:p>
            <w:pPr>
              <w:pStyle w:val="12"/>
            </w:pPr>
            <w:r>
              <w:t>766.16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116.25</w:t>
            </w:r>
          </w:p>
        </w:tc>
        <w:tc>
          <w:tcPr>
            <w:tcW w:w="1361" w:type="dxa"/>
            <w:vAlign w:val="center"/>
          </w:tcPr>
          <w:p>
            <w:pPr>
              <w:pStyle w:val="12"/>
            </w:pPr>
            <w:r>
              <w:t>116.25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116.25</w:t>
            </w:r>
          </w:p>
        </w:tc>
        <w:tc>
          <w:tcPr>
            <w:tcW w:w="1361" w:type="dxa"/>
            <w:vAlign w:val="center"/>
          </w:tcPr>
          <w:p>
            <w:pPr>
              <w:pStyle w:val="12"/>
            </w:pPr>
            <w:r>
              <w:t>116.25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78.01</w:t>
            </w:r>
          </w:p>
        </w:tc>
        <w:tc>
          <w:tcPr>
            <w:tcW w:w="1361" w:type="dxa"/>
            <w:vAlign w:val="center"/>
          </w:tcPr>
          <w:p>
            <w:pPr>
              <w:pStyle w:val="12"/>
            </w:pPr>
            <w:r>
              <w:t>78.01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38.24</w:t>
            </w:r>
          </w:p>
        </w:tc>
        <w:tc>
          <w:tcPr>
            <w:tcW w:w="1361" w:type="dxa"/>
            <w:vAlign w:val="center"/>
          </w:tcPr>
          <w:p>
            <w:pPr>
              <w:pStyle w:val="12"/>
            </w:pPr>
            <w:r>
              <w:t>38.24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38.02</w:t>
            </w:r>
          </w:p>
        </w:tc>
        <w:tc>
          <w:tcPr>
            <w:tcW w:w="1361" w:type="dxa"/>
            <w:vAlign w:val="center"/>
          </w:tcPr>
          <w:p>
            <w:pPr>
              <w:pStyle w:val="12"/>
            </w:pPr>
            <w:r>
              <w:t>38.02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38.02</w:t>
            </w:r>
          </w:p>
        </w:tc>
        <w:tc>
          <w:tcPr>
            <w:tcW w:w="1361" w:type="dxa"/>
            <w:vAlign w:val="center"/>
          </w:tcPr>
          <w:p>
            <w:pPr>
              <w:pStyle w:val="12"/>
            </w:pPr>
            <w:r>
              <w:t>38.02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26.84</w:t>
            </w:r>
          </w:p>
        </w:tc>
        <w:tc>
          <w:tcPr>
            <w:tcW w:w="1361" w:type="dxa"/>
            <w:vAlign w:val="center"/>
          </w:tcPr>
          <w:p>
            <w:pPr>
              <w:pStyle w:val="12"/>
            </w:pPr>
            <w:r>
              <w:t>26.84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11.18</w:t>
            </w:r>
          </w:p>
        </w:tc>
        <w:tc>
          <w:tcPr>
            <w:tcW w:w="1361" w:type="dxa"/>
            <w:vAlign w:val="center"/>
          </w:tcPr>
          <w:p>
            <w:pPr>
              <w:pStyle w:val="12"/>
            </w:pPr>
            <w:r>
              <w:t>11.18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57.36</w:t>
            </w:r>
          </w:p>
        </w:tc>
        <w:tc>
          <w:tcPr>
            <w:tcW w:w="1361" w:type="dxa"/>
            <w:vAlign w:val="center"/>
          </w:tcPr>
          <w:p>
            <w:pPr>
              <w:pStyle w:val="12"/>
            </w:pPr>
            <w:r>
              <w:t>57.36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57.36</w:t>
            </w:r>
          </w:p>
        </w:tc>
        <w:tc>
          <w:tcPr>
            <w:tcW w:w="1361" w:type="dxa"/>
            <w:vAlign w:val="center"/>
          </w:tcPr>
          <w:p>
            <w:pPr>
              <w:pStyle w:val="12"/>
            </w:pPr>
            <w:r>
              <w:t>57.36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57.36</w:t>
            </w:r>
          </w:p>
        </w:tc>
        <w:tc>
          <w:tcPr>
            <w:tcW w:w="1361" w:type="dxa"/>
            <w:vAlign w:val="center"/>
          </w:tcPr>
          <w:p>
            <w:pPr>
              <w:pStyle w:val="12"/>
            </w:pPr>
            <w:r>
              <w:t>57.36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1087.79</w:t>
            </w:r>
          </w:p>
        </w:tc>
        <w:tc>
          <w:tcPr>
            <w:tcW w:w="3402" w:type="dxa"/>
            <w:vAlign w:val="center"/>
          </w:tcPr>
          <w:p>
            <w:pPr>
              <w:pStyle w:val="13"/>
            </w:pPr>
            <w:r>
              <w:t>一、一般公共服务支出</w:t>
            </w:r>
          </w:p>
        </w:tc>
        <w:tc>
          <w:tcPr>
            <w:tcW w:w="1474" w:type="dxa"/>
            <w:vAlign w:val="center"/>
          </w:tcPr>
          <w:p>
            <w:pPr>
              <w:pStyle w:val="12"/>
            </w:pPr>
            <w:r>
              <w:t>876.16</w:t>
            </w:r>
          </w:p>
        </w:tc>
        <w:tc>
          <w:tcPr>
            <w:tcW w:w="1474" w:type="dxa"/>
            <w:vAlign w:val="center"/>
          </w:tcPr>
          <w:p>
            <w:pPr>
              <w:pStyle w:val="12"/>
            </w:pPr>
            <w:r>
              <w:t>876.16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116.25</w:t>
            </w:r>
          </w:p>
        </w:tc>
        <w:tc>
          <w:tcPr>
            <w:tcW w:w="1474" w:type="dxa"/>
            <w:vAlign w:val="center"/>
          </w:tcPr>
          <w:p>
            <w:pPr>
              <w:pStyle w:val="12"/>
            </w:pPr>
            <w:r>
              <w:t>116.25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38.02</w:t>
            </w:r>
          </w:p>
        </w:tc>
        <w:tc>
          <w:tcPr>
            <w:tcW w:w="1474" w:type="dxa"/>
            <w:vAlign w:val="center"/>
          </w:tcPr>
          <w:p>
            <w:pPr>
              <w:pStyle w:val="12"/>
            </w:pPr>
            <w:r>
              <w:t>38.02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57.36</w:t>
            </w:r>
          </w:p>
        </w:tc>
        <w:tc>
          <w:tcPr>
            <w:tcW w:w="1474" w:type="dxa"/>
            <w:vAlign w:val="center"/>
          </w:tcPr>
          <w:p>
            <w:pPr>
              <w:pStyle w:val="12"/>
            </w:pPr>
            <w:r>
              <w:t>57.36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1087.79</w:t>
            </w:r>
          </w:p>
        </w:tc>
        <w:tc>
          <w:tcPr>
            <w:tcW w:w="3402" w:type="dxa"/>
            <w:vAlign w:val="center"/>
          </w:tcPr>
          <w:p>
            <w:pPr>
              <w:pStyle w:val="15"/>
            </w:pPr>
            <w:r>
              <w:t>本年支出合计</w:t>
            </w:r>
          </w:p>
        </w:tc>
        <w:tc>
          <w:tcPr>
            <w:tcW w:w="1474" w:type="dxa"/>
            <w:vAlign w:val="center"/>
          </w:tcPr>
          <w:p>
            <w:pPr>
              <w:pStyle w:val="16"/>
            </w:pPr>
            <w:r>
              <w:t>1087.79</w:t>
            </w:r>
          </w:p>
        </w:tc>
        <w:tc>
          <w:tcPr>
            <w:tcW w:w="1474" w:type="dxa"/>
            <w:vAlign w:val="center"/>
          </w:tcPr>
          <w:p>
            <w:pPr>
              <w:pStyle w:val="16"/>
            </w:pPr>
            <w:r>
              <w:t>1087.79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1087.79</w:t>
            </w:r>
          </w:p>
        </w:tc>
        <w:tc>
          <w:tcPr>
            <w:tcW w:w="3402" w:type="dxa"/>
            <w:vAlign w:val="center"/>
          </w:tcPr>
          <w:p>
            <w:pPr>
              <w:pStyle w:val="15"/>
            </w:pPr>
            <w:r>
              <w:t>支出总计</w:t>
            </w:r>
          </w:p>
        </w:tc>
        <w:tc>
          <w:tcPr>
            <w:tcW w:w="1474" w:type="dxa"/>
            <w:vAlign w:val="center"/>
          </w:tcPr>
          <w:p>
            <w:pPr>
              <w:pStyle w:val="16"/>
            </w:pPr>
            <w:r>
              <w:t>1087.79</w:t>
            </w:r>
          </w:p>
        </w:tc>
        <w:tc>
          <w:tcPr>
            <w:tcW w:w="1474" w:type="dxa"/>
            <w:vAlign w:val="center"/>
          </w:tcPr>
          <w:p>
            <w:pPr>
              <w:pStyle w:val="16"/>
            </w:pPr>
            <w:r>
              <w:t>1087.79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1087.79</w:t>
            </w:r>
          </w:p>
        </w:tc>
        <w:tc>
          <w:tcPr>
            <w:tcW w:w="2551" w:type="dxa"/>
            <w:vAlign w:val="center"/>
          </w:tcPr>
          <w:p>
            <w:pPr>
              <w:pStyle w:val="16"/>
            </w:pPr>
            <w:r>
              <w:t>977.79</w:t>
            </w:r>
          </w:p>
        </w:tc>
        <w:tc>
          <w:tcPr>
            <w:tcW w:w="2551" w:type="dxa"/>
            <w:vAlign w:val="center"/>
          </w:tcPr>
          <w:p>
            <w:pPr>
              <w:pStyle w:val="16"/>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876.16</w:t>
            </w:r>
          </w:p>
        </w:tc>
        <w:tc>
          <w:tcPr>
            <w:tcW w:w="2551" w:type="dxa"/>
            <w:vAlign w:val="center"/>
          </w:tcPr>
          <w:p>
            <w:pPr>
              <w:pStyle w:val="12"/>
            </w:pPr>
            <w:r>
              <w:t>766.16</w:t>
            </w: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876.16</w:t>
            </w:r>
          </w:p>
        </w:tc>
        <w:tc>
          <w:tcPr>
            <w:tcW w:w="2551" w:type="dxa"/>
            <w:vAlign w:val="center"/>
          </w:tcPr>
          <w:p>
            <w:pPr>
              <w:pStyle w:val="12"/>
            </w:pPr>
            <w:r>
              <w:t>766.16</w:t>
            </w: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766.16</w:t>
            </w:r>
          </w:p>
        </w:tc>
        <w:tc>
          <w:tcPr>
            <w:tcW w:w="2551" w:type="dxa"/>
            <w:vAlign w:val="center"/>
          </w:tcPr>
          <w:p>
            <w:pPr>
              <w:pStyle w:val="12"/>
            </w:pPr>
            <w:r>
              <w:t>766.16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116.25</w:t>
            </w:r>
          </w:p>
        </w:tc>
        <w:tc>
          <w:tcPr>
            <w:tcW w:w="2551" w:type="dxa"/>
            <w:vAlign w:val="center"/>
          </w:tcPr>
          <w:p>
            <w:pPr>
              <w:pStyle w:val="12"/>
            </w:pPr>
            <w:r>
              <w:t>116.25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116.25</w:t>
            </w:r>
          </w:p>
        </w:tc>
        <w:tc>
          <w:tcPr>
            <w:tcW w:w="2551" w:type="dxa"/>
            <w:vAlign w:val="center"/>
          </w:tcPr>
          <w:p>
            <w:pPr>
              <w:pStyle w:val="12"/>
            </w:pPr>
            <w:r>
              <w:t>116.25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78.01</w:t>
            </w:r>
          </w:p>
        </w:tc>
        <w:tc>
          <w:tcPr>
            <w:tcW w:w="2551" w:type="dxa"/>
            <w:vAlign w:val="center"/>
          </w:tcPr>
          <w:p>
            <w:pPr>
              <w:pStyle w:val="12"/>
            </w:pPr>
            <w:r>
              <w:t>78.01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38.02</w:t>
            </w:r>
          </w:p>
        </w:tc>
        <w:tc>
          <w:tcPr>
            <w:tcW w:w="2551" w:type="dxa"/>
            <w:vAlign w:val="center"/>
          </w:tcPr>
          <w:p>
            <w:pPr>
              <w:pStyle w:val="12"/>
            </w:pPr>
            <w:r>
              <w:t>38.02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38.02</w:t>
            </w:r>
          </w:p>
        </w:tc>
        <w:tc>
          <w:tcPr>
            <w:tcW w:w="2551" w:type="dxa"/>
            <w:vAlign w:val="center"/>
          </w:tcPr>
          <w:p>
            <w:pPr>
              <w:pStyle w:val="12"/>
            </w:pPr>
            <w:r>
              <w:t>38.02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26.84</w:t>
            </w:r>
          </w:p>
        </w:tc>
        <w:tc>
          <w:tcPr>
            <w:tcW w:w="2551" w:type="dxa"/>
            <w:vAlign w:val="center"/>
          </w:tcPr>
          <w:p>
            <w:pPr>
              <w:pStyle w:val="12"/>
            </w:pPr>
            <w:r>
              <w:t>26.84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11.18</w:t>
            </w:r>
          </w:p>
        </w:tc>
        <w:tc>
          <w:tcPr>
            <w:tcW w:w="2551" w:type="dxa"/>
            <w:vAlign w:val="center"/>
          </w:tcPr>
          <w:p>
            <w:pPr>
              <w:pStyle w:val="12"/>
            </w:pPr>
            <w:r>
              <w:t>11.18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977.79</w:t>
            </w:r>
          </w:p>
        </w:tc>
        <w:tc>
          <w:tcPr>
            <w:tcW w:w="2551" w:type="dxa"/>
            <w:vAlign w:val="center"/>
          </w:tcPr>
          <w:p>
            <w:pPr>
              <w:pStyle w:val="16"/>
            </w:pPr>
            <w:r>
              <w:t>828.06</w:t>
            </w:r>
          </w:p>
        </w:tc>
        <w:tc>
          <w:tcPr>
            <w:tcW w:w="2551" w:type="dxa"/>
            <w:vAlign w:val="center"/>
          </w:tcPr>
          <w:p>
            <w:pPr>
              <w:pStyle w:val="16"/>
            </w:pPr>
            <w:r>
              <w:t>149.73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757.86</w:t>
            </w:r>
          </w:p>
        </w:tc>
        <w:tc>
          <w:tcPr>
            <w:tcW w:w="2551" w:type="dxa"/>
            <w:vAlign w:val="center"/>
          </w:tcPr>
          <w:p>
            <w:pPr>
              <w:pStyle w:val="12"/>
            </w:pPr>
            <w:r>
              <w:t>757.86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231.16</w:t>
            </w:r>
          </w:p>
        </w:tc>
        <w:tc>
          <w:tcPr>
            <w:tcW w:w="2551" w:type="dxa"/>
            <w:vAlign w:val="center"/>
          </w:tcPr>
          <w:p>
            <w:pPr>
              <w:pStyle w:val="12"/>
            </w:pPr>
            <w:r>
              <w:t>231.16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110.19</w:t>
            </w:r>
          </w:p>
        </w:tc>
        <w:tc>
          <w:tcPr>
            <w:tcW w:w="2551" w:type="dxa"/>
            <w:vAlign w:val="center"/>
          </w:tcPr>
          <w:p>
            <w:pPr>
              <w:pStyle w:val="12"/>
            </w:pPr>
            <w:r>
              <w:t>110.19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136.94</w:t>
            </w:r>
          </w:p>
        </w:tc>
        <w:tc>
          <w:tcPr>
            <w:tcW w:w="2551" w:type="dxa"/>
            <w:vAlign w:val="center"/>
          </w:tcPr>
          <w:p>
            <w:pPr>
              <w:pStyle w:val="12"/>
            </w:pPr>
            <w:r>
              <w:t>136.94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63.33</w:t>
            </w:r>
          </w:p>
        </w:tc>
        <w:tc>
          <w:tcPr>
            <w:tcW w:w="2551" w:type="dxa"/>
            <w:vAlign w:val="center"/>
          </w:tcPr>
          <w:p>
            <w:pPr>
              <w:pStyle w:val="12"/>
            </w:pPr>
            <w:r>
              <w:t>63.33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78.01</w:t>
            </w:r>
          </w:p>
        </w:tc>
        <w:tc>
          <w:tcPr>
            <w:tcW w:w="2551" w:type="dxa"/>
            <w:vAlign w:val="center"/>
          </w:tcPr>
          <w:p>
            <w:pPr>
              <w:pStyle w:val="12"/>
            </w:pPr>
            <w:r>
              <w:t>78.01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26.84</w:t>
            </w:r>
          </w:p>
        </w:tc>
        <w:tc>
          <w:tcPr>
            <w:tcW w:w="2551" w:type="dxa"/>
            <w:vAlign w:val="center"/>
          </w:tcPr>
          <w:p>
            <w:pPr>
              <w:pStyle w:val="12"/>
            </w:pPr>
            <w:r>
              <w:t>26.84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11.18</w:t>
            </w:r>
          </w:p>
        </w:tc>
        <w:tc>
          <w:tcPr>
            <w:tcW w:w="2551" w:type="dxa"/>
            <w:vAlign w:val="center"/>
          </w:tcPr>
          <w:p>
            <w:pPr>
              <w:pStyle w:val="12"/>
            </w:pPr>
            <w:r>
              <w:t>11.18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4.61</w:t>
            </w:r>
          </w:p>
        </w:tc>
        <w:tc>
          <w:tcPr>
            <w:tcW w:w="2551" w:type="dxa"/>
            <w:vAlign w:val="center"/>
          </w:tcPr>
          <w:p>
            <w:pPr>
              <w:pStyle w:val="12"/>
            </w:pPr>
            <w:r>
              <w:t>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57.36</w:t>
            </w:r>
          </w:p>
        </w:tc>
        <w:tc>
          <w:tcPr>
            <w:tcW w:w="2551" w:type="dxa"/>
            <w:vAlign w:val="center"/>
          </w:tcPr>
          <w:p>
            <w:pPr>
              <w:pStyle w:val="12"/>
            </w:pPr>
            <w:r>
              <w:t>57.36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149.73</w:t>
            </w:r>
          </w:p>
        </w:tc>
        <w:tc>
          <w:tcPr>
            <w:tcW w:w="2551" w:type="dxa"/>
            <w:vAlign w:val="center"/>
          </w:tcPr>
          <w:p>
            <w:pPr>
              <w:pStyle w:val="12"/>
            </w:pPr>
          </w:p>
        </w:tc>
        <w:tc>
          <w:tcPr>
            <w:tcW w:w="2551" w:type="dxa"/>
            <w:vAlign w:val="center"/>
          </w:tcPr>
          <w:p>
            <w:pPr>
              <w:pStyle w:val="12"/>
            </w:pPr>
            <w:r>
              <w:t>149.73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23.10</w:t>
            </w:r>
          </w:p>
        </w:tc>
        <w:tc>
          <w:tcPr>
            <w:tcW w:w="2551" w:type="dxa"/>
            <w:vAlign w:val="center"/>
          </w:tcPr>
          <w:p>
            <w:pPr>
              <w:pStyle w:val="12"/>
            </w:pPr>
          </w:p>
        </w:tc>
        <w:tc>
          <w:tcPr>
            <w:tcW w:w="2551" w:type="dxa"/>
            <w:vAlign w:val="center"/>
          </w:tcPr>
          <w:p>
            <w:pPr>
              <w:pStyle w:val="12"/>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28.21</w:t>
            </w:r>
          </w:p>
        </w:tc>
        <w:tc>
          <w:tcPr>
            <w:tcW w:w="2551" w:type="dxa"/>
            <w:vAlign w:val="center"/>
          </w:tcPr>
          <w:p>
            <w:pPr>
              <w:pStyle w:val="12"/>
            </w:pPr>
          </w:p>
        </w:tc>
        <w:tc>
          <w:tcPr>
            <w:tcW w:w="2551" w:type="dxa"/>
            <w:vAlign w:val="center"/>
          </w:tcPr>
          <w:p>
            <w:pPr>
              <w:pStyle w:val="12"/>
            </w:pPr>
            <w:r>
              <w:t>28.21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30212</w:t>
            </w:r>
          </w:p>
        </w:tc>
        <w:tc>
          <w:tcPr>
            <w:tcW w:w="4535" w:type="dxa"/>
            <w:vAlign w:val="center"/>
          </w:tcPr>
          <w:p>
            <w:pPr>
              <w:pStyle w:val="13"/>
            </w:pPr>
            <w:r>
              <w:t>因公出国（境）费用</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3021202</w:t>
            </w:r>
          </w:p>
        </w:tc>
        <w:tc>
          <w:tcPr>
            <w:tcW w:w="4535" w:type="dxa"/>
            <w:vAlign w:val="center"/>
          </w:tcPr>
          <w:p>
            <w:pPr>
              <w:pStyle w:val="13"/>
            </w:pPr>
            <w:r>
              <w:t>其他因公出国（境）费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31.30</w:t>
            </w:r>
          </w:p>
        </w:tc>
        <w:tc>
          <w:tcPr>
            <w:tcW w:w="2551" w:type="dxa"/>
            <w:vAlign w:val="center"/>
          </w:tcPr>
          <w:p>
            <w:pPr>
              <w:pStyle w:val="12"/>
            </w:pPr>
          </w:p>
        </w:tc>
        <w:tc>
          <w:tcPr>
            <w:tcW w:w="2551" w:type="dxa"/>
            <w:vAlign w:val="center"/>
          </w:tcPr>
          <w:p>
            <w:pPr>
              <w:pStyle w:val="12"/>
            </w:pPr>
            <w:r>
              <w:t>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5.28</w:t>
            </w:r>
          </w:p>
        </w:tc>
        <w:tc>
          <w:tcPr>
            <w:tcW w:w="2551" w:type="dxa"/>
            <w:vAlign w:val="center"/>
          </w:tcPr>
          <w:p>
            <w:pPr>
              <w:pStyle w:val="12"/>
            </w:pPr>
          </w:p>
        </w:tc>
        <w:tc>
          <w:tcPr>
            <w:tcW w:w="2551" w:type="dxa"/>
            <w:vAlign w:val="center"/>
          </w:tcPr>
          <w:p>
            <w:pPr>
              <w:pStyle w:val="12"/>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17.60</w:t>
            </w:r>
          </w:p>
        </w:tc>
        <w:tc>
          <w:tcPr>
            <w:tcW w:w="2551" w:type="dxa"/>
            <w:vAlign w:val="center"/>
          </w:tcPr>
          <w:p>
            <w:pPr>
              <w:pStyle w:val="12"/>
            </w:pPr>
          </w:p>
        </w:tc>
        <w:tc>
          <w:tcPr>
            <w:tcW w:w="2551" w:type="dxa"/>
            <w:vAlign w:val="center"/>
          </w:tcPr>
          <w:p>
            <w:pPr>
              <w:pStyle w:val="12"/>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24.13</w:t>
            </w:r>
          </w:p>
        </w:tc>
        <w:tc>
          <w:tcPr>
            <w:tcW w:w="2551" w:type="dxa"/>
            <w:vAlign w:val="center"/>
          </w:tcPr>
          <w:p>
            <w:pPr>
              <w:pStyle w:val="12"/>
            </w:pPr>
          </w:p>
        </w:tc>
        <w:tc>
          <w:tcPr>
            <w:tcW w:w="2551" w:type="dxa"/>
            <w:vAlign w:val="center"/>
          </w:tcPr>
          <w:p>
            <w:pPr>
              <w:pStyle w:val="12"/>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2.11</w:t>
            </w:r>
          </w:p>
        </w:tc>
        <w:tc>
          <w:tcPr>
            <w:tcW w:w="2551" w:type="dxa"/>
            <w:vAlign w:val="center"/>
          </w:tcPr>
          <w:p>
            <w:pPr>
              <w:pStyle w:val="12"/>
            </w:pPr>
          </w:p>
        </w:tc>
        <w:tc>
          <w:tcPr>
            <w:tcW w:w="2551"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70.19</w:t>
            </w:r>
          </w:p>
        </w:tc>
        <w:tc>
          <w:tcPr>
            <w:tcW w:w="2551" w:type="dxa"/>
            <w:vAlign w:val="center"/>
          </w:tcPr>
          <w:p>
            <w:pPr>
              <w:pStyle w:val="12"/>
            </w:pPr>
            <w:r>
              <w:t>70.19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69.13</w:t>
            </w:r>
          </w:p>
        </w:tc>
        <w:tc>
          <w:tcPr>
            <w:tcW w:w="2551" w:type="dxa"/>
            <w:vAlign w:val="center"/>
          </w:tcPr>
          <w:p>
            <w:pPr>
              <w:pStyle w:val="12"/>
            </w:pPr>
            <w:r>
              <w:t>69.13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1.07</w:t>
            </w:r>
          </w:p>
        </w:tc>
        <w:tc>
          <w:tcPr>
            <w:tcW w:w="2551" w:type="dxa"/>
            <w:vAlign w:val="center"/>
          </w:tcPr>
          <w:p>
            <w:pPr>
              <w:pStyle w:val="12"/>
            </w:pPr>
            <w:r>
              <w:t>1.07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35.60</w:t>
            </w:r>
          </w:p>
        </w:tc>
        <w:tc>
          <w:tcPr>
            <w:tcW w:w="2381" w:type="dxa"/>
            <w:vAlign w:val="center"/>
          </w:tcPr>
          <w:p>
            <w:pPr>
              <w:pStyle w:val="16"/>
            </w:pPr>
            <w:r>
              <w:t>35.60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35.60</w:t>
            </w:r>
          </w:p>
        </w:tc>
        <w:tc>
          <w:tcPr>
            <w:tcW w:w="2381" w:type="dxa"/>
            <w:vAlign w:val="center"/>
          </w:tcPr>
          <w:p>
            <w:pPr>
              <w:pStyle w:val="12"/>
            </w:pPr>
            <w:r>
              <w:t>35.60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r>
              <w:t>18.00</w:t>
            </w:r>
          </w:p>
        </w:tc>
        <w:tc>
          <w:tcPr>
            <w:tcW w:w="2381" w:type="dxa"/>
            <w:vAlign w:val="center"/>
          </w:tcPr>
          <w:p>
            <w:pPr>
              <w:pStyle w:val="12"/>
            </w:pPr>
            <w:r>
              <w:t>18.00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r>
              <w:t>18.00</w:t>
            </w:r>
          </w:p>
        </w:tc>
        <w:tc>
          <w:tcPr>
            <w:tcW w:w="2381" w:type="dxa"/>
            <w:vAlign w:val="center"/>
          </w:tcPr>
          <w:p>
            <w:pPr>
              <w:pStyle w:val="12"/>
            </w:pPr>
            <w:r>
              <w:t>18.00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17.60</w:t>
            </w:r>
          </w:p>
        </w:tc>
        <w:tc>
          <w:tcPr>
            <w:tcW w:w="2381" w:type="dxa"/>
            <w:vAlign w:val="center"/>
          </w:tcPr>
          <w:p>
            <w:pPr>
              <w:pStyle w:val="12"/>
            </w:pPr>
            <w:r>
              <w:t>17.60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17.60</w:t>
            </w:r>
          </w:p>
        </w:tc>
        <w:tc>
          <w:tcPr>
            <w:tcW w:w="2381" w:type="dxa"/>
            <w:vAlign w:val="center"/>
          </w:tcPr>
          <w:p>
            <w:pPr>
              <w:pStyle w:val="12"/>
            </w:pPr>
            <w:r>
              <w:t>17.60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中国共产党石家庄市藁城区委员会办公室本级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按照预算管理有关规定，目前部门预算的编制实行综合预算管理，即全部收入和支出都反映在预算中。中国共产党石家庄市藁城区委员会办公室机关及所属事业单位的收支包含在部门预算中。</w:t>
      </w:r>
    </w:p>
    <w:p>
      <w:pPr>
        <w:pStyle w:val="19"/>
      </w:pPr>
      <w:r>
        <w:t>1、收入说明</w:t>
      </w:r>
    </w:p>
    <w:p>
      <w:pPr>
        <w:pStyle w:val="19"/>
        <w:jc w:val="both"/>
      </w:pPr>
      <w:r>
        <w:t>反映本部门当年全部收入。2026年预算收入1087.79万元，其中：一般公共预算收入1087.79万元，基金预算收入0.00万元，国有资本经营预算收入0.00万元，财政专户核拨收入0.00万元，单位资金收入0.00万元，上年结转结余0.00万元。</w:t>
      </w:r>
    </w:p>
    <w:p>
      <w:pPr>
        <w:pStyle w:val="19"/>
        <w:jc w:val="both"/>
      </w:pPr>
      <w:r>
        <w:t>2、支出说明</w:t>
      </w:r>
    </w:p>
    <w:p>
      <w:pPr>
        <w:pStyle w:val="19"/>
        <w:jc w:val="both"/>
      </w:pPr>
      <w:r>
        <w:t>收支预算总表支出栏、基本支出表、项目支出表按经济分类和支出功能分类科目编制，反映中国共产党石家庄市藁城区委员会办公室年度部门预算中支出预算的总体情况。2026年支出预算1087.79万元，其中基本支出977.79万元，包括人员经费828.06万元和日常公用经费149.73万元；项目支出110.00万元，主要为区委办履职工作经费12万元，新型决策咨询智库运营经费6万元</w:t>
      </w:r>
      <w:r>
        <w:rPr>
          <w:rFonts w:hint="eastAsia"/>
          <w:lang w:eastAsia="zh-CN"/>
        </w:rPr>
        <w:t>等</w:t>
      </w:r>
      <w:bookmarkStart w:id="20" w:name="_GoBack"/>
      <w:bookmarkEnd w:id="20"/>
      <w:r>
        <w:rPr>
          <w:rFonts w:hint="eastAsia"/>
          <w:lang w:eastAsia="zh-CN"/>
        </w:rPr>
        <w:t>，其他项目涉密，不予公开</w:t>
      </w:r>
      <w:r>
        <w:t>。预计下年使用的单位资金结余0.00万元。委托业务费共计安排31.30万元，主要用于因技术原因确需对外委托的辅助性工作和确有必要对外委托开展咨询、评审、规划等工作。</w:t>
      </w:r>
    </w:p>
    <w:p>
      <w:pPr>
        <w:pStyle w:val="19"/>
        <w:jc w:val="both"/>
      </w:pPr>
      <w:r>
        <w:t>3、比上年增减情况</w:t>
      </w:r>
    </w:p>
    <w:p>
      <w:pPr>
        <w:pStyle w:val="19"/>
        <w:jc w:val="both"/>
      </w:pPr>
      <w:r>
        <w:t>2026年预算收支安排1087.79万元，较2025年预算减少159.30万元，其中：基本支出减少127.28万元，主要为压缩开支，减少日常公用经费。项目支出减少32.02万元，主要为减少项目支出，降低成本。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2026年，我部门机关运行经费共计安排149.73万元，主要用于日常维修、办公用房水电费、办公用房取暖费、办公用房物业管理费等日常运行支出。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jc w:val="both"/>
      </w:pPr>
      <w:r>
        <w:t>2026年，我部门财政拨款“三公”经费预算安排35.60万元，其中因公出国（境）费18.00万元；公务用车购置及运维费17.60万元（其中：公务用车购置费为0.00万元，公务用车运维费17.60万元)；公务接待费0.00万元。与2025年相比</w:t>
      </w:r>
      <w:r>
        <w:rPr>
          <w:rFonts w:hint="eastAsia"/>
          <w:lang w:eastAsia="zh-CN"/>
        </w:rPr>
        <w:t>减少</w:t>
      </w:r>
      <w:r>
        <w:rPr>
          <w:rFonts w:hint="eastAsia"/>
          <w:lang w:val="en-US" w:eastAsia="zh-CN"/>
        </w:rPr>
        <w:t>2</w:t>
      </w:r>
      <w:r>
        <w:t>万元，增减变化的主要原因是</w:t>
      </w:r>
      <w:r>
        <w:rPr>
          <w:rFonts w:hint="eastAsia"/>
          <w:lang w:eastAsia="zh-CN"/>
        </w:rPr>
        <w:t>减少</w:t>
      </w:r>
      <w:r>
        <w:t>因公出国（境）</w:t>
      </w:r>
      <w:r>
        <w:rPr>
          <w:rFonts w:hint="eastAsia"/>
          <w:lang w:eastAsia="zh-CN"/>
        </w:rPr>
        <w:t>费用</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党的二十大和二十届历次全会精神，增强“四个意识”、坚定“四个自信”、做到“两个维护”，坚持目标导向、问题导向、结果导向，以当好参谋助手、加强统筹协调、强化督办落实、优化服务保障为主线，以改革创新为动力，坚持系统观念，全力推动党中央重大决策和区委工作部署落地落实，争做让党放心、让人民满意的模范机关，坚决当好省委“坚强前哨”和“巩固后院”。</w:t>
      </w:r>
    </w:p>
    <w:p>
      <w:pPr>
        <w:pStyle w:val="22"/>
      </w:pPr>
      <w:r>
        <w:t>组织开展全区全面深化改革重大问题的政策研究；协调督促有关方面落实领导小组决定事项、工作部署和要求；协调各专项小组、有关部门和单位就改革重要问题进行研究。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1.信息收集与督查调研</w:t>
      </w:r>
    </w:p>
    <w:p>
      <w:pPr>
        <w:pStyle w:val="23"/>
      </w:pPr>
      <w:r>
        <w:t>绩效目标：充分发挥信息主渠道作用，为区领导提供高质量的信息服务；围绕党中央重大决策和省委、区委工作部署，聚焦领导关注点和人民群众反映强烈的热点难点问题，深入组织开展调查研究，努力形成一批有深度、有价值的调研成果；围绕热点难点问题，精准督查，深度督办，强力推进中央和省委各项决策部署落到实处；充分发挥信息主渠道作用，为中央和省委领导提供高质量的信息服务。</w:t>
      </w:r>
    </w:p>
    <w:p>
      <w:pPr>
        <w:pStyle w:val="23"/>
      </w:pPr>
      <w:r>
        <w:t>绩效指标：对中央和省委、区委重大决策部署落实情况进行专项督查8次以上，区委重点工作任务督办率达到100%，督查督办按时办结率95%以上。</w:t>
      </w:r>
    </w:p>
    <w:p>
      <w:pPr>
        <w:pStyle w:val="23"/>
      </w:pPr>
      <w:r>
        <w:t>2.全区党委办公厅（室）系统信息化建设</w:t>
      </w:r>
    </w:p>
    <w:p>
      <w:pPr>
        <w:pStyle w:val="23"/>
      </w:pPr>
      <w:r>
        <w:t>绩效目标：加快推进藁城区党委系统机关创新网上办公，进一步提升我区党委系统机关业务工作规范化、信息化水平，实现无纸化办公；保障区公务内网具有高可靠性和安全保密性，保证承载的应用系统正常运行，具备完备的网络安全保障及运营支撑体系。</w:t>
      </w:r>
    </w:p>
    <w:p>
      <w:pPr>
        <w:pStyle w:val="23"/>
      </w:pPr>
      <w:r>
        <w:t>绩效指标：进一步提高机关办公效率，机关节约办公用纸25%，实现公务内网纵向连接横向带宽不小于155M；非不可抗力造成的公务内网业务故障处理时限在4小时以内。</w:t>
      </w:r>
    </w:p>
    <w:p>
      <w:pPr>
        <w:pStyle w:val="23"/>
      </w:pPr>
      <w:r>
        <w:t>3.保密机要管理</w:t>
      </w:r>
    </w:p>
    <w:p>
      <w:pPr>
        <w:pStyle w:val="23"/>
      </w:pPr>
      <w:r>
        <w:t>绩效目标：做好保密机要工作，加大培训力度，确保不发生失、泄密情况。</w:t>
      </w:r>
    </w:p>
    <w:p>
      <w:pPr>
        <w:pStyle w:val="23"/>
      </w:pPr>
      <w:r>
        <w:t>绩效指标：机要保密工作完成率100%；业务培训覆盖率98%；保密机要知识普及率100%。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（一）完善制度建设。我办制定完善预算绩效管理制度、资金管理办法、工作保障制度等，为全年预算绩效目标的实现奠定制度基础。</w:t>
      </w:r>
    </w:p>
    <w:p>
      <w:pPr>
        <w:pStyle w:val="24"/>
      </w:pPr>
      <w:r>
        <w:t>（二）加强支出管理。通过优化支出结构、编细编实预算、加快履行政府采购手续、尽快启动项目、及时支付资金、6月底前细化代编预算、按规定及时下达资金等多种措施，确保支出进度达标。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eastAsia="zh-CN"/>
        </w:rPr>
        <w:t>我部门</w:t>
      </w:r>
      <w:r>
        <w:rPr>
          <w:rFonts w:hint="eastAsia" w:ascii="仿宋_GB2312" w:hAnsi="仿宋_GB2312" w:eastAsia="仿宋_GB2312" w:cs="仿宋_GB2312"/>
          <w:color w:val="000000"/>
          <w:sz w:val="32"/>
          <w:lang w:val="en-US" w:eastAsia="zh-CN"/>
        </w:rPr>
        <w:t>2026年无专项资金。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、区委办履职工作经费绩效目标表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13010926P000113100397</w:t>
            </w:r>
          </w:p>
        </w:tc>
        <w:tc>
          <w:tcPr>
            <w:tcW w:w="2835" w:type="dxa"/>
            <w:vAlign w:val="center"/>
          </w:tcPr>
          <w:p>
            <w:pPr>
              <w:pStyle w:val="11"/>
            </w:pPr>
            <w:r>
              <w:t>项目名称</w:t>
            </w:r>
          </w:p>
        </w:tc>
        <w:tc>
          <w:tcPr>
            <w:tcW w:w="6095" w:type="dxa"/>
            <w:gridSpan w:val="3"/>
            <w:vAlign w:val="center"/>
          </w:tcPr>
          <w:p>
            <w:pPr>
              <w:pStyle w:val="13"/>
            </w:pPr>
            <w:r>
              <w:t>区委办履职工作经费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完成区委办公室履职工作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w:t>
            </w:r>
          </w:p>
        </w:tc>
        <w:tc>
          <w:tcPr>
            <w:tcW w:w="2835" w:type="dxa"/>
            <w:vAlign w:val="center"/>
          </w:tcPr>
          <w:p>
            <w:pPr>
              <w:pStyle w:val="14"/>
            </w:pPr>
            <w:r>
              <w:t>7.20</w:t>
            </w:r>
          </w:p>
        </w:tc>
        <w:tc>
          <w:tcPr>
            <w:tcW w:w="2551" w:type="dxa"/>
            <w:vAlign w:val="center"/>
          </w:tcPr>
          <w:p>
            <w:pPr>
              <w:pStyle w:val="14"/>
            </w:pPr>
            <w:r>
              <w:t>10.80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1.完成区委办公室履职工作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打印文件份数</w:t>
            </w:r>
          </w:p>
        </w:tc>
        <w:tc>
          <w:tcPr>
            <w:tcW w:w="5386" w:type="dxa"/>
            <w:vAlign w:val="center"/>
          </w:tcPr>
          <w:p>
            <w:pPr>
              <w:pStyle w:val="13"/>
            </w:pPr>
            <w:r>
              <w:t>印制文件材料份数</w:t>
            </w:r>
          </w:p>
        </w:tc>
        <w:tc>
          <w:tcPr>
            <w:tcW w:w="2268" w:type="dxa"/>
            <w:vAlign w:val="center"/>
          </w:tcPr>
          <w:p>
            <w:pPr>
              <w:pStyle w:val="13"/>
            </w:pPr>
            <w:r>
              <w:t>≥2000份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文件质量合格率</w:t>
            </w:r>
          </w:p>
        </w:tc>
        <w:tc>
          <w:tcPr>
            <w:tcW w:w="5386" w:type="dxa"/>
            <w:vAlign w:val="center"/>
          </w:tcPr>
          <w:p>
            <w:pPr>
              <w:pStyle w:val="13"/>
            </w:pPr>
            <w:r>
              <w:t>确保文件质量合格</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按时完成工作率</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打印资料费用</w:t>
            </w:r>
          </w:p>
        </w:tc>
        <w:tc>
          <w:tcPr>
            <w:tcW w:w="5386" w:type="dxa"/>
            <w:vAlign w:val="center"/>
          </w:tcPr>
          <w:p>
            <w:pPr>
              <w:pStyle w:val="13"/>
            </w:pPr>
            <w:r>
              <w:t>印制材料费用</w:t>
            </w:r>
          </w:p>
        </w:tc>
        <w:tc>
          <w:tcPr>
            <w:tcW w:w="2268" w:type="dxa"/>
            <w:vAlign w:val="center"/>
          </w:tcPr>
          <w:p>
            <w:pPr>
              <w:pStyle w:val="13"/>
            </w:pPr>
            <w:r>
              <w:t>≤12万元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保障工作顺利开展</w:t>
            </w:r>
          </w:p>
        </w:tc>
        <w:tc>
          <w:tcPr>
            <w:tcW w:w="5386" w:type="dxa"/>
            <w:vAlign w:val="center"/>
          </w:tcPr>
          <w:p>
            <w:pPr>
              <w:pStyle w:val="13"/>
            </w:pPr>
            <w:r>
              <w:t>保障工作正常开展</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所提供服务的满意度</w:t>
            </w:r>
          </w:p>
        </w:tc>
        <w:tc>
          <w:tcPr>
            <w:tcW w:w="2268" w:type="dxa"/>
            <w:vAlign w:val="center"/>
          </w:tcPr>
          <w:p>
            <w:pPr>
              <w:pStyle w:val="13"/>
            </w:pPr>
            <w:r>
              <w:t>≥98百分比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、新型决策咨询智库运营经费绩效目标表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13010926P000113100441</w:t>
            </w:r>
          </w:p>
        </w:tc>
        <w:tc>
          <w:tcPr>
            <w:tcW w:w="2835" w:type="dxa"/>
            <w:vAlign w:val="center"/>
          </w:tcPr>
          <w:p>
            <w:pPr>
              <w:pStyle w:val="11"/>
            </w:pPr>
            <w:r>
              <w:t>项目名称</w:t>
            </w:r>
          </w:p>
        </w:tc>
        <w:tc>
          <w:tcPr>
            <w:tcW w:w="6095" w:type="dxa"/>
            <w:gridSpan w:val="3"/>
            <w:vAlign w:val="center"/>
          </w:tcPr>
          <w:p>
            <w:pPr>
              <w:pStyle w:val="13"/>
            </w:pPr>
            <w:r>
              <w:t>新型决策咨询智库运营经费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完成新型决策咨询智库运营工作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w:t>
            </w:r>
          </w:p>
        </w:tc>
        <w:tc>
          <w:tcPr>
            <w:tcW w:w="2835" w:type="dxa"/>
            <w:vAlign w:val="center"/>
          </w:tcPr>
          <w:p>
            <w:pPr>
              <w:pStyle w:val="14"/>
            </w:pPr>
            <w:r>
              <w:t>3.60</w:t>
            </w:r>
          </w:p>
        </w:tc>
        <w:tc>
          <w:tcPr>
            <w:tcW w:w="2551" w:type="dxa"/>
            <w:vAlign w:val="center"/>
          </w:tcPr>
          <w:p>
            <w:pPr>
              <w:pStyle w:val="14"/>
            </w:pPr>
            <w:r>
              <w:t>5.40</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1.完成新型决策咨询智库运营工作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举办活动场次</w:t>
            </w:r>
          </w:p>
        </w:tc>
        <w:tc>
          <w:tcPr>
            <w:tcW w:w="2268" w:type="dxa"/>
            <w:vAlign w:val="center"/>
          </w:tcPr>
          <w:p>
            <w:pPr>
              <w:pStyle w:val="13"/>
            </w:pPr>
            <w:r>
              <w:t>≥1次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智库工作完成率</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资金及时到位率</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≤6万元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保障工作正常开展</w:t>
            </w:r>
          </w:p>
        </w:tc>
        <w:tc>
          <w:tcPr>
            <w:tcW w:w="5386" w:type="dxa"/>
            <w:vAlign w:val="center"/>
          </w:tcPr>
          <w:p>
            <w:pPr>
              <w:pStyle w:val="13"/>
            </w:pPr>
            <w:r>
              <w:t>保障智库工作正常开展</w:t>
            </w:r>
          </w:p>
        </w:tc>
        <w:tc>
          <w:tcPr>
            <w:tcW w:w="2268" w:type="dxa"/>
            <w:vAlign w:val="center"/>
          </w:tcPr>
          <w:p>
            <w:pPr>
              <w:pStyle w:val="13"/>
            </w:pPr>
            <w:r>
              <w:t>≥98百分比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所提供服务的满意度</w:t>
            </w:r>
          </w:p>
        </w:tc>
        <w:tc>
          <w:tcPr>
            <w:tcW w:w="2268" w:type="dxa"/>
            <w:vAlign w:val="center"/>
          </w:tcPr>
          <w:p>
            <w:pPr>
              <w:pStyle w:val="13"/>
            </w:pPr>
            <w:r>
              <w:t>≥98百分比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方正仿宋_GBK" w:hAnsi="方正仿宋_GBK" w:eastAsia="方正仿宋_GBK" w:cs="方正仿宋_GBK"/>
          <w:color w:val="000000"/>
          <w:sz w:val="28"/>
          <w:lang w:val="en-US" w:eastAsia="zh-CN"/>
        </w:rPr>
      </w:pPr>
      <w:bookmarkStart w:id="16" w:name="_Toc_3_3_0000000017"/>
      <w:r>
        <w:rPr>
          <w:rFonts w:hint="eastAsia" w:ascii="方正仿宋_GBK" w:hAnsi="方正仿宋_GBK" w:eastAsia="方正仿宋_GBK" w:cs="方正仿宋_GBK"/>
          <w:color w:val="000000"/>
          <w:sz w:val="28"/>
          <w:lang w:val="en-US" w:eastAsia="zh-CN"/>
        </w:rPr>
        <w:t>3、涉密项目，不予公开</w:t>
      </w:r>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中国共产党石家庄市藁城区委员会办公室（含所属单位）上年末固定资产金额为636.78万元（详见下表）。本年度拟购置固定资产总额为0.00万元，已按要求列入政府采购预算，详见政府采购预算表。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202中国共产党石家庄市藁城区委员会办公室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539.15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1FEF31B5"/>
    <w:rsid w:val="2FF4EF16"/>
    <w:rsid w:val="3FAE5DE2"/>
    <w:rsid w:val="3FB2B481"/>
    <w:rsid w:val="4ABD7DFE"/>
    <w:rsid w:val="6CFD8658"/>
    <w:rsid w:val="6D3DF40E"/>
    <w:rsid w:val="77E72EA6"/>
    <w:rsid w:val="7ABF217E"/>
    <w:rsid w:val="7ED792CD"/>
    <w:rsid w:val="7F3B517D"/>
    <w:rsid w:val="9DF76DA7"/>
    <w:rsid w:val="BBFF5A19"/>
    <w:rsid w:val="BFB729D5"/>
    <w:rsid w:val="DE3E8AD9"/>
    <w:rsid w:val="F3DD3F6F"/>
    <w:rsid w:val="F7CFC0B2"/>
    <w:rsid w:val="FACE61C0"/>
    <w:rsid w:val="FD9D26C7"/>
    <w:rsid w:val="FEE2A817"/>
    <w:rsid w:val="FF53CC2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TotalTime>30</TotalTime>
  <ScaleCrop>false</ScaleCrop>
  <LinksUpToDate>false</LinksUpToDate>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2026-02-28T07:58:00Z</dcterms:created>
  <dc:creator>uos</dc:creator>
  <cp:lastModifiedBy>uos</cp:lastModifiedBy>
  <dcterms:modified xsi:type="dcterms:W3CDTF">2026-03-02T16:28:10Z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