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一、中国共产党石家庄市藁城区委员会办公室本级收支预算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1087.79</w:t>
            </w:r>
          </w:p>
        </w:tc>
        <w:tc>
          <w:tcPr>
            <w:tcW w:w="4535" w:type="dxa"/>
            <w:vAlign w:val="center"/>
          </w:tcPr>
          <w:p>
            <w:pPr>
              <w:pStyle w:val="12"/>
            </w:pPr>
            <w:r>
              <w:t>一、一般公共服务支出</w:t>
            </w:r>
          </w:p>
        </w:tc>
        <w:tc>
          <w:tcPr>
            <w:tcW w:w="2126" w:type="dxa"/>
            <w:vAlign w:val="center"/>
          </w:tcPr>
          <w:p>
            <w:pPr>
              <w:pStyle w:val="11"/>
            </w:pPr>
            <w:r>
              <w:t>876.16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1087.79</w:t>
            </w:r>
          </w:p>
        </w:tc>
        <w:tc>
          <w:tcPr>
            <w:tcW w:w="4535" w:type="dxa"/>
            <w:vAlign w:val="center"/>
          </w:tcPr>
          <w:p>
            <w:pPr>
              <w:pStyle w:val="14"/>
            </w:pPr>
            <w:r>
              <w:t>本年支出合计</w:t>
            </w:r>
          </w:p>
        </w:tc>
        <w:tc>
          <w:tcPr>
            <w:tcW w:w="2126" w:type="dxa"/>
            <w:vAlign w:val="center"/>
          </w:tcPr>
          <w:p>
            <w:pPr>
              <w:pStyle w:val="15"/>
            </w:pPr>
            <w:r>
              <w:t>1087.79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1087.79</w:t>
            </w:r>
          </w:p>
        </w:tc>
        <w:tc>
          <w:tcPr>
            <w:tcW w:w="4535" w:type="dxa"/>
            <w:vAlign w:val="center"/>
          </w:tcPr>
          <w:p>
            <w:pPr>
              <w:pStyle w:val="14"/>
            </w:pPr>
            <w:r>
              <w:t>支出总计</w:t>
            </w:r>
          </w:p>
        </w:tc>
        <w:tc>
          <w:tcPr>
            <w:tcW w:w="2126" w:type="dxa"/>
            <w:vAlign w:val="center"/>
          </w:tcPr>
          <w:p>
            <w:pPr>
              <w:pStyle w:val="15"/>
            </w:pPr>
            <w:r>
              <w:t>1087.79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1087.79</w:t>
            </w:r>
          </w:p>
        </w:tc>
        <w:tc>
          <w:tcPr>
            <w:tcW w:w="1134" w:type="dxa"/>
            <w:vAlign w:val="center"/>
          </w:tcPr>
          <w:p>
            <w:pPr>
              <w:pStyle w:val="15"/>
            </w:pPr>
            <w:r>
              <w:t>1087.79</w:t>
            </w:r>
          </w:p>
        </w:tc>
        <w:tc>
          <w:tcPr>
            <w:tcW w:w="1134" w:type="dxa"/>
            <w:vAlign w:val="center"/>
          </w:tcPr>
          <w:p>
            <w:pPr>
              <w:pStyle w:val="15"/>
            </w:pPr>
            <w:r>
              <w:t>1087.79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876.16</w:t>
            </w:r>
          </w:p>
        </w:tc>
        <w:tc>
          <w:tcPr>
            <w:tcW w:w="1134" w:type="dxa"/>
            <w:vAlign w:val="center"/>
          </w:tcPr>
          <w:p>
            <w:pPr>
              <w:pStyle w:val="11"/>
            </w:pPr>
            <w:r>
              <w:t>876.16</w:t>
            </w:r>
          </w:p>
        </w:tc>
        <w:tc>
          <w:tcPr>
            <w:tcW w:w="1134" w:type="dxa"/>
            <w:vAlign w:val="center"/>
          </w:tcPr>
          <w:p>
            <w:pPr>
              <w:pStyle w:val="11"/>
            </w:pPr>
            <w:r>
              <w:t>876.16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876.16</w:t>
            </w:r>
          </w:p>
        </w:tc>
        <w:tc>
          <w:tcPr>
            <w:tcW w:w="1134" w:type="dxa"/>
            <w:vAlign w:val="center"/>
          </w:tcPr>
          <w:p>
            <w:pPr>
              <w:pStyle w:val="11"/>
            </w:pPr>
            <w:r>
              <w:t>876.16</w:t>
            </w:r>
          </w:p>
        </w:tc>
        <w:tc>
          <w:tcPr>
            <w:tcW w:w="1134" w:type="dxa"/>
            <w:vAlign w:val="center"/>
          </w:tcPr>
          <w:p>
            <w:pPr>
              <w:pStyle w:val="11"/>
            </w:pPr>
            <w:r>
              <w:t>876.16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766.16</w:t>
            </w:r>
          </w:p>
        </w:tc>
        <w:tc>
          <w:tcPr>
            <w:tcW w:w="1134" w:type="dxa"/>
            <w:vAlign w:val="center"/>
          </w:tcPr>
          <w:p>
            <w:pPr>
              <w:pStyle w:val="11"/>
            </w:pPr>
            <w:r>
              <w:t>766.16</w:t>
            </w:r>
          </w:p>
        </w:tc>
        <w:tc>
          <w:tcPr>
            <w:tcW w:w="1134" w:type="dxa"/>
            <w:vAlign w:val="center"/>
          </w:tcPr>
          <w:p>
            <w:pPr>
              <w:pStyle w:val="11"/>
            </w:pPr>
            <w:r>
              <w:t>766.16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2013102</w:t>
            </w:r>
          </w:p>
        </w:tc>
        <w:tc>
          <w:tcPr>
            <w:tcW w:w="1559" w:type="dxa"/>
            <w:vAlign w:val="center"/>
          </w:tcPr>
          <w:p>
            <w:pPr>
              <w:pStyle w:val="12"/>
            </w:pPr>
            <w:r>
              <w:t>一般行政管理事务</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116.25</w:t>
            </w:r>
          </w:p>
        </w:tc>
        <w:tc>
          <w:tcPr>
            <w:tcW w:w="1134" w:type="dxa"/>
            <w:vAlign w:val="center"/>
          </w:tcPr>
          <w:p>
            <w:pPr>
              <w:pStyle w:val="11"/>
            </w:pPr>
            <w:r>
              <w:t>116.25</w:t>
            </w:r>
          </w:p>
        </w:tc>
        <w:tc>
          <w:tcPr>
            <w:tcW w:w="1134" w:type="dxa"/>
            <w:vAlign w:val="center"/>
          </w:tcPr>
          <w:p>
            <w:pPr>
              <w:pStyle w:val="11"/>
            </w:pPr>
            <w:r>
              <w:t>116.25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116.25</w:t>
            </w:r>
          </w:p>
        </w:tc>
        <w:tc>
          <w:tcPr>
            <w:tcW w:w="1134" w:type="dxa"/>
            <w:vAlign w:val="center"/>
          </w:tcPr>
          <w:p>
            <w:pPr>
              <w:pStyle w:val="11"/>
            </w:pPr>
            <w:r>
              <w:t>116.25</w:t>
            </w:r>
          </w:p>
        </w:tc>
        <w:tc>
          <w:tcPr>
            <w:tcW w:w="1134" w:type="dxa"/>
            <w:vAlign w:val="center"/>
          </w:tcPr>
          <w:p>
            <w:pPr>
              <w:pStyle w:val="11"/>
            </w:pPr>
            <w:r>
              <w:t>116.25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78.01</w:t>
            </w:r>
          </w:p>
        </w:tc>
        <w:tc>
          <w:tcPr>
            <w:tcW w:w="1134" w:type="dxa"/>
            <w:vAlign w:val="center"/>
          </w:tcPr>
          <w:p>
            <w:pPr>
              <w:pStyle w:val="11"/>
            </w:pPr>
            <w:r>
              <w:t>78.01</w:t>
            </w:r>
          </w:p>
        </w:tc>
        <w:tc>
          <w:tcPr>
            <w:tcW w:w="1134" w:type="dxa"/>
            <w:vAlign w:val="center"/>
          </w:tcPr>
          <w:p>
            <w:pPr>
              <w:pStyle w:val="11"/>
            </w:pPr>
            <w:r>
              <w:t>78.01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38.24</w:t>
            </w:r>
          </w:p>
        </w:tc>
        <w:tc>
          <w:tcPr>
            <w:tcW w:w="1134" w:type="dxa"/>
            <w:vAlign w:val="center"/>
          </w:tcPr>
          <w:p>
            <w:pPr>
              <w:pStyle w:val="11"/>
            </w:pPr>
            <w:r>
              <w:t>38.24</w:t>
            </w:r>
          </w:p>
        </w:tc>
        <w:tc>
          <w:tcPr>
            <w:tcW w:w="1134" w:type="dxa"/>
            <w:vAlign w:val="center"/>
          </w:tcPr>
          <w:p>
            <w:pPr>
              <w:pStyle w:val="11"/>
            </w:pPr>
            <w:r>
              <w:t>38.24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38.02</w:t>
            </w:r>
          </w:p>
        </w:tc>
        <w:tc>
          <w:tcPr>
            <w:tcW w:w="1134" w:type="dxa"/>
            <w:vAlign w:val="center"/>
          </w:tcPr>
          <w:p>
            <w:pPr>
              <w:pStyle w:val="11"/>
            </w:pPr>
            <w:r>
              <w:t>38.02</w:t>
            </w:r>
          </w:p>
        </w:tc>
        <w:tc>
          <w:tcPr>
            <w:tcW w:w="1134" w:type="dxa"/>
            <w:vAlign w:val="center"/>
          </w:tcPr>
          <w:p>
            <w:pPr>
              <w:pStyle w:val="11"/>
            </w:pPr>
            <w:r>
              <w:t>38.02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38.02</w:t>
            </w:r>
          </w:p>
        </w:tc>
        <w:tc>
          <w:tcPr>
            <w:tcW w:w="1134" w:type="dxa"/>
            <w:vAlign w:val="center"/>
          </w:tcPr>
          <w:p>
            <w:pPr>
              <w:pStyle w:val="11"/>
            </w:pPr>
            <w:r>
              <w:t>38.02</w:t>
            </w:r>
          </w:p>
        </w:tc>
        <w:tc>
          <w:tcPr>
            <w:tcW w:w="1134" w:type="dxa"/>
            <w:vAlign w:val="center"/>
          </w:tcPr>
          <w:p>
            <w:pPr>
              <w:pStyle w:val="11"/>
            </w:pPr>
            <w:r>
              <w:t>38.02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26.84</w:t>
            </w:r>
          </w:p>
        </w:tc>
        <w:tc>
          <w:tcPr>
            <w:tcW w:w="1134" w:type="dxa"/>
            <w:vAlign w:val="center"/>
          </w:tcPr>
          <w:p>
            <w:pPr>
              <w:pStyle w:val="11"/>
            </w:pPr>
            <w:r>
              <w:t>26.84</w:t>
            </w:r>
          </w:p>
        </w:tc>
        <w:tc>
          <w:tcPr>
            <w:tcW w:w="1134" w:type="dxa"/>
            <w:vAlign w:val="center"/>
          </w:tcPr>
          <w:p>
            <w:pPr>
              <w:pStyle w:val="11"/>
            </w:pPr>
            <w:r>
              <w:t>26.84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11.18</w:t>
            </w:r>
          </w:p>
        </w:tc>
        <w:tc>
          <w:tcPr>
            <w:tcW w:w="1134" w:type="dxa"/>
            <w:vAlign w:val="center"/>
          </w:tcPr>
          <w:p>
            <w:pPr>
              <w:pStyle w:val="11"/>
            </w:pPr>
            <w:r>
              <w:t>11.18</w:t>
            </w:r>
          </w:p>
        </w:tc>
        <w:tc>
          <w:tcPr>
            <w:tcW w:w="1134" w:type="dxa"/>
            <w:vAlign w:val="center"/>
          </w:tcPr>
          <w:p>
            <w:pPr>
              <w:pStyle w:val="11"/>
            </w:pPr>
            <w:r>
              <w:t>11.18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57.36</w:t>
            </w:r>
          </w:p>
        </w:tc>
        <w:tc>
          <w:tcPr>
            <w:tcW w:w="1134" w:type="dxa"/>
            <w:vAlign w:val="center"/>
          </w:tcPr>
          <w:p>
            <w:pPr>
              <w:pStyle w:val="11"/>
            </w:pPr>
            <w:r>
              <w:t>57.36</w:t>
            </w:r>
          </w:p>
        </w:tc>
        <w:tc>
          <w:tcPr>
            <w:tcW w:w="1134" w:type="dxa"/>
            <w:vAlign w:val="center"/>
          </w:tcPr>
          <w:p>
            <w:pPr>
              <w:pStyle w:val="11"/>
            </w:pPr>
            <w:r>
              <w:t>57.36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57.36</w:t>
            </w:r>
          </w:p>
        </w:tc>
        <w:tc>
          <w:tcPr>
            <w:tcW w:w="1134" w:type="dxa"/>
            <w:vAlign w:val="center"/>
          </w:tcPr>
          <w:p>
            <w:pPr>
              <w:pStyle w:val="11"/>
            </w:pPr>
            <w:r>
              <w:t>57.36</w:t>
            </w:r>
          </w:p>
        </w:tc>
        <w:tc>
          <w:tcPr>
            <w:tcW w:w="1134" w:type="dxa"/>
            <w:vAlign w:val="center"/>
          </w:tcPr>
          <w:p>
            <w:pPr>
              <w:pStyle w:val="11"/>
            </w:pPr>
            <w:r>
              <w:t>57.36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57.36</w:t>
            </w:r>
          </w:p>
        </w:tc>
        <w:tc>
          <w:tcPr>
            <w:tcW w:w="1134" w:type="dxa"/>
            <w:vAlign w:val="center"/>
          </w:tcPr>
          <w:p>
            <w:pPr>
              <w:pStyle w:val="11"/>
            </w:pPr>
            <w:r>
              <w:t>57.36</w:t>
            </w:r>
          </w:p>
        </w:tc>
        <w:tc>
          <w:tcPr>
            <w:tcW w:w="1134" w:type="dxa"/>
            <w:vAlign w:val="center"/>
          </w:tcPr>
          <w:p>
            <w:pPr>
              <w:pStyle w:val="11"/>
            </w:pPr>
            <w:r>
              <w:t>57.36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1087.79</w:t>
            </w:r>
          </w:p>
        </w:tc>
        <w:tc>
          <w:tcPr>
            <w:tcW w:w="1361" w:type="dxa"/>
            <w:vAlign w:val="center"/>
          </w:tcPr>
          <w:p>
            <w:pPr>
              <w:pStyle w:val="15"/>
            </w:pPr>
            <w:r>
              <w:t>977.79</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876.16</w:t>
            </w:r>
          </w:p>
        </w:tc>
        <w:tc>
          <w:tcPr>
            <w:tcW w:w="1361" w:type="dxa"/>
            <w:vAlign w:val="center"/>
          </w:tcPr>
          <w:p>
            <w:pPr>
              <w:pStyle w:val="11"/>
            </w:pPr>
            <w:r>
              <w:t>766.16</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876.16</w:t>
            </w:r>
          </w:p>
        </w:tc>
        <w:tc>
          <w:tcPr>
            <w:tcW w:w="1361" w:type="dxa"/>
            <w:vAlign w:val="center"/>
          </w:tcPr>
          <w:p>
            <w:pPr>
              <w:pStyle w:val="11"/>
            </w:pPr>
            <w:r>
              <w:t>766.16</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766.16</w:t>
            </w:r>
          </w:p>
        </w:tc>
        <w:tc>
          <w:tcPr>
            <w:tcW w:w="1361" w:type="dxa"/>
            <w:vAlign w:val="center"/>
          </w:tcPr>
          <w:p>
            <w:pPr>
              <w:pStyle w:val="11"/>
            </w:pPr>
            <w:r>
              <w:t>766.16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2013102</w:t>
            </w:r>
          </w:p>
        </w:tc>
        <w:tc>
          <w:tcPr>
            <w:tcW w:w="4535" w:type="dxa"/>
            <w:vAlign w:val="center"/>
          </w:tcPr>
          <w:p>
            <w:pPr>
              <w:pStyle w:val="12"/>
            </w:pPr>
            <w:r>
              <w:t>一般行政管理事务</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116.25</w:t>
            </w:r>
          </w:p>
        </w:tc>
        <w:tc>
          <w:tcPr>
            <w:tcW w:w="1361" w:type="dxa"/>
            <w:vAlign w:val="center"/>
          </w:tcPr>
          <w:p>
            <w:pPr>
              <w:pStyle w:val="11"/>
            </w:pPr>
            <w:r>
              <w:t>116.25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116.25</w:t>
            </w:r>
          </w:p>
        </w:tc>
        <w:tc>
          <w:tcPr>
            <w:tcW w:w="1361" w:type="dxa"/>
            <w:vAlign w:val="center"/>
          </w:tcPr>
          <w:p>
            <w:pPr>
              <w:pStyle w:val="11"/>
            </w:pPr>
            <w:r>
              <w:t>116.25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78.01</w:t>
            </w:r>
          </w:p>
        </w:tc>
        <w:tc>
          <w:tcPr>
            <w:tcW w:w="1361" w:type="dxa"/>
            <w:vAlign w:val="center"/>
          </w:tcPr>
          <w:p>
            <w:pPr>
              <w:pStyle w:val="11"/>
            </w:pPr>
            <w:r>
              <w:t>78.01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38.24</w:t>
            </w:r>
          </w:p>
        </w:tc>
        <w:tc>
          <w:tcPr>
            <w:tcW w:w="1361" w:type="dxa"/>
            <w:vAlign w:val="center"/>
          </w:tcPr>
          <w:p>
            <w:pPr>
              <w:pStyle w:val="11"/>
            </w:pPr>
            <w:r>
              <w:t>38.24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38.02</w:t>
            </w:r>
          </w:p>
        </w:tc>
        <w:tc>
          <w:tcPr>
            <w:tcW w:w="1361" w:type="dxa"/>
            <w:vAlign w:val="center"/>
          </w:tcPr>
          <w:p>
            <w:pPr>
              <w:pStyle w:val="11"/>
            </w:pPr>
            <w:r>
              <w:t>38.02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38.02</w:t>
            </w:r>
          </w:p>
        </w:tc>
        <w:tc>
          <w:tcPr>
            <w:tcW w:w="1361" w:type="dxa"/>
            <w:vAlign w:val="center"/>
          </w:tcPr>
          <w:p>
            <w:pPr>
              <w:pStyle w:val="11"/>
            </w:pPr>
            <w:r>
              <w:t>38.02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26.84</w:t>
            </w:r>
          </w:p>
        </w:tc>
        <w:tc>
          <w:tcPr>
            <w:tcW w:w="1361" w:type="dxa"/>
            <w:vAlign w:val="center"/>
          </w:tcPr>
          <w:p>
            <w:pPr>
              <w:pStyle w:val="11"/>
            </w:pPr>
            <w:r>
              <w:t>26.84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11.18</w:t>
            </w:r>
          </w:p>
        </w:tc>
        <w:tc>
          <w:tcPr>
            <w:tcW w:w="1361" w:type="dxa"/>
            <w:vAlign w:val="center"/>
          </w:tcPr>
          <w:p>
            <w:pPr>
              <w:pStyle w:val="11"/>
            </w:pPr>
            <w:r>
              <w:t>11.18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57.36</w:t>
            </w:r>
          </w:p>
        </w:tc>
        <w:tc>
          <w:tcPr>
            <w:tcW w:w="1361" w:type="dxa"/>
            <w:vAlign w:val="center"/>
          </w:tcPr>
          <w:p>
            <w:pPr>
              <w:pStyle w:val="11"/>
            </w:pPr>
            <w:r>
              <w:t>57.36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57.36</w:t>
            </w:r>
          </w:p>
        </w:tc>
        <w:tc>
          <w:tcPr>
            <w:tcW w:w="1361" w:type="dxa"/>
            <w:vAlign w:val="center"/>
          </w:tcPr>
          <w:p>
            <w:pPr>
              <w:pStyle w:val="11"/>
            </w:pPr>
            <w:r>
              <w:t>57.36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57.36</w:t>
            </w:r>
          </w:p>
        </w:tc>
        <w:tc>
          <w:tcPr>
            <w:tcW w:w="1361" w:type="dxa"/>
            <w:vAlign w:val="center"/>
          </w:tcPr>
          <w:p>
            <w:pPr>
              <w:pStyle w:val="11"/>
            </w:pPr>
            <w:r>
              <w:t>57.36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1087.79</w:t>
            </w:r>
          </w:p>
        </w:tc>
        <w:tc>
          <w:tcPr>
            <w:tcW w:w="3402" w:type="dxa"/>
            <w:vAlign w:val="center"/>
          </w:tcPr>
          <w:p>
            <w:pPr>
              <w:pStyle w:val="12"/>
            </w:pPr>
            <w:r>
              <w:t>一、一般公共服务支出</w:t>
            </w:r>
          </w:p>
        </w:tc>
        <w:tc>
          <w:tcPr>
            <w:tcW w:w="1474" w:type="dxa"/>
            <w:vAlign w:val="center"/>
          </w:tcPr>
          <w:p>
            <w:pPr>
              <w:pStyle w:val="11"/>
            </w:pPr>
            <w:r>
              <w:t>876.16</w:t>
            </w:r>
          </w:p>
        </w:tc>
        <w:tc>
          <w:tcPr>
            <w:tcW w:w="1474" w:type="dxa"/>
            <w:vAlign w:val="center"/>
          </w:tcPr>
          <w:p>
            <w:pPr>
              <w:pStyle w:val="11"/>
            </w:pPr>
            <w:r>
              <w:t>876.16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116.25</w:t>
            </w:r>
          </w:p>
        </w:tc>
        <w:tc>
          <w:tcPr>
            <w:tcW w:w="1474" w:type="dxa"/>
            <w:vAlign w:val="center"/>
          </w:tcPr>
          <w:p>
            <w:pPr>
              <w:pStyle w:val="11"/>
            </w:pPr>
            <w:r>
              <w:t>116.25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38.02</w:t>
            </w:r>
          </w:p>
        </w:tc>
        <w:tc>
          <w:tcPr>
            <w:tcW w:w="1474" w:type="dxa"/>
            <w:vAlign w:val="center"/>
          </w:tcPr>
          <w:p>
            <w:pPr>
              <w:pStyle w:val="11"/>
            </w:pPr>
            <w:r>
              <w:t>38.02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57.36</w:t>
            </w:r>
          </w:p>
        </w:tc>
        <w:tc>
          <w:tcPr>
            <w:tcW w:w="1474" w:type="dxa"/>
            <w:vAlign w:val="center"/>
          </w:tcPr>
          <w:p>
            <w:pPr>
              <w:pStyle w:val="11"/>
            </w:pPr>
            <w:r>
              <w:t>57.36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1087.79</w:t>
            </w:r>
          </w:p>
        </w:tc>
        <w:tc>
          <w:tcPr>
            <w:tcW w:w="3402" w:type="dxa"/>
            <w:vAlign w:val="center"/>
          </w:tcPr>
          <w:p>
            <w:pPr>
              <w:pStyle w:val="14"/>
            </w:pPr>
            <w:r>
              <w:t>本年支出合计</w:t>
            </w:r>
          </w:p>
        </w:tc>
        <w:tc>
          <w:tcPr>
            <w:tcW w:w="1474" w:type="dxa"/>
            <w:vAlign w:val="center"/>
          </w:tcPr>
          <w:p>
            <w:pPr>
              <w:pStyle w:val="15"/>
            </w:pPr>
            <w:r>
              <w:t>1087.79</w:t>
            </w:r>
          </w:p>
        </w:tc>
        <w:tc>
          <w:tcPr>
            <w:tcW w:w="1474" w:type="dxa"/>
            <w:vAlign w:val="center"/>
          </w:tcPr>
          <w:p>
            <w:pPr>
              <w:pStyle w:val="15"/>
            </w:pPr>
            <w:r>
              <w:t>1087.79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1087.79</w:t>
            </w:r>
          </w:p>
        </w:tc>
        <w:tc>
          <w:tcPr>
            <w:tcW w:w="3402" w:type="dxa"/>
            <w:vAlign w:val="center"/>
          </w:tcPr>
          <w:p>
            <w:pPr>
              <w:pStyle w:val="14"/>
            </w:pPr>
            <w:r>
              <w:t>支出总计</w:t>
            </w:r>
          </w:p>
        </w:tc>
        <w:tc>
          <w:tcPr>
            <w:tcW w:w="1474" w:type="dxa"/>
            <w:vAlign w:val="center"/>
          </w:tcPr>
          <w:p>
            <w:pPr>
              <w:pStyle w:val="15"/>
            </w:pPr>
            <w:r>
              <w:t>1087.79</w:t>
            </w:r>
          </w:p>
        </w:tc>
        <w:tc>
          <w:tcPr>
            <w:tcW w:w="1474" w:type="dxa"/>
            <w:vAlign w:val="center"/>
          </w:tcPr>
          <w:p>
            <w:pPr>
              <w:pStyle w:val="15"/>
            </w:pPr>
            <w:r>
              <w:t>1087.79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1087.79</w:t>
            </w:r>
          </w:p>
        </w:tc>
        <w:tc>
          <w:tcPr>
            <w:tcW w:w="2551" w:type="dxa"/>
            <w:vAlign w:val="center"/>
          </w:tcPr>
          <w:p>
            <w:pPr>
              <w:pStyle w:val="15"/>
            </w:pPr>
            <w:r>
              <w:t>977.79</w:t>
            </w:r>
          </w:p>
        </w:tc>
        <w:tc>
          <w:tcPr>
            <w:tcW w:w="2551"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876.16</w:t>
            </w:r>
          </w:p>
        </w:tc>
        <w:tc>
          <w:tcPr>
            <w:tcW w:w="2551" w:type="dxa"/>
            <w:vAlign w:val="center"/>
          </w:tcPr>
          <w:p>
            <w:pPr>
              <w:pStyle w:val="11"/>
            </w:pPr>
            <w:r>
              <w:t>766.16</w:t>
            </w:r>
          </w:p>
        </w:tc>
        <w:tc>
          <w:tcPr>
            <w:tcW w:w="2551"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876.16</w:t>
            </w:r>
          </w:p>
        </w:tc>
        <w:tc>
          <w:tcPr>
            <w:tcW w:w="2551" w:type="dxa"/>
            <w:vAlign w:val="center"/>
          </w:tcPr>
          <w:p>
            <w:pPr>
              <w:pStyle w:val="11"/>
            </w:pPr>
            <w:r>
              <w:t>766.16</w:t>
            </w:r>
          </w:p>
        </w:tc>
        <w:tc>
          <w:tcPr>
            <w:tcW w:w="2551"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766.16</w:t>
            </w:r>
          </w:p>
        </w:tc>
        <w:tc>
          <w:tcPr>
            <w:tcW w:w="2551" w:type="dxa"/>
            <w:vAlign w:val="center"/>
          </w:tcPr>
          <w:p>
            <w:pPr>
              <w:pStyle w:val="11"/>
            </w:pPr>
            <w:r>
              <w:t>766.16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2013102</w:t>
            </w:r>
          </w:p>
        </w:tc>
        <w:tc>
          <w:tcPr>
            <w:tcW w:w="4535" w:type="dxa"/>
            <w:vAlign w:val="center"/>
          </w:tcPr>
          <w:p>
            <w:pPr>
              <w:pStyle w:val="12"/>
            </w:pPr>
            <w:r>
              <w:t>一般行政管理事务</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116.25</w:t>
            </w:r>
          </w:p>
        </w:tc>
        <w:tc>
          <w:tcPr>
            <w:tcW w:w="2551" w:type="dxa"/>
            <w:vAlign w:val="center"/>
          </w:tcPr>
          <w:p>
            <w:pPr>
              <w:pStyle w:val="11"/>
            </w:pPr>
            <w:r>
              <w:t>116.25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116.25</w:t>
            </w:r>
          </w:p>
        </w:tc>
        <w:tc>
          <w:tcPr>
            <w:tcW w:w="2551" w:type="dxa"/>
            <w:vAlign w:val="center"/>
          </w:tcPr>
          <w:p>
            <w:pPr>
              <w:pStyle w:val="11"/>
            </w:pPr>
            <w:r>
              <w:t>116.25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78.01</w:t>
            </w:r>
          </w:p>
        </w:tc>
        <w:tc>
          <w:tcPr>
            <w:tcW w:w="2551" w:type="dxa"/>
            <w:vAlign w:val="center"/>
          </w:tcPr>
          <w:p>
            <w:pPr>
              <w:pStyle w:val="11"/>
            </w:pPr>
            <w:r>
              <w:t>78.01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38.24</w:t>
            </w:r>
          </w:p>
        </w:tc>
        <w:tc>
          <w:tcPr>
            <w:tcW w:w="2551" w:type="dxa"/>
            <w:vAlign w:val="center"/>
          </w:tcPr>
          <w:p>
            <w:pPr>
              <w:pStyle w:val="11"/>
            </w:pPr>
            <w:r>
              <w:t>38.24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38.02</w:t>
            </w:r>
          </w:p>
        </w:tc>
        <w:tc>
          <w:tcPr>
            <w:tcW w:w="2551" w:type="dxa"/>
            <w:vAlign w:val="center"/>
          </w:tcPr>
          <w:p>
            <w:pPr>
              <w:pStyle w:val="11"/>
            </w:pPr>
            <w:r>
              <w:t>38.02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38.02</w:t>
            </w:r>
          </w:p>
        </w:tc>
        <w:tc>
          <w:tcPr>
            <w:tcW w:w="2551" w:type="dxa"/>
            <w:vAlign w:val="center"/>
          </w:tcPr>
          <w:p>
            <w:pPr>
              <w:pStyle w:val="11"/>
            </w:pPr>
            <w:r>
              <w:t>38.02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26.84</w:t>
            </w:r>
          </w:p>
        </w:tc>
        <w:tc>
          <w:tcPr>
            <w:tcW w:w="2551" w:type="dxa"/>
            <w:vAlign w:val="center"/>
          </w:tcPr>
          <w:p>
            <w:pPr>
              <w:pStyle w:val="11"/>
            </w:pPr>
            <w:r>
              <w:t>26.84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11.18</w:t>
            </w:r>
          </w:p>
        </w:tc>
        <w:tc>
          <w:tcPr>
            <w:tcW w:w="2551" w:type="dxa"/>
            <w:vAlign w:val="center"/>
          </w:tcPr>
          <w:p>
            <w:pPr>
              <w:pStyle w:val="11"/>
            </w:pPr>
            <w:r>
              <w:t>11.18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57.36</w:t>
            </w:r>
          </w:p>
        </w:tc>
        <w:tc>
          <w:tcPr>
            <w:tcW w:w="2551" w:type="dxa"/>
            <w:vAlign w:val="center"/>
          </w:tcPr>
          <w:p>
            <w:pPr>
              <w:pStyle w:val="11"/>
            </w:pPr>
            <w:r>
              <w:t>57.36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57.36</w:t>
            </w:r>
          </w:p>
        </w:tc>
        <w:tc>
          <w:tcPr>
            <w:tcW w:w="2551" w:type="dxa"/>
            <w:vAlign w:val="center"/>
          </w:tcPr>
          <w:p>
            <w:pPr>
              <w:pStyle w:val="11"/>
            </w:pPr>
            <w:r>
              <w:t>57.36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57.36</w:t>
            </w:r>
          </w:p>
        </w:tc>
        <w:tc>
          <w:tcPr>
            <w:tcW w:w="2551" w:type="dxa"/>
            <w:vAlign w:val="center"/>
          </w:tcPr>
          <w:p>
            <w:pPr>
              <w:pStyle w:val="11"/>
            </w:pPr>
            <w:r>
              <w:t>57.36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977.79</w:t>
            </w:r>
          </w:p>
        </w:tc>
        <w:tc>
          <w:tcPr>
            <w:tcW w:w="2551" w:type="dxa"/>
            <w:vAlign w:val="center"/>
          </w:tcPr>
          <w:p>
            <w:pPr>
              <w:pStyle w:val="15"/>
            </w:pPr>
            <w:r>
              <w:t>828.06</w:t>
            </w:r>
          </w:p>
        </w:tc>
        <w:tc>
          <w:tcPr>
            <w:tcW w:w="2551" w:type="dxa"/>
            <w:vAlign w:val="center"/>
          </w:tcPr>
          <w:p>
            <w:pPr>
              <w:pStyle w:val="15"/>
            </w:pPr>
            <w:r>
              <w:t>149.73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757.86</w:t>
            </w:r>
          </w:p>
        </w:tc>
        <w:tc>
          <w:tcPr>
            <w:tcW w:w="2551" w:type="dxa"/>
            <w:vAlign w:val="center"/>
          </w:tcPr>
          <w:p>
            <w:pPr>
              <w:pStyle w:val="11"/>
            </w:pPr>
            <w:r>
              <w:t>757.86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231.16</w:t>
            </w:r>
          </w:p>
        </w:tc>
        <w:tc>
          <w:tcPr>
            <w:tcW w:w="2551" w:type="dxa"/>
            <w:vAlign w:val="center"/>
          </w:tcPr>
          <w:p>
            <w:pPr>
              <w:pStyle w:val="11"/>
            </w:pPr>
            <w:r>
              <w:t>231.16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110.19</w:t>
            </w:r>
          </w:p>
        </w:tc>
        <w:tc>
          <w:tcPr>
            <w:tcW w:w="2551" w:type="dxa"/>
            <w:vAlign w:val="center"/>
          </w:tcPr>
          <w:p>
            <w:pPr>
              <w:pStyle w:val="11"/>
            </w:pPr>
            <w:r>
              <w:t>110.19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136.94</w:t>
            </w:r>
          </w:p>
        </w:tc>
        <w:tc>
          <w:tcPr>
            <w:tcW w:w="2551" w:type="dxa"/>
            <w:vAlign w:val="center"/>
          </w:tcPr>
          <w:p>
            <w:pPr>
              <w:pStyle w:val="11"/>
            </w:pPr>
            <w:r>
              <w:t>136.94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63.33</w:t>
            </w:r>
          </w:p>
        </w:tc>
        <w:tc>
          <w:tcPr>
            <w:tcW w:w="2551" w:type="dxa"/>
            <w:vAlign w:val="center"/>
          </w:tcPr>
          <w:p>
            <w:pPr>
              <w:pStyle w:val="11"/>
            </w:pPr>
            <w:r>
              <w:t>63.33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78.01</w:t>
            </w:r>
          </w:p>
        </w:tc>
        <w:tc>
          <w:tcPr>
            <w:tcW w:w="2551" w:type="dxa"/>
            <w:vAlign w:val="center"/>
          </w:tcPr>
          <w:p>
            <w:pPr>
              <w:pStyle w:val="11"/>
            </w:pPr>
            <w:r>
              <w:t>78.01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38.24</w:t>
            </w:r>
          </w:p>
        </w:tc>
        <w:tc>
          <w:tcPr>
            <w:tcW w:w="2551" w:type="dxa"/>
            <w:vAlign w:val="center"/>
          </w:tcPr>
          <w:p>
            <w:pPr>
              <w:pStyle w:val="11"/>
            </w:pPr>
            <w:r>
              <w:t>38.24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26.84</w:t>
            </w:r>
          </w:p>
        </w:tc>
        <w:tc>
          <w:tcPr>
            <w:tcW w:w="2551" w:type="dxa"/>
            <w:vAlign w:val="center"/>
          </w:tcPr>
          <w:p>
            <w:pPr>
              <w:pStyle w:val="11"/>
            </w:pPr>
            <w:r>
              <w:t>26.84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11.18</w:t>
            </w:r>
          </w:p>
        </w:tc>
        <w:tc>
          <w:tcPr>
            <w:tcW w:w="2551" w:type="dxa"/>
            <w:vAlign w:val="center"/>
          </w:tcPr>
          <w:p>
            <w:pPr>
              <w:pStyle w:val="11"/>
            </w:pPr>
            <w:r>
              <w:t>11.18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4.61</w:t>
            </w:r>
          </w:p>
        </w:tc>
        <w:tc>
          <w:tcPr>
            <w:tcW w:w="2551" w:type="dxa"/>
            <w:vAlign w:val="center"/>
          </w:tcPr>
          <w:p>
            <w:pPr>
              <w:pStyle w:val="11"/>
            </w:pPr>
            <w:r>
              <w:t>4.61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57.36</w:t>
            </w:r>
          </w:p>
        </w:tc>
        <w:tc>
          <w:tcPr>
            <w:tcW w:w="2551" w:type="dxa"/>
            <w:vAlign w:val="center"/>
          </w:tcPr>
          <w:p>
            <w:pPr>
              <w:pStyle w:val="11"/>
            </w:pPr>
            <w:r>
              <w:t>57.36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149.73</w:t>
            </w:r>
          </w:p>
        </w:tc>
        <w:tc>
          <w:tcPr>
            <w:tcW w:w="2551" w:type="dxa"/>
            <w:vAlign w:val="center"/>
          </w:tcPr>
          <w:p>
            <w:pPr>
              <w:pStyle w:val="11"/>
            </w:pPr>
          </w:p>
        </w:tc>
        <w:tc>
          <w:tcPr>
            <w:tcW w:w="2551" w:type="dxa"/>
            <w:vAlign w:val="center"/>
          </w:tcPr>
          <w:p>
            <w:pPr>
              <w:pStyle w:val="11"/>
            </w:pPr>
            <w:r>
              <w:t>149.73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23.10</w:t>
            </w:r>
          </w:p>
        </w:tc>
        <w:tc>
          <w:tcPr>
            <w:tcW w:w="2551" w:type="dxa"/>
            <w:vAlign w:val="center"/>
          </w:tcPr>
          <w:p>
            <w:pPr>
              <w:pStyle w:val="11"/>
            </w:pPr>
          </w:p>
        </w:tc>
        <w:tc>
          <w:tcPr>
            <w:tcW w:w="2551" w:type="dxa"/>
            <w:vAlign w:val="center"/>
          </w:tcPr>
          <w:p>
            <w:pPr>
              <w:pStyle w:val="11"/>
            </w:pPr>
            <w: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28.21</w:t>
            </w:r>
          </w:p>
        </w:tc>
        <w:tc>
          <w:tcPr>
            <w:tcW w:w="2551" w:type="dxa"/>
            <w:vAlign w:val="center"/>
          </w:tcPr>
          <w:p>
            <w:pPr>
              <w:pStyle w:val="11"/>
            </w:pPr>
          </w:p>
        </w:tc>
        <w:tc>
          <w:tcPr>
            <w:tcW w:w="2551" w:type="dxa"/>
            <w:vAlign w:val="center"/>
          </w:tcPr>
          <w:p>
            <w:pPr>
              <w:pStyle w:val="11"/>
            </w:pPr>
            <w:r>
              <w:t>28.21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30212</w:t>
            </w:r>
          </w:p>
        </w:tc>
        <w:tc>
          <w:tcPr>
            <w:tcW w:w="4535" w:type="dxa"/>
            <w:vAlign w:val="center"/>
          </w:tcPr>
          <w:p>
            <w:pPr>
              <w:pStyle w:val="12"/>
            </w:pPr>
            <w:r>
              <w:t>因公出国（境）费用</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3021202</w:t>
            </w:r>
          </w:p>
        </w:tc>
        <w:tc>
          <w:tcPr>
            <w:tcW w:w="4535" w:type="dxa"/>
            <w:vAlign w:val="center"/>
          </w:tcPr>
          <w:p>
            <w:pPr>
              <w:pStyle w:val="12"/>
            </w:pPr>
            <w:r>
              <w:t>其他因公出国（境）费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31.30</w:t>
            </w:r>
          </w:p>
        </w:tc>
        <w:tc>
          <w:tcPr>
            <w:tcW w:w="2551" w:type="dxa"/>
            <w:vAlign w:val="center"/>
          </w:tcPr>
          <w:p>
            <w:pPr>
              <w:pStyle w:val="11"/>
            </w:pPr>
          </w:p>
        </w:tc>
        <w:tc>
          <w:tcPr>
            <w:tcW w:w="2551" w:type="dxa"/>
            <w:vAlign w:val="center"/>
          </w:tcPr>
          <w:p>
            <w:pPr>
              <w:pStyle w:val="11"/>
            </w:pPr>
            <w:r>
              <w:t>31.30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5.28</w:t>
            </w:r>
          </w:p>
        </w:tc>
        <w:tc>
          <w:tcPr>
            <w:tcW w:w="2551" w:type="dxa"/>
            <w:vAlign w:val="center"/>
          </w:tcPr>
          <w:p>
            <w:pPr>
              <w:pStyle w:val="11"/>
            </w:pPr>
          </w:p>
        </w:tc>
        <w:tc>
          <w:tcPr>
            <w:tcW w:w="2551" w:type="dxa"/>
            <w:vAlign w:val="center"/>
          </w:tcPr>
          <w:p>
            <w:pPr>
              <w:pStyle w:val="11"/>
            </w:pPr>
            <w:r>
              <w:t>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17.60</w:t>
            </w:r>
          </w:p>
        </w:tc>
        <w:tc>
          <w:tcPr>
            <w:tcW w:w="2551" w:type="dxa"/>
            <w:vAlign w:val="center"/>
          </w:tcPr>
          <w:p>
            <w:pPr>
              <w:pStyle w:val="11"/>
            </w:pPr>
          </w:p>
        </w:tc>
        <w:tc>
          <w:tcPr>
            <w:tcW w:w="2551" w:type="dxa"/>
            <w:vAlign w:val="center"/>
          </w:tcPr>
          <w:p>
            <w:pPr>
              <w:pStyle w:val="11"/>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24.13</w:t>
            </w:r>
          </w:p>
        </w:tc>
        <w:tc>
          <w:tcPr>
            <w:tcW w:w="2551" w:type="dxa"/>
            <w:vAlign w:val="center"/>
          </w:tcPr>
          <w:p>
            <w:pPr>
              <w:pStyle w:val="11"/>
            </w:pPr>
          </w:p>
        </w:tc>
        <w:tc>
          <w:tcPr>
            <w:tcW w:w="2551" w:type="dxa"/>
            <w:vAlign w:val="center"/>
          </w:tcPr>
          <w:p>
            <w:pPr>
              <w:pStyle w:val="11"/>
            </w:pPr>
            <w:r>
              <w:t>24.13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2.11</w:t>
            </w:r>
          </w:p>
        </w:tc>
        <w:tc>
          <w:tcPr>
            <w:tcW w:w="2551" w:type="dxa"/>
            <w:vAlign w:val="center"/>
          </w:tcPr>
          <w:p>
            <w:pPr>
              <w:pStyle w:val="11"/>
            </w:pPr>
          </w:p>
        </w:tc>
        <w:tc>
          <w:tcPr>
            <w:tcW w:w="2551" w:type="dxa"/>
            <w:vAlign w:val="center"/>
          </w:tcPr>
          <w:p>
            <w:pPr>
              <w:pStyle w:val="11"/>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70.19</w:t>
            </w:r>
          </w:p>
        </w:tc>
        <w:tc>
          <w:tcPr>
            <w:tcW w:w="2551" w:type="dxa"/>
            <w:vAlign w:val="center"/>
          </w:tcPr>
          <w:p>
            <w:pPr>
              <w:pStyle w:val="11"/>
            </w:pPr>
            <w:r>
              <w:t>70.19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69.13</w:t>
            </w:r>
          </w:p>
        </w:tc>
        <w:tc>
          <w:tcPr>
            <w:tcW w:w="2551" w:type="dxa"/>
            <w:vAlign w:val="center"/>
          </w:tcPr>
          <w:p>
            <w:pPr>
              <w:pStyle w:val="11"/>
            </w:pPr>
            <w:r>
              <w:t>69.13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1.07</w:t>
            </w:r>
          </w:p>
        </w:tc>
        <w:tc>
          <w:tcPr>
            <w:tcW w:w="2551" w:type="dxa"/>
            <w:vAlign w:val="center"/>
          </w:tcPr>
          <w:p>
            <w:pPr>
              <w:pStyle w:val="11"/>
            </w:pPr>
            <w:r>
              <w:t>1.07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35.60</w:t>
            </w:r>
          </w:p>
        </w:tc>
        <w:tc>
          <w:tcPr>
            <w:tcW w:w="2381" w:type="dxa"/>
            <w:vAlign w:val="center"/>
          </w:tcPr>
          <w:p>
            <w:pPr>
              <w:pStyle w:val="15"/>
            </w:pPr>
            <w:r>
              <w:t>35.60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35.60</w:t>
            </w:r>
          </w:p>
        </w:tc>
        <w:tc>
          <w:tcPr>
            <w:tcW w:w="2381" w:type="dxa"/>
            <w:vAlign w:val="center"/>
          </w:tcPr>
          <w:p>
            <w:pPr>
              <w:pStyle w:val="11"/>
            </w:pPr>
            <w:r>
              <w:t>35.60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r>
              <w:t>18.00</w:t>
            </w:r>
          </w:p>
        </w:tc>
        <w:tc>
          <w:tcPr>
            <w:tcW w:w="2381" w:type="dxa"/>
            <w:vAlign w:val="center"/>
          </w:tcPr>
          <w:p>
            <w:pPr>
              <w:pStyle w:val="11"/>
            </w:pPr>
            <w:r>
              <w:t>18.00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r>
              <w:t>18.00</w:t>
            </w:r>
          </w:p>
        </w:tc>
        <w:tc>
          <w:tcPr>
            <w:tcW w:w="2381" w:type="dxa"/>
            <w:vAlign w:val="center"/>
          </w:tcPr>
          <w:p>
            <w:pPr>
              <w:pStyle w:val="11"/>
            </w:pPr>
            <w:r>
              <w:t>18.00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17.60</w:t>
            </w:r>
          </w:p>
        </w:tc>
        <w:tc>
          <w:tcPr>
            <w:tcW w:w="2381" w:type="dxa"/>
            <w:vAlign w:val="center"/>
          </w:tcPr>
          <w:p>
            <w:pPr>
              <w:pStyle w:val="11"/>
            </w:pPr>
            <w:r>
              <w:t>17.60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17.60</w:t>
            </w:r>
          </w:p>
        </w:tc>
        <w:tc>
          <w:tcPr>
            <w:tcW w:w="2381" w:type="dxa"/>
            <w:vAlign w:val="center"/>
          </w:tcPr>
          <w:p>
            <w:pPr>
              <w:pStyle w:val="11"/>
            </w:pPr>
            <w:r>
              <w:t>17.60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坚持目标导向、问题导向、结果导向，以当好参谋助手、加强统筹协调、强化督办落实、优化服务保障为主线，以改革创新为动力，坚持系统观念，全力推动党中央重大决策和区委工作部署落地落实，组织开展全区全面深化改革重大问题的政策研究；协调督促有关方面落实领导小组决定事项、工作部署和要求；协调各专项小组、有关部门和单位就改革重要问题进行研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中国共产党石家庄市藁城区委员会办公室本级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jc w:val="both"/>
      </w:pPr>
      <w:r>
        <w:t>反映本单位当年全部收入。2026年预算收入1087.79万元，其中：一般公共预算收入1087.79万元，基金预算收入0.00万元，国有资本经营预算收入0.00万元，财政专户核拨收入0.00万元，单位资金收入0.00万元，上年结转结余0.00万元。</w:t>
      </w:r>
    </w:p>
    <w:p>
      <w:pPr>
        <w:pStyle w:val="18"/>
      </w:pPr>
      <w:r>
        <w:t>2、支出说明</w:t>
      </w:r>
    </w:p>
    <w:p>
      <w:pPr>
        <w:pStyle w:val="18"/>
        <w:jc w:val="both"/>
      </w:pPr>
      <w:r>
        <w:t>收支预算总表支出栏、基本支出表、项目支出表按经济分类和支出功能分类科目编制，反映中国共产党石家庄市藁城区委员会办公室本级年度单位预算中支出预算的总体情况。2026年支出预算1087.79万元，其中基本支出977.79万元，包括人员经费828.06万元和日常公用经费149.73万元；项目支出110.00万元，主要为区委办履职工作经费12万元，新型决策咨询智库运营经费6万元</w:t>
      </w:r>
      <w:r>
        <w:rPr>
          <w:rFonts w:hint="eastAsia"/>
          <w:lang w:eastAsia="zh-CN"/>
        </w:rPr>
        <w:t>等，其他项目涉密，不予公开</w:t>
      </w:r>
      <w:r>
        <w:t>。预计下年使用的单位资金结余0.00万元。委托业务费共计安排31.30万元，主要用于因技术原因确需对外委托的辅助性工作和确有必要对外委托开展咨询、评审、规划等工作。</w:t>
      </w:r>
    </w:p>
    <w:p>
      <w:pPr>
        <w:pStyle w:val="18"/>
      </w:pPr>
      <w:r>
        <w:t>3、比上年增减情况</w:t>
      </w:r>
    </w:p>
    <w:p>
      <w:pPr>
        <w:pStyle w:val="18"/>
        <w:jc w:val="both"/>
      </w:pPr>
      <w:r>
        <w:t>2026年预算收支安排1087.79万元，较2025年预算减少159.30万元，其中：基本支出减少127.28万元，主要为压缩开支，减少日常公用经费。项目支出减少32.02万元，主要为减少项目支出，降低成本。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2026年，我单位机关运行经费共计安排149.73万元，主要用于日常维修、办公用房水电费、办公用房取暖费、办公用房物业管理费等日常运行支出。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jc w:val="both"/>
      </w:pPr>
      <w:r>
        <w:t>2026年，我单位财政拨款“三公”经费预算安排35.60万元，其中因公出国（境）费18.00万元；公务用车购置及运维费17.60万元（其中：公务用车购置费为0.00万元，公务用车运维费17.60万元)；公务接待费0.00万元。与2025年相比</w:t>
      </w:r>
      <w:r>
        <w:rPr>
          <w:rFonts w:hint="eastAsia"/>
          <w:lang w:eastAsia="zh-CN"/>
        </w:rPr>
        <w:t>减少</w:t>
      </w:r>
      <w:r>
        <w:rPr>
          <w:rFonts w:hint="eastAsia"/>
          <w:lang w:val="en-US" w:eastAsia="zh-CN"/>
        </w:rPr>
        <w:t>2</w:t>
      </w:r>
      <w:r>
        <w:t>万元，增减变化的主要原因是</w:t>
      </w:r>
      <w:r>
        <w:rPr>
          <w:rFonts w:hint="eastAsia"/>
          <w:lang w:eastAsia="zh-CN"/>
        </w:rPr>
        <w:t>减少</w:t>
      </w:r>
      <w:r>
        <w:t>因公出国（境）</w:t>
      </w:r>
      <w:r>
        <w:rPr>
          <w:rFonts w:hint="eastAsia"/>
          <w:lang w:eastAsia="zh-CN"/>
        </w:rPr>
        <w:t>费用</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、区委办履职工作经费绩效目标表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13010926P000113100397</w:t>
            </w:r>
          </w:p>
        </w:tc>
        <w:tc>
          <w:tcPr>
            <w:tcW w:w="2835" w:type="dxa"/>
            <w:vAlign w:val="center"/>
          </w:tcPr>
          <w:p>
            <w:pPr>
              <w:pStyle w:val="10"/>
            </w:pPr>
            <w:r>
              <w:t>项目名称</w:t>
            </w:r>
          </w:p>
        </w:tc>
        <w:tc>
          <w:tcPr>
            <w:tcW w:w="6095" w:type="dxa"/>
            <w:gridSpan w:val="3"/>
            <w:vAlign w:val="center"/>
          </w:tcPr>
          <w:p>
            <w:pPr>
              <w:pStyle w:val="12"/>
            </w:pPr>
            <w:r>
              <w:t>区委办履职工作经费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完成区委办公室履职工作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3.60</w:t>
            </w:r>
          </w:p>
        </w:tc>
        <w:tc>
          <w:tcPr>
            <w:tcW w:w="2835" w:type="dxa"/>
            <w:vAlign w:val="center"/>
          </w:tcPr>
          <w:p>
            <w:pPr>
              <w:pStyle w:val="13"/>
            </w:pPr>
            <w:r>
              <w:t>7.20</w:t>
            </w:r>
          </w:p>
        </w:tc>
        <w:tc>
          <w:tcPr>
            <w:tcW w:w="2551" w:type="dxa"/>
            <w:vAlign w:val="center"/>
          </w:tcPr>
          <w:p>
            <w:pPr>
              <w:pStyle w:val="13"/>
            </w:pPr>
            <w:r>
              <w:t>10.80</w:t>
            </w:r>
          </w:p>
        </w:tc>
        <w:tc>
          <w:tcPr>
            <w:tcW w:w="3544"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1.完成区委办公室履职工作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打印文件份数</w:t>
            </w:r>
          </w:p>
        </w:tc>
        <w:tc>
          <w:tcPr>
            <w:tcW w:w="5386" w:type="dxa"/>
            <w:vAlign w:val="center"/>
          </w:tcPr>
          <w:p>
            <w:pPr>
              <w:pStyle w:val="12"/>
            </w:pPr>
            <w:r>
              <w:t>印制文件材料份数</w:t>
            </w:r>
          </w:p>
        </w:tc>
        <w:tc>
          <w:tcPr>
            <w:tcW w:w="2268" w:type="dxa"/>
            <w:vAlign w:val="center"/>
          </w:tcPr>
          <w:p>
            <w:pPr>
              <w:pStyle w:val="12"/>
            </w:pPr>
            <w:r>
              <w:t>≥2000份</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文件质量合格率</w:t>
            </w:r>
          </w:p>
        </w:tc>
        <w:tc>
          <w:tcPr>
            <w:tcW w:w="5386" w:type="dxa"/>
            <w:vAlign w:val="center"/>
          </w:tcPr>
          <w:p>
            <w:pPr>
              <w:pStyle w:val="12"/>
            </w:pPr>
            <w:r>
              <w:t>确保文件质量合格</w:t>
            </w:r>
          </w:p>
        </w:tc>
        <w:tc>
          <w:tcPr>
            <w:tcW w:w="2268" w:type="dxa"/>
            <w:vAlign w:val="center"/>
          </w:tcPr>
          <w:p>
            <w:pPr>
              <w:pStyle w:val="12"/>
            </w:pPr>
            <w:r>
              <w:t>≥98百分比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按时完成工作率</w:t>
            </w:r>
          </w:p>
        </w:tc>
        <w:tc>
          <w:tcPr>
            <w:tcW w:w="2268" w:type="dxa"/>
            <w:vAlign w:val="center"/>
          </w:tcPr>
          <w:p>
            <w:pPr>
              <w:pStyle w:val="12"/>
            </w:pPr>
            <w:r>
              <w:t>≥98百分比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打印资料费用</w:t>
            </w:r>
          </w:p>
        </w:tc>
        <w:tc>
          <w:tcPr>
            <w:tcW w:w="5386" w:type="dxa"/>
            <w:vAlign w:val="center"/>
          </w:tcPr>
          <w:p>
            <w:pPr>
              <w:pStyle w:val="12"/>
            </w:pPr>
            <w:r>
              <w:t>印制材料费用</w:t>
            </w:r>
          </w:p>
        </w:tc>
        <w:tc>
          <w:tcPr>
            <w:tcW w:w="2268" w:type="dxa"/>
            <w:vAlign w:val="center"/>
          </w:tcPr>
          <w:p>
            <w:pPr>
              <w:pStyle w:val="12"/>
            </w:pPr>
            <w:r>
              <w:t>≤12万元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保障工作顺利开展</w:t>
            </w:r>
          </w:p>
        </w:tc>
        <w:tc>
          <w:tcPr>
            <w:tcW w:w="5386" w:type="dxa"/>
            <w:vAlign w:val="center"/>
          </w:tcPr>
          <w:p>
            <w:pPr>
              <w:pStyle w:val="12"/>
            </w:pPr>
            <w:r>
              <w:t>保障工作正常开展</w:t>
            </w:r>
          </w:p>
        </w:tc>
        <w:tc>
          <w:tcPr>
            <w:tcW w:w="2268" w:type="dxa"/>
            <w:vAlign w:val="center"/>
          </w:tcPr>
          <w:p>
            <w:pPr>
              <w:pStyle w:val="12"/>
            </w:pPr>
            <w:r>
              <w:t>≥98百分比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所提供服务的满意度</w:t>
            </w:r>
          </w:p>
        </w:tc>
        <w:tc>
          <w:tcPr>
            <w:tcW w:w="2268" w:type="dxa"/>
            <w:vAlign w:val="center"/>
          </w:tcPr>
          <w:p>
            <w:pPr>
              <w:pStyle w:val="12"/>
            </w:pPr>
            <w:r>
              <w:t>≥98百分比</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、新型决策咨询智库运营经费绩效目标表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13010926P000113100441</w:t>
            </w:r>
          </w:p>
        </w:tc>
        <w:tc>
          <w:tcPr>
            <w:tcW w:w="2835" w:type="dxa"/>
            <w:vAlign w:val="center"/>
          </w:tcPr>
          <w:p>
            <w:pPr>
              <w:pStyle w:val="10"/>
            </w:pPr>
            <w:r>
              <w:t>项目名称</w:t>
            </w:r>
          </w:p>
        </w:tc>
        <w:tc>
          <w:tcPr>
            <w:tcW w:w="6095" w:type="dxa"/>
            <w:gridSpan w:val="3"/>
            <w:vAlign w:val="center"/>
          </w:tcPr>
          <w:p>
            <w:pPr>
              <w:pStyle w:val="12"/>
            </w:pPr>
            <w:r>
              <w:t>新型决策咨询智库运营经费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完成新型决策咨询智库运营工作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w:t>
            </w:r>
          </w:p>
        </w:tc>
        <w:tc>
          <w:tcPr>
            <w:tcW w:w="2835" w:type="dxa"/>
            <w:vAlign w:val="center"/>
          </w:tcPr>
          <w:p>
            <w:pPr>
              <w:pStyle w:val="13"/>
            </w:pPr>
            <w:r>
              <w:t>3.60</w:t>
            </w:r>
          </w:p>
        </w:tc>
        <w:tc>
          <w:tcPr>
            <w:tcW w:w="2551" w:type="dxa"/>
            <w:vAlign w:val="center"/>
          </w:tcPr>
          <w:p>
            <w:pPr>
              <w:pStyle w:val="13"/>
            </w:pPr>
            <w:r>
              <w:t>5.40</w:t>
            </w:r>
          </w:p>
        </w:tc>
        <w:tc>
          <w:tcPr>
            <w:tcW w:w="3544"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1.完成新型决策咨询智库运营工作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5386" w:type="dxa"/>
            <w:vAlign w:val="center"/>
          </w:tcPr>
          <w:p>
            <w:pPr>
              <w:pStyle w:val="12"/>
            </w:pPr>
            <w:r>
              <w:t>举办活动场次</w:t>
            </w:r>
          </w:p>
        </w:tc>
        <w:tc>
          <w:tcPr>
            <w:tcW w:w="2268" w:type="dxa"/>
            <w:vAlign w:val="center"/>
          </w:tcPr>
          <w:p>
            <w:pPr>
              <w:pStyle w:val="12"/>
            </w:pPr>
            <w:r>
              <w:t>≥1次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智库工作完成率</w:t>
            </w:r>
          </w:p>
        </w:tc>
        <w:tc>
          <w:tcPr>
            <w:tcW w:w="2268" w:type="dxa"/>
            <w:vAlign w:val="center"/>
          </w:tcPr>
          <w:p>
            <w:pPr>
              <w:pStyle w:val="12"/>
            </w:pPr>
            <w:r>
              <w:t>≥98百分比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资金到位率</w:t>
            </w:r>
          </w:p>
        </w:tc>
        <w:tc>
          <w:tcPr>
            <w:tcW w:w="5386" w:type="dxa"/>
            <w:vAlign w:val="center"/>
          </w:tcPr>
          <w:p>
            <w:pPr>
              <w:pStyle w:val="12"/>
            </w:pPr>
            <w:r>
              <w:t>资金及时到位率</w:t>
            </w:r>
          </w:p>
        </w:tc>
        <w:tc>
          <w:tcPr>
            <w:tcW w:w="2268" w:type="dxa"/>
            <w:vAlign w:val="center"/>
          </w:tcPr>
          <w:p>
            <w:pPr>
              <w:pStyle w:val="12"/>
            </w:pPr>
            <w:r>
              <w:t>≥98百分比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2268" w:type="dxa"/>
            <w:vAlign w:val="center"/>
          </w:tcPr>
          <w:p>
            <w:pPr>
              <w:pStyle w:val="12"/>
            </w:pPr>
            <w:r>
              <w:t>≤6万元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保障工作正常开展</w:t>
            </w:r>
          </w:p>
        </w:tc>
        <w:tc>
          <w:tcPr>
            <w:tcW w:w="5386" w:type="dxa"/>
            <w:vAlign w:val="center"/>
          </w:tcPr>
          <w:p>
            <w:pPr>
              <w:pStyle w:val="12"/>
            </w:pPr>
            <w:r>
              <w:t>保障智库工作正常开展</w:t>
            </w:r>
          </w:p>
        </w:tc>
        <w:tc>
          <w:tcPr>
            <w:tcW w:w="2268" w:type="dxa"/>
            <w:vAlign w:val="center"/>
          </w:tcPr>
          <w:p>
            <w:pPr>
              <w:pStyle w:val="12"/>
            </w:pPr>
            <w:r>
              <w:t>≥98百分比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所提供服务的满意度</w:t>
            </w:r>
          </w:p>
        </w:tc>
        <w:tc>
          <w:tcPr>
            <w:tcW w:w="2268" w:type="dxa"/>
            <w:vAlign w:val="center"/>
          </w:tcPr>
          <w:p>
            <w:pPr>
              <w:pStyle w:val="12"/>
            </w:pPr>
            <w:r>
              <w:t>≥98百分比</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方正仿宋_GBK" w:hAnsi="方正仿宋_GBK" w:eastAsia="方正仿宋_GBK" w:cs="方正仿宋_GBK"/>
          <w:color w:val="000000"/>
          <w:sz w:val="28"/>
          <w:lang w:val="en-US" w:eastAsia="zh-CN"/>
        </w:rPr>
      </w:pPr>
      <w:r>
        <w:rPr>
          <w:rFonts w:hint="eastAsia" w:ascii="方正仿宋_GBK" w:hAnsi="方正仿宋_GBK" w:eastAsia="方正仿宋_GBK" w:cs="方正仿宋_GBK"/>
          <w:color w:val="000000"/>
          <w:sz w:val="28"/>
          <w:lang w:val="en-US" w:eastAsia="zh-CN"/>
        </w:rPr>
        <w:t>3、涉密项目，不予公开</w:t>
      </w:r>
    </w:p>
    <w:p>
      <w:pPr>
        <w:spacing w:before="10" w:after="10" w:line="240" w:lineRule="auto"/>
        <w:ind w:firstLine="640"/>
        <w:jc w:val="left"/>
        <w:outlineLvl w:val="5"/>
      </w:pPr>
      <w:bookmarkStart w:id="1" w:name="_GoBack"/>
      <w:bookmarkEnd w:id="1"/>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中国共产党石家庄市藁城区委员会办公室本级上年末固定资产金额为636.78万元（详见下表）。本年度拟购置固定资产总额为0.00万元，已按要求列入政府采购预算，详见政府采购预算表。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636.78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97.63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539.15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文泉驿微米黑"/>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方正小标宋简体"/>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AFFBCF55"/>
    <w:rsid w:val="B76BCC84"/>
    <w:rsid w:val="DDFF5791"/>
    <w:rsid w:val="EC3FAD0E"/>
    <w:rsid w:val="FF4DDFE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Office_11.1.0.10161_F1E327BC-269C-435d-A152-05C5408002CA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2026-03-01T05:57:00Z</dcterms:created>
  <dc:creator>uos</dc:creator>
  <cp:lastModifiedBy>uos</cp:lastModifiedBy>
  <dcterms:modified xsi:type="dcterms:W3CDTF">2026-03-02T16:29:21Z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ies>
</file>