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EE619B9">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方正小标宋简体" w:hAnsi="方正小标宋简体" w:eastAsia="方正小标宋简体" w:cs="方正小标宋简体"/>
          <w:sz w:val="44"/>
          <w:szCs w:val="44"/>
          <w:lang w:val="en-US" w:eastAsia="zh-CN"/>
        </w:rPr>
      </w:pPr>
      <w:r>
        <w:rPr>
          <w:rFonts w:hint="eastAsia" w:ascii="方正小标宋简体" w:hAnsi="方正小标宋简体" w:eastAsia="方正小标宋简体" w:cs="方正小标宋简体"/>
          <w:sz w:val="44"/>
          <w:szCs w:val="44"/>
        </w:rPr>
        <w:t>关于加强石家庄</w:t>
      </w:r>
      <w:r>
        <w:rPr>
          <w:rFonts w:hint="eastAsia" w:ascii="方正小标宋简体" w:hAnsi="方正小标宋简体" w:eastAsia="方正小标宋简体" w:cs="方正小标宋简体"/>
          <w:sz w:val="44"/>
          <w:szCs w:val="44"/>
          <w:lang w:val="en-US" w:eastAsia="zh-CN"/>
        </w:rPr>
        <w:t>市现代食品产业园</w:t>
      </w:r>
    </w:p>
    <w:p w14:paraId="3364E179">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方正小标宋简体" w:hAnsi="方正小标宋简体" w:eastAsia="方正小标宋简体" w:cs="方正小标宋简体"/>
          <w:sz w:val="44"/>
          <w:szCs w:val="44"/>
          <w:lang w:eastAsia="zh-CN"/>
        </w:rPr>
      </w:pPr>
      <w:r>
        <w:rPr>
          <w:rFonts w:hint="eastAsia" w:ascii="方正小标宋简体" w:hAnsi="方正小标宋简体" w:eastAsia="方正小标宋简体" w:cs="方正小标宋简体"/>
          <w:sz w:val="44"/>
          <w:szCs w:val="44"/>
        </w:rPr>
        <w:t>标准化厂房建设管理的实施</w:t>
      </w:r>
      <w:r>
        <w:rPr>
          <w:rFonts w:hint="eastAsia" w:ascii="方正小标宋简体" w:hAnsi="方正小标宋简体" w:eastAsia="方正小标宋简体" w:cs="方正小标宋简体"/>
          <w:sz w:val="44"/>
          <w:szCs w:val="44"/>
          <w:lang w:val="en-US" w:eastAsia="zh-CN"/>
        </w:rPr>
        <w:t>方案（试行）</w:t>
      </w:r>
    </w:p>
    <w:p w14:paraId="539E99FA">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p>
    <w:p w14:paraId="79D8DA68">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根据</w:t>
      </w:r>
      <w:r>
        <w:rPr>
          <w:rFonts w:hint="eastAsia" w:ascii="仿宋_GB2312" w:hAnsi="仿宋_GB2312" w:eastAsia="仿宋_GB2312" w:cs="仿宋_GB2312"/>
          <w:sz w:val="32"/>
          <w:szCs w:val="32"/>
          <w:lang w:val="en-US" w:eastAsia="zh-CN"/>
        </w:rPr>
        <w:t>石家庄市人民政府办公室印发的《关于支持园区工业产业项目落地降低企业用地成本的若干措施（试行）的通知》</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val="en-US" w:eastAsia="zh-CN"/>
        </w:rPr>
        <w:t>石政办函</w:t>
      </w:r>
      <w:r>
        <w:rPr>
          <w:rFonts w:hint="eastAsia" w:ascii="仿宋_GB2312" w:hAnsi="仿宋_GB2312" w:eastAsia="仿宋_GB2312" w:cs="仿宋_GB2312"/>
          <w:sz w:val="32"/>
          <w:szCs w:val="32"/>
        </w:rPr>
        <w:t>〔20</w:t>
      </w:r>
      <w:r>
        <w:rPr>
          <w:rFonts w:hint="eastAsia" w:ascii="仿宋_GB2312" w:hAnsi="仿宋_GB2312" w:eastAsia="仿宋_GB2312" w:cs="仿宋_GB2312"/>
          <w:sz w:val="32"/>
          <w:szCs w:val="32"/>
          <w:lang w:val="en-US" w:eastAsia="zh-CN"/>
        </w:rPr>
        <w:t>22</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val="en-US" w:eastAsia="zh-CN"/>
        </w:rPr>
        <w:t>30</w:t>
      </w:r>
      <w:r>
        <w:rPr>
          <w:rFonts w:hint="eastAsia" w:ascii="仿宋_GB2312" w:hAnsi="仿宋_GB2312" w:eastAsia="仿宋_GB2312" w:cs="仿宋_GB2312"/>
          <w:sz w:val="32"/>
          <w:szCs w:val="32"/>
        </w:rPr>
        <w:t>号)精神，参照外地经验做法，结合我区实际，现就加强石家庄</w:t>
      </w:r>
      <w:r>
        <w:rPr>
          <w:rFonts w:hint="eastAsia" w:ascii="仿宋_GB2312" w:hAnsi="仿宋_GB2312" w:eastAsia="仿宋_GB2312" w:cs="仿宋_GB2312"/>
          <w:sz w:val="32"/>
          <w:szCs w:val="32"/>
          <w:lang w:val="en-US" w:eastAsia="zh-CN"/>
        </w:rPr>
        <w:t>市现代食品产业园</w:t>
      </w:r>
      <w:r>
        <w:rPr>
          <w:rFonts w:hint="eastAsia" w:ascii="仿宋_GB2312" w:hAnsi="仿宋_GB2312" w:eastAsia="仿宋_GB2312" w:cs="仿宋_GB2312"/>
          <w:sz w:val="32"/>
          <w:szCs w:val="32"/>
        </w:rPr>
        <w:t>标准化厂房建设、管理、使用、登记有关工作提出如下实施</w:t>
      </w:r>
      <w:r>
        <w:rPr>
          <w:rFonts w:hint="eastAsia" w:ascii="仿宋_GB2312" w:hAnsi="仿宋_GB2312" w:eastAsia="仿宋_GB2312" w:cs="仿宋_GB2312"/>
          <w:sz w:val="32"/>
          <w:szCs w:val="32"/>
          <w:lang w:val="en-US" w:eastAsia="zh-CN"/>
        </w:rPr>
        <w:t>方案</w:t>
      </w:r>
      <w:r>
        <w:rPr>
          <w:rFonts w:hint="eastAsia" w:ascii="仿宋_GB2312" w:hAnsi="仿宋_GB2312" w:eastAsia="仿宋_GB2312" w:cs="仿宋_GB2312"/>
          <w:sz w:val="32"/>
          <w:szCs w:val="32"/>
        </w:rPr>
        <w:t>。</w:t>
      </w:r>
    </w:p>
    <w:p w14:paraId="2C914A57">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黑体" w:hAnsi="黑体" w:eastAsia="黑体" w:cs="黑体"/>
          <w:sz w:val="32"/>
          <w:szCs w:val="32"/>
        </w:rPr>
      </w:pPr>
      <w:r>
        <w:rPr>
          <w:rFonts w:hint="eastAsia" w:ascii="黑体" w:hAnsi="黑体" w:eastAsia="黑体" w:cs="黑体"/>
          <w:sz w:val="32"/>
          <w:szCs w:val="32"/>
        </w:rPr>
        <w:t>一、相关定义</w:t>
      </w:r>
    </w:p>
    <w:p w14:paraId="3FD86687">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标准化厂房是指在石家庄</w:t>
      </w:r>
      <w:r>
        <w:rPr>
          <w:rFonts w:hint="eastAsia" w:ascii="仿宋_GB2312" w:hAnsi="仿宋_GB2312" w:eastAsia="仿宋_GB2312" w:cs="仿宋_GB2312"/>
          <w:sz w:val="32"/>
          <w:szCs w:val="32"/>
          <w:lang w:val="en-US" w:eastAsia="zh-CN"/>
        </w:rPr>
        <w:t>市现代食品产业园</w:t>
      </w:r>
      <w:r>
        <w:rPr>
          <w:rFonts w:hint="eastAsia" w:ascii="仿宋_GB2312" w:hAnsi="仿宋_GB2312" w:eastAsia="仿宋_GB2312" w:cs="仿宋_GB2312"/>
          <w:sz w:val="32"/>
          <w:szCs w:val="32"/>
        </w:rPr>
        <w:t>规划范围内，由符合要求的开发业主统一建设，用于出租或出售，达到建筑规模要求的通用工业厂房，用地性质为工业。标准化厂房具有通用性、配套性、集约性和节能省地的特征。</w:t>
      </w:r>
    </w:p>
    <w:p w14:paraId="506C933F">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基本单元或者最小单元是指有固定界限，有独立使用功能且有明确、唯一编号(栋号、室号等)的特定空间。</w:t>
      </w:r>
    </w:p>
    <w:p w14:paraId="4650A9A0">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黑体" w:hAnsi="黑体" w:eastAsia="黑体" w:cs="黑体"/>
          <w:sz w:val="32"/>
          <w:szCs w:val="32"/>
        </w:rPr>
      </w:pPr>
      <w:r>
        <w:rPr>
          <w:rFonts w:hint="eastAsia" w:ascii="黑体" w:hAnsi="黑体" w:eastAsia="黑体" w:cs="黑体"/>
          <w:sz w:val="32"/>
          <w:szCs w:val="32"/>
        </w:rPr>
        <w:t>二、规划要求与建设标准</w:t>
      </w:r>
    </w:p>
    <w:p w14:paraId="08933CB4">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w:t>
      </w:r>
      <w:r>
        <w:rPr>
          <w:rFonts w:hint="eastAsia" w:ascii="仿宋_GB2312" w:hAnsi="仿宋_GB2312" w:eastAsia="仿宋_GB2312" w:cs="仿宋_GB2312"/>
          <w:color w:val="auto"/>
          <w:sz w:val="32"/>
          <w:szCs w:val="32"/>
        </w:rPr>
        <w:t>.</w:t>
      </w:r>
      <w:r>
        <w:rPr>
          <w:rFonts w:hint="eastAsia" w:ascii="仿宋_GB2312" w:hAnsi="仿宋_GB2312" w:eastAsia="仿宋_GB2312" w:cs="仿宋_GB2312"/>
          <w:sz w:val="32"/>
          <w:szCs w:val="32"/>
          <w:highlight w:val="none"/>
        </w:rPr>
        <w:t>依据石家庄市政府批复的《石家庄市现代食品产业园(一期)控制性详细规划》</w:t>
      </w:r>
      <w:r>
        <w:rPr>
          <w:rFonts w:hint="eastAsia" w:ascii="仿宋_GB2312" w:hAnsi="仿宋_GB2312" w:eastAsia="仿宋_GB2312" w:cs="仿宋_GB2312"/>
          <w:sz w:val="32"/>
          <w:szCs w:val="32"/>
          <w:highlight w:val="none"/>
          <w:lang w:eastAsia="zh-CN"/>
        </w:rPr>
        <w:t>，</w:t>
      </w:r>
      <w:r>
        <w:rPr>
          <w:rFonts w:hint="eastAsia" w:ascii="仿宋_GB2312" w:hAnsi="仿宋_GB2312" w:eastAsia="仿宋_GB2312" w:cs="仿宋_GB2312"/>
          <w:sz w:val="32"/>
          <w:szCs w:val="32"/>
          <w:highlight w:val="none"/>
        </w:rPr>
        <w:t>容积</w:t>
      </w:r>
      <w:r>
        <w:rPr>
          <w:rFonts w:hint="eastAsia" w:ascii="仿宋_GB2312" w:hAnsi="仿宋_GB2312" w:eastAsia="仿宋_GB2312" w:cs="仿宋_GB2312"/>
          <w:sz w:val="32"/>
          <w:szCs w:val="32"/>
          <w:highlight w:val="none"/>
          <w:lang w:val="en-US" w:eastAsia="zh-CN"/>
        </w:rPr>
        <w:t>率</w:t>
      </w:r>
      <w:r>
        <w:rPr>
          <w:rFonts w:hint="eastAsia" w:ascii="仿宋_GB2312" w:hAnsi="仿宋_GB2312" w:eastAsia="仿宋_GB2312" w:cs="仿宋_GB2312"/>
          <w:sz w:val="32"/>
          <w:szCs w:val="32"/>
          <w:highlight w:val="none"/>
        </w:rPr>
        <w:t>1.1-2.5，建筑系数</w:t>
      </w:r>
      <w:r>
        <w:rPr>
          <w:rFonts w:hint="eastAsia" w:ascii="仿宋_GB2312" w:hAnsi="仿宋_GB2312" w:eastAsia="仿宋_GB2312" w:cs="仿宋_GB2312"/>
          <w:sz w:val="32"/>
          <w:szCs w:val="32"/>
          <w:highlight w:val="none"/>
          <w:lang w:val="en-US" w:eastAsia="zh-CN"/>
        </w:rPr>
        <w:t>≥</w:t>
      </w:r>
      <w:r>
        <w:rPr>
          <w:rFonts w:hint="eastAsia" w:ascii="仿宋_GB2312" w:hAnsi="仿宋_GB2312" w:eastAsia="仿宋_GB2312" w:cs="仿宋_GB2312"/>
          <w:sz w:val="32"/>
          <w:szCs w:val="32"/>
          <w:highlight w:val="none"/>
        </w:rPr>
        <w:t>40%，建筑密度</w:t>
      </w:r>
      <w:r>
        <w:rPr>
          <w:rFonts w:hint="eastAsia" w:ascii="仿宋_GB2312" w:hAnsi="仿宋_GB2312" w:eastAsia="仿宋_GB2312" w:cs="仿宋_GB2312"/>
          <w:sz w:val="32"/>
          <w:szCs w:val="32"/>
          <w:highlight w:val="none"/>
          <w:lang w:val="en-US" w:eastAsia="zh-CN"/>
        </w:rPr>
        <w:t>≤</w:t>
      </w:r>
      <w:r>
        <w:rPr>
          <w:rFonts w:hint="eastAsia" w:ascii="仿宋_GB2312" w:hAnsi="仿宋_GB2312" w:eastAsia="仿宋_GB2312" w:cs="仿宋_GB2312"/>
          <w:sz w:val="32"/>
          <w:szCs w:val="32"/>
          <w:highlight w:val="none"/>
        </w:rPr>
        <w:t>60%，绿地率15%-20%，建筑高度</w:t>
      </w:r>
      <w:r>
        <w:rPr>
          <w:rFonts w:hint="eastAsia" w:ascii="仿宋_GB2312" w:hAnsi="仿宋_GB2312" w:eastAsia="仿宋_GB2312" w:cs="仿宋_GB2312"/>
          <w:sz w:val="32"/>
          <w:szCs w:val="32"/>
          <w:highlight w:val="none"/>
          <w:lang w:val="en-US" w:eastAsia="zh-CN"/>
        </w:rPr>
        <w:t>≤</w:t>
      </w:r>
      <w:r>
        <w:rPr>
          <w:rFonts w:hint="eastAsia" w:ascii="仿宋_GB2312" w:hAnsi="仿宋_GB2312" w:eastAsia="仿宋_GB2312" w:cs="仿宋_GB2312"/>
          <w:sz w:val="32"/>
          <w:szCs w:val="32"/>
          <w:highlight w:val="none"/>
        </w:rPr>
        <w:t>24米。按照《运输机场净空区域内建设项目净空审核管理办法》的要求，食品产业园(一期)各建设项目必须征求正定机场管理部门意见，具体高度以征求意见结果为准</w:t>
      </w:r>
      <w:r>
        <w:rPr>
          <w:rFonts w:hint="eastAsia" w:ascii="仿宋_GB2312" w:hAnsi="仿宋_GB2312" w:eastAsia="仿宋_GB2312" w:cs="仿宋_GB2312"/>
          <w:sz w:val="32"/>
          <w:szCs w:val="32"/>
          <w:highlight w:val="none"/>
          <w:lang w:eastAsia="zh-CN"/>
        </w:rPr>
        <w:t>。</w:t>
      </w:r>
      <w:r>
        <w:rPr>
          <w:rFonts w:hint="eastAsia" w:ascii="仿宋_GB2312" w:hAnsi="仿宋_GB2312" w:eastAsia="仿宋_GB2312" w:cs="仿宋_GB2312"/>
          <w:sz w:val="32"/>
          <w:szCs w:val="32"/>
        </w:rPr>
        <w:t>新建标准化厂房项目原则上占地50亩以上，总投资在5000万元以上，总建筑面积不低于</w:t>
      </w:r>
      <w:r>
        <w:rPr>
          <w:rFonts w:hint="eastAsia" w:ascii="仿宋_GB2312" w:hAnsi="仿宋_GB2312" w:eastAsia="仿宋_GB2312" w:cs="仿宋_GB2312"/>
          <w:sz w:val="32"/>
          <w:szCs w:val="32"/>
          <w:lang w:val="en-US" w:eastAsia="zh-CN"/>
        </w:rPr>
        <w:t>3</w:t>
      </w:r>
      <w:r>
        <w:rPr>
          <w:rFonts w:hint="eastAsia" w:ascii="仿宋_GB2312" w:hAnsi="仿宋_GB2312" w:eastAsia="仿宋_GB2312" w:cs="仿宋_GB2312"/>
          <w:sz w:val="32"/>
          <w:szCs w:val="32"/>
        </w:rPr>
        <w:t>万平方米</w:t>
      </w:r>
      <w:r>
        <w:rPr>
          <w:rFonts w:hint="eastAsia" w:ascii="仿宋_GB2312" w:hAnsi="仿宋_GB2312" w:eastAsia="仿宋_GB2312" w:cs="仿宋_GB2312"/>
          <w:sz w:val="32"/>
          <w:szCs w:val="32"/>
          <w:lang w:val="en-US" w:eastAsia="zh-CN"/>
        </w:rPr>
        <w:t>以上</w:t>
      </w:r>
      <w:r>
        <w:rPr>
          <w:rFonts w:hint="eastAsia" w:ascii="仿宋_GB2312" w:hAnsi="仿宋_GB2312" w:eastAsia="仿宋_GB2312" w:cs="仿宋_GB2312"/>
          <w:sz w:val="32"/>
          <w:szCs w:val="32"/>
        </w:rPr>
        <w:t>，单体建筑面积不小于2000平方米，层高不低于4.2米，</w:t>
      </w:r>
      <w:r>
        <w:rPr>
          <w:rFonts w:hint="eastAsia" w:ascii="仿宋_GB2312" w:hAnsi="仿宋_GB2312" w:eastAsia="仿宋_GB2312" w:cs="仿宋_GB2312"/>
          <w:sz w:val="32"/>
          <w:szCs w:val="32"/>
          <w:lang w:val="en-US" w:eastAsia="zh-CN"/>
        </w:rPr>
        <w:t>主厂房</w:t>
      </w:r>
      <w:r>
        <w:rPr>
          <w:rFonts w:hint="eastAsia" w:ascii="仿宋_GB2312" w:hAnsi="仿宋_GB2312" w:eastAsia="仿宋_GB2312" w:cs="仿宋_GB2312"/>
          <w:sz w:val="32"/>
          <w:szCs w:val="32"/>
        </w:rPr>
        <w:t>进深不低于15米。与标准化厂房配套的生活设施、后勤保障、办公服务等配套用地面积不超过项目总用地面积的7%,配套建筑面积不超过总建筑面积的10%,基本单元原则上不低于</w:t>
      </w:r>
      <w:r>
        <w:rPr>
          <w:rFonts w:hint="eastAsia" w:ascii="仿宋_GB2312" w:hAnsi="仿宋_GB2312" w:eastAsia="仿宋_GB2312" w:cs="仿宋_GB2312"/>
          <w:sz w:val="32"/>
          <w:szCs w:val="32"/>
          <w:lang w:val="en-US" w:eastAsia="zh-CN"/>
        </w:rPr>
        <w:t>4</w:t>
      </w:r>
      <w:r>
        <w:rPr>
          <w:rFonts w:hint="eastAsia" w:ascii="仿宋_GB2312" w:hAnsi="仿宋_GB2312" w:eastAsia="仿宋_GB2312" w:cs="仿宋_GB2312"/>
          <w:sz w:val="32"/>
          <w:szCs w:val="32"/>
        </w:rPr>
        <w:t>00平方米或者一个楼层。标准化厂房内给排水、供电、供气排污等设施建设，要能够按入驻企业需求单独计费，并提供相应票据。</w:t>
      </w:r>
    </w:p>
    <w:p w14:paraId="23B8C11D">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2</w:t>
      </w:r>
      <w:r>
        <w:rPr>
          <w:rFonts w:hint="eastAsia" w:ascii="仿宋_GB2312" w:hAnsi="仿宋_GB2312" w:eastAsia="仿宋_GB2312" w:cs="仿宋_GB2312"/>
          <w:sz w:val="32"/>
          <w:szCs w:val="32"/>
        </w:rPr>
        <w:t>.标准化厂房项目原则上建设相对独立，所属明确，最小设计单元必须四至明确，且符合消防、安全、环保等方面的要求。具体项目的单元设置由建设单位根据功能需要在规划建设方案中确定，经规划部门批准的基本单元，不得随意变动和改造。</w:t>
      </w:r>
    </w:p>
    <w:p w14:paraId="4248AEAE">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3</w:t>
      </w:r>
      <w:r>
        <w:rPr>
          <w:rFonts w:hint="eastAsia" w:ascii="仿宋_GB2312" w:hAnsi="仿宋_GB2312" w:eastAsia="仿宋_GB2312" w:cs="仿宋_GB2312"/>
          <w:sz w:val="32"/>
          <w:szCs w:val="32"/>
        </w:rPr>
        <w:t>.严禁在工业项目用地范围内违法建造成套住宅、宾馆、招待所等非生产性配套设施，禁止将标准化厂房变相建成为商业、办公、住宅用房，不得有诸如厨房、阳台、烟道等居住功能设计内容，不得设立单元式走廊和回字型走廊。</w:t>
      </w:r>
    </w:p>
    <w:p w14:paraId="20380FA4">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黑体" w:hAnsi="黑体" w:eastAsia="黑体" w:cs="黑体"/>
          <w:sz w:val="32"/>
          <w:szCs w:val="32"/>
        </w:rPr>
      </w:pPr>
      <w:r>
        <w:rPr>
          <w:rFonts w:hint="eastAsia" w:ascii="黑体" w:hAnsi="黑体" w:eastAsia="黑体" w:cs="黑体"/>
          <w:sz w:val="32"/>
          <w:szCs w:val="32"/>
        </w:rPr>
        <w:t>三、标准化厂房项目审核</w:t>
      </w:r>
    </w:p>
    <w:p w14:paraId="10EB6270">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1.在招商引资阶段，</w:t>
      </w:r>
      <w:r>
        <w:rPr>
          <w:rFonts w:hint="eastAsia" w:ascii="仿宋_GB2312" w:hAnsi="仿宋_GB2312" w:eastAsia="仿宋_GB2312" w:cs="仿宋_GB2312"/>
          <w:sz w:val="32"/>
          <w:szCs w:val="32"/>
          <w:lang w:val="en-US" w:eastAsia="zh-CN"/>
        </w:rPr>
        <w:t>由区投促局（或招引项目的乡镇、部门）牵头，会同市自然资源和规划局藁城分局</w:t>
      </w:r>
      <w:r>
        <w:rPr>
          <w:rFonts w:hint="eastAsia" w:ascii="仿宋_GB2312" w:hAnsi="仿宋_GB2312" w:eastAsia="仿宋_GB2312" w:cs="仿宋_GB2312"/>
          <w:sz w:val="32"/>
          <w:szCs w:val="32"/>
        </w:rPr>
        <w:t>、石家庄</w:t>
      </w:r>
      <w:r>
        <w:rPr>
          <w:rFonts w:hint="eastAsia" w:ascii="仿宋_GB2312" w:hAnsi="仿宋_GB2312" w:eastAsia="仿宋_GB2312" w:cs="仿宋_GB2312"/>
          <w:sz w:val="32"/>
          <w:szCs w:val="32"/>
          <w:lang w:val="en-US" w:eastAsia="zh-CN"/>
        </w:rPr>
        <w:t>市现代食品产业园管委会</w:t>
      </w:r>
      <w:r>
        <w:rPr>
          <w:rFonts w:hint="eastAsia" w:ascii="仿宋_GB2312" w:hAnsi="仿宋_GB2312" w:eastAsia="仿宋_GB2312" w:cs="仿宋_GB2312"/>
          <w:sz w:val="32"/>
          <w:szCs w:val="32"/>
        </w:rPr>
        <w:t>等有关部门，就要明确标准化厂房项目的具体准入条件(包括产业类型、投资强度、税收、规划设计条件等建设要求),以及是否允许分割登记和进行转让。在区土地储备会召开前，</w:t>
      </w:r>
      <w:r>
        <w:rPr>
          <w:rFonts w:hint="eastAsia" w:ascii="仿宋_GB2312" w:hAnsi="仿宋_GB2312" w:eastAsia="仿宋_GB2312" w:cs="仿宋_GB2312"/>
          <w:sz w:val="32"/>
          <w:szCs w:val="32"/>
          <w:lang w:val="en-US" w:eastAsia="zh-CN"/>
        </w:rPr>
        <w:t>由区投促局（或招引项目的乡镇、部门）会同市自然资源和规划局藁城分局</w:t>
      </w:r>
      <w:r>
        <w:rPr>
          <w:rFonts w:hint="eastAsia" w:ascii="仿宋_GB2312" w:hAnsi="仿宋_GB2312" w:eastAsia="仿宋_GB2312" w:cs="仿宋_GB2312"/>
          <w:sz w:val="32"/>
          <w:szCs w:val="32"/>
        </w:rPr>
        <w:t>对属于标准化厂房的工业项目</w:t>
      </w:r>
      <w:r>
        <w:rPr>
          <w:rFonts w:hint="eastAsia" w:ascii="仿宋_GB2312" w:hAnsi="仿宋_GB2312" w:eastAsia="仿宋_GB2312" w:cs="仿宋_GB2312"/>
          <w:sz w:val="32"/>
          <w:szCs w:val="32"/>
          <w:lang w:val="en-US" w:eastAsia="zh-CN"/>
        </w:rPr>
        <w:t>形成</w:t>
      </w:r>
      <w:r>
        <w:rPr>
          <w:rFonts w:hint="eastAsia" w:ascii="仿宋_GB2312" w:hAnsi="仿宋_GB2312" w:eastAsia="仿宋_GB2312" w:cs="仿宋_GB2312"/>
          <w:sz w:val="32"/>
          <w:szCs w:val="32"/>
        </w:rPr>
        <w:t>确认意见，并在土地出让合同(或补充合同)中进行明确记载。</w:t>
      </w:r>
    </w:p>
    <w:p w14:paraId="0703FB0B">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rPr>
        <w:t>2.在办理</w:t>
      </w:r>
      <w:r>
        <w:rPr>
          <w:rFonts w:hint="eastAsia" w:ascii="仿宋_GB2312" w:hAnsi="仿宋_GB2312" w:eastAsia="仿宋_GB2312" w:cs="仿宋_GB2312"/>
          <w:sz w:val="32"/>
          <w:szCs w:val="32"/>
          <w:highlight w:val="none"/>
        </w:rPr>
        <w:t>《建设工程规划许可证》前，</w:t>
      </w:r>
      <w:r>
        <w:rPr>
          <w:rFonts w:hint="eastAsia" w:ascii="仿宋_GB2312" w:hAnsi="仿宋_GB2312" w:eastAsia="仿宋_GB2312" w:cs="仿宋_GB2312"/>
          <w:sz w:val="32"/>
          <w:szCs w:val="32"/>
          <w:lang w:val="en-US" w:eastAsia="zh-CN"/>
        </w:rPr>
        <w:t>由区投促局（或招引项目的乡镇、部门）会同市自然资源和规划局藁城分局</w:t>
      </w:r>
      <w:r>
        <w:rPr>
          <w:rFonts w:hint="eastAsia" w:ascii="仿宋_GB2312" w:hAnsi="仿宋_GB2312" w:eastAsia="仿宋_GB2312" w:cs="仿宋_GB2312"/>
          <w:sz w:val="32"/>
          <w:szCs w:val="32"/>
        </w:rPr>
        <w:t>对标准化厂房项目审核</w:t>
      </w:r>
      <w:r>
        <w:rPr>
          <w:rFonts w:hint="eastAsia" w:ascii="仿宋_GB2312" w:hAnsi="仿宋_GB2312" w:eastAsia="仿宋_GB2312" w:cs="仿宋_GB2312"/>
          <w:sz w:val="32"/>
          <w:szCs w:val="32"/>
          <w:lang w:eastAsia="zh-CN"/>
        </w:rPr>
        <w:t>。</w:t>
      </w:r>
    </w:p>
    <w:p w14:paraId="5388F624">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黑体" w:hAnsi="黑体" w:eastAsia="黑体" w:cs="黑体"/>
          <w:sz w:val="32"/>
          <w:szCs w:val="32"/>
        </w:rPr>
      </w:pPr>
      <w:r>
        <w:rPr>
          <w:rFonts w:hint="eastAsia" w:ascii="黑体" w:hAnsi="黑体" w:eastAsia="黑体" w:cs="黑体"/>
          <w:sz w:val="32"/>
          <w:szCs w:val="32"/>
        </w:rPr>
        <w:t>四、分割登记</w:t>
      </w:r>
    </w:p>
    <w:p w14:paraId="242169A9">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left"/>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（一）</w:t>
      </w:r>
      <w:r>
        <w:rPr>
          <w:rFonts w:hint="default" w:ascii="仿宋_GB2312" w:hAnsi="仿宋_GB2312" w:eastAsia="仿宋_GB2312" w:cs="仿宋_GB2312"/>
          <w:sz w:val="32"/>
          <w:szCs w:val="32"/>
          <w:lang w:val="en-US" w:eastAsia="zh-CN"/>
        </w:rPr>
        <w:t>分割登记</w:t>
      </w:r>
      <w:r>
        <w:rPr>
          <w:rFonts w:hint="eastAsia" w:ascii="仿宋_GB2312" w:hAnsi="仿宋_GB2312" w:eastAsia="仿宋_GB2312" w:cs="仿宋_GB2312"/>
          <w:sz w:val="32"/>
          <w:szCs w:val="32"/>
          <w:lang w:val="en-US" w:eastAsia="zh-CN"/>
        </w:rPr>
        <w:t>方式</w:t>
      </w:r>
    </w:p>
    <w:p w14:paraId="64AC3641">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left"/>
        <w:textAlignment w:val="auto"/>
        <w:rPr>
          <w:rFonts w:hint="default" w:ascii="仿宋_GB2312" w:hAnsi="仿宋_GB2312" w:eastAsia="仿宋_GB2312" w:cs="仿宋_GB2312"/>
          <w:sz w:val="32"/>
          <w:szCs w:val="32"/>
          <w:lang w:val="en-US" w:eastAsia="zh-CN"/>
        </w:rPr>
      </w:pPr>
      <w:r>
        <w:rPr>
          <w:rFonts w:hint="default" w:ascii="仿宋_GB2312" w:hAnsi="仿宋_GB2312" w:eastAsia="仿宋_GB2312" w:cs="仿宋_GB2312"/>
          <w:sz w:val="32"/>
          <w:szCs w:val="32"/>
          <w:lang w:val="en-US" w:eastAsia="zh-CN"/>
        </w:rPr>
        <w:t>1</w:t>
      </w:r>
      <w:r>
        <w:rPr>
          <w:rFonts w:hint="eastAsia" w:ascii="仿宋_GB2312" w:hAnsi="仿宋_GB2312" w:eastAsia="仿宋_GB2312" w:cs="仿宋_GB2312"/>
          <w:sz w:val="32"/>
          <w:szCs w:val="32"/>
          <w:lang w:val="en-US" w:eastAsia="zh-CN"/>
        </w:rPr>
        <w:t>.不可进行土地分割的，</w:t>
      </w:r>
      <w:r>
        <w:rPr>
          <w:rFonts w:hint="default" w:ascii="仿宋_GB2312" w:hAnsi="仿宋_GB2312" w:eastAsia="仿宋_GB2312" w:cs="仿宋_GB2312"/>
          <w:sz w:val="32"/>
          <w:szCs w:val="32"/>
          <w:lang w:val="en-US" w:eastAsia="zh-CN"/>
        </w:rPr>
        <w:t>按层、间等不涉及土地分割的，按</w:t>
      </w:r>
      <w:r>
        <w:rPr>
          <w:rFonts w:hint="eastAsia" w:ascii="仿宋_GB2312" w:hAnsi="仿宋_GB2312" w:eastAsia="仿宋_GB2312" w:cs="仿宋_GB2312"/>
          <w:sz w:val="32"/>
          <w:szCs w:val="32"/>
          <w:highlight w:val="none"/>
          <w:lang w:val="en-US" w:eastAsia="zh-CN"/>
        </w:rPr>
        <w:t>区</w:t>
      </w:r>
      <w:r>
        <w:rPr>
          <w:rFonts w:hint="default" w:ascii="仿宋_GB2312" w:hAnsi="仿宋_GB2312" w:eastAsia="仿宋_GB2312" w:cs="仿宋_GB2312"/>
          <w:sz w:val="32"/>
          <w:szCs w:val="32"/>
          <w:highlight w:val="none"/>
          <w:lang w:val="en-US" w:eastAsia="zh-CN"/>
        </w:rPr>
        <w:t>资规局</w:t>
      </w:r>
      <w:r>
        <w:rPr>
          <w:rFonts w:hint="eastAsia" w:ascii="仿宋_GB2312" w:hAnsi="仿宋_GB2312" w:eastAsia="仿宋_GB2312" w:cs="仿宋_GB2312"/>
          <w:sz w:val="32"/>
          <w:szCs w:val="32"/>
          <w:highlight w:val="none"/>
          <w:lang w:val="en-US" w:eastAsia="zh-CN"/>
        </w:rPr>
        <w:t>批准意见</w:t>
      </w:r>
      <w:r>
        <w:rPr>
          <w:rFonts w:hint="default" w:ascii="仿宋_GB2312" w:hAnsi="仿宋_GB2312" w:eastAsia="仿宋_GB2312" w:cs="仿宋_GB2312"/>
          <w:sz w:val="32"/>
          <w:szCs w:val="32"/>
          <w:highlight w:val="none"/>
          <w:lang w:val="en-US" w:eastAsia="zh-CN"/>
        </w:rPr>
        <w:t>以及园区管委会批准的分割方案办理，申请登</w:t>
      </w:r>
      <w:r>
        <w:rPr>
          <w:rFonts w:hint="default" w:ascii="仿宋_GB2312" w:hAnsi="仿宋_GB2312" w:eastAsia="仿宋_GB2312" w:cs="仿宋_GB2312"/>
          <w:sz w:val="32"/>
          <w:szCs w:val="32"/>
          <w:lang w:val="en-US" w:eastAsia="zh-CN"/>
        </w:rPr>
        <w:t>记时需提供分割后的房屋测量调查报告等其他必要材料；</w:t>
      </w:r>
    </w:p>
    <w:p w14:paraId="234A5E01">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left"/>
        <w:textAlignment w:val="auto"/>
        <w:rPr>
          <w:rFonts w:hint="default" w:ascii="仿宋_GB2312" w:hAnsi="仿宋_GB2312" w:eastAsia="仿宋_GB2312" w:cs="仿宋_GB2312"/>
          <w:sz w:val="32"/>
          <w:szCs w:val="32"/>
          <w:lang w:val="en-US" w:eastAsia="zh-CN"/>
        </w:rPr>
      </w:pPr>
      <w:r>
        <w:rPr>
          <w:rFonts w:hint="default" w:ascii="仿宋_GB2312" w:hAnsi="仿宋_GB2312" w:eastAsia="仿宋_GB2312" w:cs="仿宋_GB2312"/>
          <w:sz w:val="32"/>
          <w:szCs w:val="32"/>
          <w:lang w:val="en-US" w:eastAsia="zh-CN"/>
        </w:rPr>
        <w:t>2</w:t>
      </w:r>
      <w:r>
        <w:rPr>
          <w:rFonts w:hint="eastAsia" w:ascii="仿宋_GB2312" w:hAnsi="仿宋_GB2312" w:eastAsia="仿宋_GB2312" w:cs="仿宋_GB2312"/>
          <w:sz w:val="32"/>
          <w:szCs w:val="32"/>
          <w:lang w:val="en-US" w:eastAsia="zh-CN"/>
        </w:rPr>
        <w:t>.可进行土地分割的，</w:t>
      </w:r>
      <w:r>
        <w:rPr>
          <w:rFonts w:hint="default" w:ascii="仿宋_GB2312" w:hAnsi="仿宋_GB2312" w:eastAsia="仿宋_GB2312" w:cs="仿宋_GB2312"/>
          <w:sz w:val="32"/>
          <w:szCs w:val="32"/>
          <w:lang w:val="en-US" w:eastAsia="zh-CN"/>
        </w:rPr>
        <w:t>按幢等房地一体分割的，按</w:t>
      </w:r>
      <w:r>
        <w:rPr>
          <w:rFonts w:hint="eastAsia" w:ascii="仿宋_GB2312" w:hAnsi="仿宋_GB2312" w:eastAsia="仿宋_GB2312" w:cs="仿宋_GB2312"/>
          <w:sz w:val="32"/>
          <w:szCs w:val="32"/>
          <w:lang w:val="en-US" w:eastAsia="zh-CN"/>
        </w:rPr>
        <w:t>区</w:t>
      </w:r>
      <w:r>
        <w:rPr>
          <w:rFonts w:hint="default" w:ascii="仿宋_GB2312" w:hAnsi="仿宋_GB2312" w:eastAsia="仿宋_GB2312" w:cs="仿宋_GB2312"/>
          <w:sz w:val="32"/>
          <w:szCs w:val="32"/>
          <w:lang w:val="en-US" w:eastAsia="zh-CN"/>
        </w:rPr>
        <w:t>资规局</w:t>
      </w:r>
      <w:r>
        <w:rPr>
          <w:rFonts w:hint="eastAsia" w:ascii="仿宋_GB2312" w:hAnsi="仿宋_GB2312" w:eastAsia="仿宋_GB2312" w:cs="仿宋_GB2312"/>
          <w:sz w:val="32"/>
          <w:szCs w:val="32"/>
          <w:lang w:val="en-US" w:eastAsia="zh-CN"/>
        </w:rPr>
        <w:t>批准意见</w:t>
      </w:r>
      <w:r>
        <w:rPr>
          <w:rFonts w:hint="default" w:ascii="仿宋_GB2312" w:hAnsi="仿宋_GB2312" w:eastAsia="仿宋_GB2312" w:cs="仿宋_GB2312"/>
          <w:sz w:val="32"/>
          <w:szCs w:val="32"/>
          <w:lang w:val="en-US" w:eastAsia="zh-CN"/>
        </w:rPr>
        <w:t>以及园区管委会批准的分割方案办理，申请登记时需提供分割后的地籍调查报告等其他必要材料。</w:t>
      </w:r>
    </w:p>
    <w:p w14:paraId="15025543">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二</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分割登记条件</w:t>
      </w:r>
    </w:p>
    <w:p w14:paraId="1F7F4D71">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w:t>
      </w:r>
      <w:r>
        <w:rPr>
          <w:rFonts w:hint="eastAsia" w:ascii="仿宋_GB2312" w:hAnsi="仿宋_GB2312" w:eastAsia="仿宋_GB2312" w:cs="仿宋_GB2312"/>
          <w:sz w:val="32"/>
          <w:szCs w:val="32"/>
          <w:lang w:val="en-US" w:eastAsia="zh-CN"/>
        </w:rPr>
        <w:t>市自然资源和规划局藁城分局</w:t>
      </w:r>
      <w:r>
        <w:rPr>
          <w:rFonts w:hint="eastAsia" w:ascii="仿宋_GB2312" w:hAnsi="仿宋_GB2312" w:eastAsia="仿宋_GB2312" w:cs="仿宋_GB2312"/>
          <w:sz w:val="32"/>
          <w:szCs w:val="32"/>
        </w:rPr>
        <w:t>可以根据验收意见和审核过的项目单位的分割方案，按栋、层，甚至间办理不动产权分割登记。最小分割单位不能低于基本单元或最小单元的要求。</w:t>
      </w:r>
    </w:p>
    <w:p w14:paraId="2CB4496A">
      <w:pPr>
        <w:keepNext w:val="0"/>
        <w:keepLines w:val="0"/>
        <w:pageBreakBefore w:val="0"/>
        <w:widowControl/>
        <w:kinsoku w:val="0"/>
        <w:wordWrap/>
        <w:overflowPunct/>
        <w:topLinePunct w:val="0"/>
        <w:autoSpaceDE w:val="0"/>
        <w:autoSpaceDN w:val="0"/>
        <w:bidi w:val="0"/>
        <w:adjustRightInd w:val="0"/>
        <w:snapToGrid w:val="0"/>
        <w:spacing w:line="560" w:lineRule="exact"/>
        <w:ind w:firstLine="640" w:firstLineChars="200"/>
        <w:textAlignment w:val="baseline"/>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2.</w:t>
      </w:r>
      <w:r>
        <w:rPr>
          <w:rFonts w:hint="eastAsia" w:ascii="仿宋_GB2312" w:hAnsi="仿宋_GB2312" w:eastAsia="仿宋_GB2312" w:cs="仿宋_GB2312"/>
          <w:sz w:val="32"/>
          <w:szCs w:val="32"/>
        </w:rPr>
        <w:t>单层钢结构车间+框架结构三层配建车间</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允许对单层钢结构车间建筑面积≥500平方米的销售车间，层高不低于6米，以及框架结构三层配建车间建筑面积≥300平方米，层高3.2-4.2米，以幢、以跨为基本单元分割登记产权；四层框架车间</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允许对四层框架车间建筑面积≥</w:t>
      </w:r>
      <w:r>
        <w:rPr>
          <w:rFonts w:hint="eastAsia" w:ascii="仿宋_GB2312" w:hAnsi="仿宋_GB2312" w:eastAsia="仿宋_GB2312" w:cs="仿宋_GB2312"/>
          <w:sz w:val="32"/>
          <w:szCs w:val="32"/>
          <w:lang w:val="en-US" w:eastAsia="zh-CN"/>
        </w:rPr>
        <w:t>4</w:t>
      </w:r>
      <w:r>
        <w:rPr>
          <w:rFonts w:hint="eastAsia" w:ascii="仿宋_GB2312" w:hAnsi="仿宋_GB2312" w:eastAsia="仿宋_GB2312" w:cs="仿宋_GB2312"/>
          <w:sz w:val="32"/>
          <w:szCs w:val="32"/>
        </w:rPr>
        <w:t>00平方米的销售车间，层高4-7米，分层为基本单元分割登记产权，需要同一楼层内分割转让的，必须符合经批准的规划设计方案。明确按固定界限（幢、跨、层）分割登记，且转让对象须为产业链合作伙伴。</w:t>
      </w:r>
    </w:p>
    <w:p w14:paraId="3F23E191">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3</w:t>
      </w:r>
      <w:r>
        <w:rPr>
          <w:rFonts w:hint="eastAsia" w:ascii="仿宋_GB2312" w:hAnsi="仿宋_GB2312" w:eastAsia="仿宋_GB2312" w:cs="仿宋_GB2312"/>
          <w:sz w:val="32"/>
          <w:szCs w:val="32"/>
        </w:rPr>
        <w:t>.分割登记不得改变规划批准方案中关于基本单元的设计要求，同时，公建配套设施部分(具体内容以</w:t>
      </w:r>
      <w:r>
        <w:rPr>
          <w:rFonts w:hint="eastAsia" w:ascii="仿宋_GB2312" w:hAnsi="仿宋_GB2312" w:eastAsia="仿宋_GB2312" w:cs="仿宋_GB2312"/>
          <w:sz w:val="32"/>
          <w:szCs w:val="32"/>
          <w:lang w:val="en-US" w:eastAsia="zh-CN"/>
        </w:rPr>
        <w:t>市自然资源和规划局藁城分局</w:t>
      </w:r>
      <w:r>
        <w:rPr>
          <w:rFonts w:hint="eastAsia" w:ascii="仿宋_GB2312" w:hAnsi="仿宋_GB2312" w:eastAsia="仿宋_GB2312" w:cs="仿宋_GB2312"/>
          <w:sz w:val="32"/>
          <w:szCs w:val="32"/>
        </w:rPr>
        <w:t>批准的建设方案总平图为准)以及土地使用权登记为工业园区全体业主共有，不得单独分割登记。</w:t>
      </w:r>
    </w:p>
    <w:p w14:paraId="2C4BBAED">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黑体" w:hAnsi="黑体" w:eastAsia="黑体" w:cs="黑体"/>
          <w:sz w:val="32"/>
          <w:szCs w:val="32"/>
        </w:rPr>
      </w:pPr>
      <w:r>
        <w:rPr>
          <w:rFonts w:hint="eastAsia" w:ascii="黑体" w:hAnsi="黑体" w:eastAsia="黑体" w:cs="黑体"/>
          <w:sz w:val="32"/>
          <w:szCs w:val="32"/>
        </w:rPr>
        <w:t>五、转移登记</w:t>
      </w:r>
    </w:p>
    <w:p w14:paraId="2255E5C9">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left"/>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（一）转移登记方式</w:t>
      </w:r>
    </w:p>
    <w:p w14:paraId="5039369C">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left"/>
        <w:textAlignment w:val="auto"/>
        <w:rPr>
          <w:rFonts w:hint="default" w:ascii="仿宋_GB2312" w:hAnsi="仿宋_GB2312" w:eastAsia="仿宋_GB2312" w:cs="仿宋_GB2312"/>
          <w:sz w:val="32"/>
          <w:szCs w:val="32"/>
          <w:lang w:val="en-US" w:eastAsia="zh-CN"/>
        </w:rPr>
      </w:pPr>
      <w:r>
        <w:rPr>
          <w:rFonts w:hint="default" w:ascii="仿宋_GB2312" w:hAnsi="仿宋_GB2312" w:eastAsia="仿宋_GB2312" w:cs="仿宋_GB2312"/>
          <w:sz w:val="32"/>
          <w:szCs w:val="32"/>
          <w:lang w:val="en-US" w:eastAsia="zh-CN"/>
        </w:rPr>
        <w:t>1、按层、间等转移的，参照市场化商品房交易，由房产交易中心核准交易、税务部门核税、不动产登记中心按园区管委会意见办理登记；</w:t>
      </w:r>
    </w:p>
    <w:p w14:paraId="532A6224">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left"/>
        <w:textAlignment w:val="auto"/>
        <w:rPr>
          <w:rFonts w:hint="default" w:ascii="仿宋_GB2312" w:hAnsi="仿宋_GB2312" w:eastAsia="仿宋_GB2312" w:cs="仿宋_GB2312"/>
          <w:sz w:val="32"/>
          <w:szCs w:val="32"/>
          <w:lang w:val="en-US" w:eastAsia="zh-CN"/>
        </w:rPr>
      </w:pPr>
      <w:r>
        <w:rPr>
          <w:rFonts w:hint="default" w:ascii="仿宋_GB2312" w:hAnsi="仿宋_GB2312" w:eastAsia="仿宋_GB2312" w:cs="仿宋_GB2312"/>
          <w:sz w:val="32"/>
          <w:szCs w:val="32"/>
          <w:lang w:val="en-US" w:eastAsia="zh-CN"/>
        </w:rPr>
        <w:t>2、按幢等房地一体转移的，参照土地二级市场交易，由不动产登记中心核准交易、税务部门核税、不动产登记中心按园区管委会意见办理登记；</w:t>
      </w:r>
    </w:p>
    <w:p w14:paraId="5C177A96">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二</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转移登记条件</w:t>
      </w:r>
    </w:p>
    <w:p w14:paraId="54C1075E">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rPr>
        <w:t>已经分割登记的标准化厂房项目，符合以下条件的可以进行产权转让</w:t>
      </w:r>
      <w:r>
        <w:rPr>
          <w:rFonts w:hint="eastAsia" w:ascii="仿宋_GB2312" w:hAnsi="仿宋_GB2312" w:eastAsia="仿宋_GB2312" w:cs="仿宋_GB2312"/>
          <w:sz w:val="32"/>
          <w:szCs w:val="32"/>
          <w:lang w:eastAsia="zh-CN"/>
        </w:rPr>
        <w:t>：</w:t>
      </w:r>
    </w:p>
    <w:p w14:paraId="31C949FA">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color w:val="FF0000"/>
          <w:sz w:val="32"/>
          <w:szCs w:val="32"/>
        </w:rPr>
      </w:pPr>
      <w:r>
        <w:rPr>
          <w:rFonts w:hint="eastAsia" w:ascii="仿宋_GB2312" w:hAnsi="仿宋_GB2312" w:eastAsia="仿宋_GB2312" w:cs="仿宋_GB2312"/>
          <w:sz w:val="32"/>
          <w:szCs w:val="32"/>
        </w:rPr>
        <w:t>1.</w:t>
      </w:r>
      <w:r>
        <w:rPr>
          <w:rFonts w:hint="eastAsia" w:ascii="仿宋_GB2312" w:hAnsi="仿宋_GB2312" w:eastAsia="仿宋_GB2312" w:cs="仿宋_GB2312"/>
          <w:color w:val="auto"/>
          <w:sz w:val="32"/>
          <w:szCs w:val="32"/>
        </w:rPr>
        <w:t>受让方必须为正式工商注册登记、在</w:t>
      </w:r>
      <w:r>
        <w:rPr>
          <w:rFonts w:hint="eastAsia" w:ascii="仿宋_GB2312" w:hAnsi="仿宋_GB2312" w:eastAsia="仿宋_GB2312" w:cs="仿宋_GB2312"/>
          <w:color w:val="auto"/>
          <w:sz w:val="32"/>
          <w:szCs w:val="32"/>
          <w:lang w:val="en-US" w:eastAsia="zh-CN"/>
        </w:rPr>
        <w:t>石家庄市现代食品产业园</w:t>
      </w:r>
      <w:r>
        <w:rPr>
          <w:rFonts w:hint="eastAsia" w:ascii="仿宋_GB2312" w:hAnsi="仿宋_GB2312" w:eastAsia="仿宋_GB2312" w:cs="仿宋_GB2312"/>
          <w:color w:val="auto"/>
          <w:sz w:val="32"/>
          <w:szCs w:val="32"/>
        </w:rPr>
        <w:t>纳税的企业，必须符合园区发展定位和产业配套需要(企业总部除外)。</w:t>
      </w:r>
    </w:p>
    <w:p w14:paraId="325F6AD9">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color w:val="FF0000"/>
          <w:sz w:val="32"/>
          <w:szCs w:val="32"/>
          <w:highlight w:val="none"/>
        </w:rPr>
      </w:pPr>
      <w:r>
        <w:rPr>
          <w:rFonts w:hint="eastAsia" w:ascii="仿宋_GB2312" w:hAnsi="仿宋_GB2312" w:eastAsia="仿宋_GB2312" w:cs="仿宋_GB2312"/>
          <w:color w:val="000000"/>
          <w:sz w:val="32"/>
          <w:szCs w:val="32"/>
          <w:highlight w:val="none"/>
        </w:rPr>
        <w:t>2.建设单位</w:t>
      </w:r>
      <w:r>
        <w:rPr>
          <w:rFonts w:hint="eastAsia" w:ascii="仿宋_GB2312" w:hAnsi="仿宋_GB2312" w:eastAsia="仿宋_GB2312" w:cs="仿宋_GB2312"/>
          <w:color w:val="auto"/>
          <w:sz w:val="32"/>
          <w:szCs w:val="32"/>
          <w:highlight w:val="none"/>
        </w:rPr>
        <w:t>在</w:t>
      </w:r>
      <w:r>
        <w:rPr>
          <w:rFonts w:hint="eastAsia" w:ascii="仿宋_GB2312" w:hAnsi="仿宋_GB2312" w:eastAsia="仿宋_GB2312" w:cs="仿宋_GB2312"/>
          <w:color w:val="auto"/>
          <w:sz w:val="32"/>
          <w:szCs w:val="32"/>
          <w:highlight w:val="none"/>
          <w:lang w:val="en-US" w:eastAsia="zh-CN"/>
        </w:rPr>
        <w:t>竣工验收</w:t>
      </w:r>
      <w:r>
        <w:rPr>
          <w:rFonts w:hint="eastAsia" w:ascii="仿宋_GB2312" w:hAnsi="仿宋_GB2312" w:eastAsia="仿宋_GB2312" w:cs="仿宋_GB2312"/>
          <w:color w:val="auto"/>
          <w:sz w:val="32"/>
          <w:szCs w:val="32"/>
          <w:highlight w:val="none"/>
        </w:rPr>
        <w:t>后</w:t>
      </w:r>
      <w:r>
        <w:rPr>
          <w:rFonts w:hint="eastAsia" w:ascii="仿宋_GB2312" w:hAnsi="仿宋_GB2312" w:eastAsia="仿宋_GB2312" w:cs="仿宋_GB2312"/>
          <w:color w:val="auto"/>
          <w:sz w:val="32"/>
          <w:szCs w:val="32"/>
          <w:highlight w:val="none"/>
          <w:lang w:val="en-US" w:eastAsia="zh-CN"/>
        </w:rPr>
        <w:t>两年内</w:t>
      </w:r>
      <w:r>
        <w:rPr>
          <w:rFonts w:hint="eastAsia" w:ascii="仿宋_GB2312" w:hAnsi="仿宋_GB2312" w:eastAsia="仿宋_GB2312" w:cs="仿宋_GB2312"/>
          <w:color w:val="000000"/>
          <w:sz w:val="32"/>
          <w:szCs w:val="32"/>
          <w:highlight w:val="none"/>
        </w:rPr>
        <w:t>的自持比例不低于整个项目总建筑面积(不含公建配套设施部分)的</w:t>
      </w:r>
      <w:r>
        <w:rPr>
          <w:rFonts w:hint="eastAsia" w:ascii="仿宋_GB2312" w:hAnsi="仿宋_GB2312" w:eastAsia="仿宋_GB2312" w:cs="仿宋_GB2312"/>
          <w:color w:val="000000"/>
          <w:sz w:val="32"/>
          <w:szCs w:val="32"/>
          <w:highlight w:val="none"/>
          <w:lang w:val="en-US" w:eastAsia="zh-CN"/>
        </w:rPr>
        <w:t>10</w:t>
      </w:r>
      <w:r>
        <w:rPr>
          <w:rFonts w:hint="eastAsia" w:ascii="仿宋_GB2312" w:hAnsi="仿宋_GB2312" w:eastAsia="仿宋_GB2312" w:cs="仿宋_GB2312"/>
          <w:color w:val="000000"/>
          <w:sz w:val="32"/>
          <w:szCs w:val="32"/>
          <w:highlight w:val="none"/>
        </w:rPr>
        <w:t>%。</w:t>
      </w:r>
      <w:r>
        <w:rPr>
          <w:rFonts w:hint="eastAsia" w:ascii="仿宋_GB2312" w:hAnsi="仿宋_GB2312" w:eastAsia="仿宋_GB2312" w:cs="仿宋_GB2312"/>
          <w:color w:val="auto"/>
          <w:sz w:val="32"/>
          <w:szCs w:val="32"/>
          <w:highlight w:val="none"/>
        </w:rPr>
        <w:t>公建配套设施未按规划审批建设验收到位的，该项目不得进行产权转让。</w:t>
      </w:r>
    </w:p>
    <w:p w14:paraId="3E0E947F">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3.</w:t>
      </w:r>
      <w:r>
        <w:rPr>
          <w:rFonts w:hint="eastAsia" w:ascii="仿宋_GB2312" w:hAnsi="仿宋_GB2312" w:eastAsia="仿宋_GB2312" w:cs="仿宋_GB2312"/>
          <w:color w:val="auto"/>
          <w:sz w:val="32"/>
          <w:szCs w:val="32"/>
        </w:rPr>
        <w:t>建设单位要签订</w:t>
      </w: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color w:val="auto"/>
          <w:sz w:val="32"/>
          <w:szCs w:val="32"/>
        </w:rPr>
        <w:t>公建配套部分的管理服务协议</w:t>
      </w: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color w:val="auto"/>
          <w:sz w:val="32"/>
          <w:szCs w:val="32"/>
        </w:rPr>
        <w:t>(</w:t>
      </w:r>
      <w:r>
        <w:rPr>
          <w:rFonts w:hint="eastAsia" w:ascii="仿宋_GB2312" w:hAnsi="仿宋_GB2312" w:eastAsia="仿宋_GB2312" w:cs="仿宋_GB2312"/>
          <w:sz w:val="32"/>
          <w:szCs w:val="32"/>
        </w:rPr>
        <w:t>包含土地使用税、公建配套部分税收、费用的分摊办法),承担管理义务，不得出售、转让公建配套设施。</w:t>
      </w:r>
    </w:p>
    <w:p w14:paraId="5CF091EF">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4.首次转让以后，再次转让除符合以上条件外，还必须达到间隔3年以上的时间要求。</w:t>
      </w:r>
    </w:p>
    <w:p w14:paraId="6CE22FA3">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sz w:val="32"/>
          <w:szCs w:val="32"/>
        </w:rPr>
        <w:t>5</w:t>
      </w:r>
      <w:r>
        <w:rPr>
          <w:rFonts w:hint="eastAsia" w:ascii="仿宋_GB2312" w:hAnsi="仿宋_GB2312" w:eastAsia="仿宋_GB2312" w:cs="仿宋_GB2312"/>
          <w:color w:val="auto"/>
          <w:sz w:val="32"/>
          <w:szCs w:val="32"/>
        </w:rPr>
        <w:t>.除产权转让外，</w:t>
      </w:r>
      <w:r>
        <w:rPr>
          <w:rFonts w:hint="eastAsia" w:ascii="仿宋_GB2312" w:hAnsi="仿宋_GB2312" w:eastAsia="仿宋_GB2312" w:cs="仿宋_GB2312"/>
          <w:color w:val="auto"/>
          <w:sz w:val="32"/>
          <w:szCs w:val="32"/>
          <w:lang w:val="en-US" w:eastAsia="zh-CN"/>
        </w:rPr>
        <w:t>建设单位</w:t>
      </w:r>
      <w:r>
        <w:rPr>
          <w:rFonts w:hint="eastAsia" w:ascii="仿宋_GB2312" w:hAnsi="仿宋_GB2312" w:eastAsia="仿宋_GB2312" w:cs="仿宋_GB2312"/>
          <w:color w:val="auto"/>
          <w:sz w:val="32"/>
          <w:szCs w:val="32"/>
        </w:rPr>
        <w:t>以标准化厂房进行出租、抵押、质押、入股、上市等，也须由</w:t>
      </w:r>
      <w:r>
        <w:rPr>
          <w:rFonts w:hint="eastAsia" w:ascii="仿宋_GB2312" w:hAnsi="仿宋_GB2312" w:eastAsia="仿宋_GB2312" w:cs="仿宋_GB2312"/>
          <w:color w:val="auto"/>
          <w:sz w:val="32"/>
          <w:szCs w:val="32"/>
          <w:highlight w:val="none"/>
          <w:lang w:val="en-US" w:eastAsia="zh-CN"/>
        </w:rPr>
        <w:t>石家庄市现代食品产业园管委会</w:t>
      </w:r>
      <w:r>
        <w:rPr>
          <w:rFonts w:hint="eastAsia" w:ascii="仿宋_GB2312" w:hAnsi="仿宋_GB2312" w:eastAsia="仿宋_GB2312" w:cs="仿宋_GB2312"/>
          <w:color w:val="auto"/>
          <w:sz w:val="32"/>
          <w:szCs w:val="32"/>
          <w:highlight w:val="none"/>
        </w:rPr>
        <w:t>进行审核把关，并出具认定意见或者证明材料</w:t>
      </w:r>
      <w:r>
        <w:rPr>
          <w:rFonts w:hint="eastAsia" w:ascii="仿宋_GB2312" w:hAnsi="仿宋_GB2312" w:eastAsia="仿宋_GB2312" w:cs="仿宋_GB2312"/>
          <w:color w:val="auto"/>
          <w:sz w:val="32"/>
          <w:szCs w:val="32"/>
        </w:rPr>
        <w:t>，否则有关部门不予办理审批、登记、备案等有关手续。</w:t>
      </w:r>
    </w:p>
    <w:p w14:paraId="4E547347">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highlight w:val="none"/>
          <w:lang w:val="en-US" w:eastAsia="zh-CN"/>
        </w:rPr>
        <w:t>石家庄市现代食品产业园管委会</w:t>
      </w:r>
      <w:r>
        <w:rPr>
          <w:rFonts w:hint="eastAsia" w:ascii="仿宋_GB2312" w:hAnsi="仿宋_GB2312" w:eastAsia="仿宋_GB2312" w:cs="仿宋_GB2312"/>
          <w:sz w:val="32"/>
          <w:szCs w:val="32"/>
          <w:highlight w:val="none"/>
        </w:rPr>
        <w:t>出具的审核认定意见或者证明材料，</w:t>
      </w:r>
      <w:r>
        <w:rPr>
          <w:rFonts w:hint="eastAsia" w:ascii="仿宋_GB2312" w:hAnsi="仿宋_GB2312" w:eastAsia="仿宋_GB2312" w:cs="仿宋_GB2312"/>
          <w:sz w:val="32"/>
          <w:szCs w:val="32"/>
          <w:lang w:val="en-US" w:eastAsia="zh-CN"/>
        </w:rPr>
        <w:t>方可</w:t>
      </w:r>
      <w:r>
        <w:rPr>
          <w:rFonts w:hint="eastAsia" w:ascii="仿宋_GB2312" w:hAnsi="仿宋_GB2312" w:eastAsia="仿宋_GB2312" w:cs="仿宋_GB2312"/>
          <w:sz w:val="32"/>
          <w:szCs w:val="32"/>
        </w:rPr>
        <w:t>办理不动产权转移登记手续。</w:t>
      </w:r>
    </w:p>
    <w:p w14:paraId="57C6A2B7">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黑体" w:hAnsi="黑体" w:eastAsia="黑体" w:cs="黑体"/>
          <w:sz w:val="32"/>
          <w:szCs w:val="32"/>
        </w:rPr>
      </w:pPr>
      <w:r>
        <w:rPr>
          <w:rFonts w:hint="eastAsia" w:ascii="黑体" w:hAnsi="黑体" w:eastAsia="黑体" w:cs="黑体"/>
          <w:sz w:val="32"/>
          <w:szCs w:val="32"/>
        </w:rPr>
        <w:t>六、加强监督管理</w:t>
      </w:r>
    </w:p>
    <w:p w14:paraId="5E07176D">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新建的标准化厂房项目，必须按照国家有关规定和本文件要求进行设计、施工、验收、使用、登记，并由有关部门进行各个环节的审核把关和监督，凡未按照出让条件和标准建设使用的，一律不得分割登记和进行转让，擅自改变用途的，要按照有关法律法规进行严厉查处。</w:t>
      </w:r>
    </w:p>
    <w:p w14:paraId="4B718BBD">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color w:val="auto"/>
          <w:sz w:val="32"/>
          <w:szCs w:val="32"/>
        </w:rPr>
        <w:t>新建的标准化厂房项目在</w:t>
      </w:r>
      <w:r>
        <w:rPr>
          <w:rFonts w:hint="eastAsia" w:ascii="仿宋_GB2312" w:hAnsi="仿宋_GB2312" w:eastAsia="仿宋_GB2312" w:cs="仿宋_GB2312"/>
          <w:color w:val="auto"/>
          <w:sz w:val="32"/>
          <w:szCs w:val="32"/>
          <w:lang w:val="en-US" w:eastAsia="zh-CN"/>
        </w:rPr>
        <w:t>主体完工</w:t>
      </w:r>
      <w:r>
        <w:rPr>
          <w:rFonts w:hint="eastAsia" w:ascii="仿宋_GB2312" w:hAnsi="仿宋_GB2312" w:eastAsia="仿宋_GB2312" w:cs="仿宋_GB2312"/>
          <w:color w:val="auto"/>
          <w:sz w:val="32"/>
          <w:szCs w:val="32"/>
        </w:rPr>
        <w:t>后方可销售，如</w:t>
      </w:r>
      <w:r>
        <w:rPr>
          <w:rFonts w:hint="eastAsia" w:ascii="仿宋_GB2312" w:hAnsi="仿宋_GB2312" w:eastAsia="仿宋_GB2312" w:cs="仿宋_GB2312"/>
          <w:sz w:val="32"/>
          <w:szCs w:val="32"/>
        </w:rPr>
        <w:t>出现违规销售或销售给自然人行为的，不予进行产权分割和登记，并按相关规定进行处罚。</w:t>
      </w:r>
    </w:p>
    <w:p w14:paraId="5AB0EB0E">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新建的标准化厂房项目在建设过程中如出现不遵守城乡规划、土地管理、环境保护和施工许可要求的，责令其停止建设，依法予以处罚，并追究有关单位和人员责任。</w:t>
      </w:r>
    </w:p>
    <w:p w14:paraId="0D57D366">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黑体" w:hAnsi="黑体" w:eastAsia="黑体" w:cs="黑体"/>
          <w:sz w:val="32"/>
          <w:szCs w:val="32"/>
        </w:rPr>
      </w:pPr>
      <w:r>
        <w:rPr>
          <w:rFonts w:hint="eastAsia" w:ascii="黑体" w:hAnsi="黑体" w:eastAsia="黑体" w:cs="黑体"/>
          <w:sz w:val="32"/>
          <w:szCs w:val="32"/>
        </w:rPr>
        <w:t>七、遗留问题处理</w:t>
      </w:r>
    </w:p>
    <w:p w14:paraId="42FC669B">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1.对于本文件下发以前，已经建成投用和在建的以及已经签订协议的工业园区标准化厂房项目，原则上继续履行已签订的协议。协议未尽事项，由</w:t>
      </w:r>
      <w:r>
        <w:rPr>
          <w:rFonts w:hint="eastAsia" w:ascii="仿宋_GB2312" w:hAnsi="仿宋_GB2312" w:eastAsia="仿宋_GB2312" w:cs="仿宋_GB2312"/>
          <w:sz w:val="32"/>
          <w:szCs w:val="32"/>
          <w:lang w:val="en-US" w:eastAsia="zh-CN"/>
        </w:rPr>
        <w:t>区投促局（或招引项目的乡镇、部门）会同市自然资源和规划局藁城分局</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本着尊重历史、实事求是的原则，按照本文件要求和一事一议办法，</w:t>
      </w:r>
      <w:r>
        <w:rPr>
          <w:rFonts w:hint="eastAsia" w:ascii="仿宋_GB2312" w:hAnsi="仿宋_GB2312" w:eastAsia="仿宋_GB2312" w:cs="仿宋_GB2312"/>
          <w:sz w:val="32"/>
          <w:szCs w:val="32"/>
          <w:lang w:val="en-US" w:eastAsia="zh-CN"/>
        </w:rPr>
        <w:t>与石家庄市现代食品产业园管委会</w:t>
      </w:r>
      <w:r>
        <w:rPr>
          <w:rFonts w:hint="eastAsia" w:ascii="仿宋_GB2312" w:hAnsi="仿宋_GB2312" w:eastAsia="仿宋_GB2312" w:cs="仿宋_GB2312"/>
          <w:sz w:val="32"/>
          <w:szCs w:val="32"/>
        </w:rPr>
        <w:t>等有关部门和建设单位进行审核会商，出具分割登记的方案和意见。</w:t>
      </w:r>
    </w:p>
    <w:p w14:paraId="6DBEB112">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2.现状符合分割登记会商方案要求的项目，</w:t>
      </w:r>
      <w:r>
        <w:rPr>
          <w:rFonts w:hint="eastAsia" w:ascii="仿宋_GB2312" w:hAnsi="仿宋_GB2312" w:eastAsia="仿宋_GB2312" w:cs="仿宋_GB2312"/>
          <w:sz w:val="32"/>
          <w:szCs w:val="32"/>
          <w:lang w:val="en-US" w:eastAsia="zh-CN"/>
        </w:rPr>
        <w:t>由区投促局（或招引项目的乡镇、部门）会同市自然资源和规划局藁城分局</w:t>
      </w:r>
      <w:r>
        <w:rPr>
          <w:rFonts w:hint="eastAsia" w:ascii="仿宋_GB2312" w:hAnsi="仿宋_GB2312" w:eastAsia="仿宋_GB2312" w:cs="仿宋_GB2312"/>
          <w:sz w:val="32"/>
          <w:szCs w:val="32"/>
        </w:rPr>
        <w:t>核发《标准化厂房建设项目确认书》,进行分割登记</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对于现状不符合分割登记会商方案要求的项目，项目单位要根据会商意见和方案进行整改，在整改验收通过后，</w:t>
      </w:r>
      <w:r>
        <w:rPr>
          <w:rFonts w:hint="eastAsia" w:ascii="仿宋_GB2312" w:hAnsi="仿宋_GB2312" w:eastAsia="仿宋_GB2312" w:cs="仿宋_GB2312"/>
          <w:sz w:val="32"/>
          <w:szCs w:val="32"/>
          <w:lang w:val="en-US" w:eastAsia="zh-CN"/>
        </w:rPr>
        <w:t>由区投促局（或招引项目的乡镇、部门）会同市自然资源和规划局藁城分局</w:t>
      </w:r>
      <w:r>
        <w:rPr>
          <w:rFonts w:hint="eastAsia" w:ascii="仿宋_GB2312" w:hAnsi="仿宋_GB2312" w:eastAsia="仿宋_GB2312" w:cs="仿宋_GB2312"/>
          <w:sz w:val="32"/>
          <w:szCs w:val="32"/>
        </w:rPr>
        <w:t>核发《标准化厂房建设项目确认书》,方可办理分割登记。</w:t>
      </w:r>
    </w:p>
    <w:p w14:paraId="47899749">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黑体" w:hAnsi="黑体" w:eastAsia="黑体" w:cs="黑体"/>
          <w:sz w:val="32"/>
          <w:szCs w:val="32"/>
        </w:rPr>
      </w:pPr>
      <w:r>
        <w:rPr>
          <w:rFonts w:hint="eastAsia" w:ascii="黑体" w:hAnsi="黑体" w:eastAsia="黑体" w:cs="黑体"/>
          <w:sz w:val="32"/>
          <w:szCs w:val="32"/>
        </w:rPr>
        <w:t>八、标注</w:t>
      </w:r>
    </w:p>
    <w:p w14:paraId="662AEA92">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按照本文件规定进行不动产权登记的工业园区标准化厂房项目，要在不动产登记薄和产权证书附记栏中标注“工业园区标准化厂房项目”。</w:t>
      </w:r>
    </w:p>
    <w:p w14:paraId="213013DE">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黑体" w:hAnsi="黑体" w:eastAsia="黑体" w:cs="黑体"/>
          <w:sz w:val="32"/>
          <w:szCs w:val="32"/>
        </w:rPr>
      </w:pPr>
      <w:r>
        <w:rPr>
          <w:rFonts w:hint="eastAsia" w:ascii="黑体" w:hAnsi="黑体" w:eastAsia="黑体" w:cs="黑体"/>
          <w:sz w:val="32"/>
          <w:szCs w:val="32"/>
        </w:rPr>
        <w:t>九、其他</w:t>
      </w:r>
    </w:p>
    <w:p w14:paraId="500C6FCC">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如本文件与上级出台相关政策不一致的，按上级文件执行。</w:t>
      </w:r>
    </w:p>
    <w:p w14:paraId="65414381">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p>
    <w:p w14:paraId="419E0F66">
      <w:pPr>
        <w:keepNext w:val="0"/>
        <w:keepLines w:val="0"/>
        <w:pageBreakBefore w:val="0"/>
        <w:widowControl w:val="0"/>
        <w:kinsoku/>
        <w:wordWrap/>
        <w:overflowPunct/>
        <w:topLinePunct w:val="0"/>
        <w:autoSpaceDE/>
        <w:autoSpaceDN/>
        <w:bidi w:val="0"/>
        <w:adjustRightInd/>
        <w:snapToGrid/>
        <w:spacing w:line="560" w:lineRule="exact"/>
        <w:ind w:firstLine="4480" w:firstLineChars="1400"/>
        <w:textAlignment w:val="auto"/>
        <w:rPr>
          <w:rFonts w:hint="eastAsia" w:ascii="仿宋_GB2312" w:hAnsi="仿宋_GB2312" w:eastAsia="仿宋_GB2312" w:cs="仿宋_GB2312"/>
          <w:sz w:val="32"/>
          <w:szCs w:val="32"/>
          <w:lang w:val="en-US" w:eastAsia="zh-CN"/>
        </w:rPr>
      </w:pPr>
      <w:bookmarkStart w:id="0" w:name="_GoBack"/>
      <w:bookmarkEnd w:id="0"/>
    </w:p>
    <w:p w14:paraId="6A0DC71C">
      <w:pPr>
        <w:keepNext w:val="0"/>
        <w:keepLines w:val="0"/>
        <w:pageBreakBefore w:val="0"/>
        <w:widowControl w:val="0"/>
        <w:kinsoku/>
        <w:wordWrap/>
        <w:overflowPunct/>
        <w:topLinePunct w:val="0"/>
        <w:autoSpaceDE/>
        <w:autoSpaceDN/>
        <w:bidi w:val="0"/>
        <w:adjustRightInd/>
        <w:snapToGrid/>
        <w:spacing w:line="560" w:lineRule="exact"/>
        <w:ind w:firstLine="4480" w:firstLineChars="1400"/>
        <w:textAlignment w:val="auto"/>
        <w:rPr>
          <w:rFonts w:hint="eastAsia" w:ascii="仿宋_GB2312" w:hAnsi="仿宋_GB2312" w:eastAsia="仿宋_GB2312" w:cs="仿宋_GB2312"/>
          <w:sz w:val="32"/>
          <w:szCs w:val="32"/>
          <w:lang w:val="en-US" w:eastAsia="zh-CN"/>
        </w:rPr>
      </w:pPr>
    </w:p>
    <w:p w14:paraId="689C5D22">
      <w:pPr>
        <w:keepNext w:val="0"/>
        <w:keepLines w:val="0"/>
        <w:pageBreakBefore w:val="0"/>
        <w:widowControl w:val="0"/>
        <w:kinsoku/>
        <w:wordWrap/>
        <w:overflowPunct/>
        <w:topLinePunct w:val="0"/>
        <w:autoSpaceDE/>
        <w:autoSpaceDN/>
        <w:bidi w:val="0"/>
        <w:adjustRightInd/>
        <w:snapToGrid/>
        <w:spacing w:line="560" w:lineRule="exact"/>
        <w:ind w:firstLine="4480" w:firstLineChars="1400"/>
        <w:textAlignment w:val="auto"/>
        <w:rPr>
          <w:rFonts w:hint="eastAsia" w:ascii="仿宋_GB2312" w:hAnsi="仿宋_GB2312" w:eastAsia="仿宋_GB2312" w:cs="仿宋_GB2312"/>
          <w:sz w:val="32"/>
          <w:szCs w:val="32"/>
          <w:lang w:val="en-US" w:eastAsia="zh-CN"/>
        </w:rPr>
      </w:pPr>
    </w:p>
    <w:p w14:paraId="063FDC4A">
      <w:pPr>
        <w:keepNext w:val="0"/>
        <w:keepLines w:val="0"/>
        <w:pageBreakBefore w:val="0"/>
        <w:widowControl w:val="0"/>
        <w:kinsoku/>
        <w:wordWrap/>
        <w:overflowPunct/>
        <w:topLinePunct w:val="0"/>
        <w:autoSpaceDE/>
        <w:autoSpaceDN/>
        <w:bidi w:val="0"/>
        <w:adjustRightInd/>
        <w:snapToGrid/>
        <w:spacing w:line="560" w:lineRule="exact"/>
        <w:ind w:firstLine="4480" w:firstLineChars="1400"/>
        <w:textAlignment w:val="auto"/>
        <w:rPr>
          <w:rFonts w:hint="eastAsia" w:ascii="仿宋_GB2312" w:hAnsi="仿宋_GB2312" w:eastAsia="仿宋_GB2312" w:cs="仿宋_GB2312"/>
          <w:sz w:val="32"/>
          <w:szCs w:val="32"/>
          <w:lang w:val="en-US" w:eastAsia="zh-CN"/>
        </w:rPr>
      </w:pPr>
    </w:p>
    <w:p w14:paraId="7D32568D">
      <w:pPr>
        <w:keepNext w:val="0"/>
        <w:keepLines w:val="0"/>
        <w:pageBreakBefore w:val="0"/>
        <w:widowControl w:val="0"/>
        <w:kinsoku/>
        <w:wordWrap/>
        <w:overflowPunct/>
        <w:topLinePunct w:val="0"/>
        <w:autoSpaceDE/>
        <w:autoSpaceDN/>
        <w:bidi w:val="0"/>
        <w:adjustRightInd/>
        <w:snapToGrid/>
        <w:spacing w:line="560" w:lineRule="exact"/>
        <w:ind w:firstLine="4480" w:firstLineChars="1400"/>
        <w:textAlignment w:val="auto"/>
        <w:rPr>
          <w:rFonts w:hint="eastAsia" w:ascii="仿宋_GB2312" w:hAnsi="仿宋_GB2312" w:eastAsia="仿宋_GB2312" w:cs="仿宋_GB2312"/>
          <w:sz w:val="32"/>
          <w:szCs w:val="32"/>
          <w:lang w:val="en-US" w:eastAsia="zh-CN"/>
        </w:rPr>
      </w:pPr>
    </w:p>
    <w:p w14:paraId="2F06D6FD">
      <w:pPr>
        <w:keepNext w:val="0"/>
        <w:keepLines w:val="0"/>
        <w:pageBreakBefore w:val="0"/>
        <w:widowControl w:val="0"/>
        <w:kinsoku/>
        <w:wordWrap/>
        <w:overflowPunct/>
        <w:topLinePunct w:val="0"/>
        <w:autoSpaceDE/>
        <w:autoSpaceDN/>
        <w:bidi w:val="0"/>
        <w:adjustRightInd/>
        <w:snapToGrid/>
        <w:spacing w:line="560" w:lineRule="exact"/>
        <w:ind w:firstLine="4480" w:firstLineChars="1400"/>
        <w:textAlignment w:val="auto"/>
        <w:rPr>
          <w:rFonts w:hint="eastAsia" w:ascii="仿宋_GB2312" w:hAnsi="仿宋_GB2312" w:eastAsia="仿宋_GB2312" w:cs="仿宋_GB2312"/>
          <w:sz w:val="32"/>
          <w:szCs w:val="32"/>
          <w:lang w:val="en-US" w:eastAsia="zh-CN"/>
        </w:rPr>
      </w:pPr>
    </w:p>
    <w:p w14:paraId="3B79C1DE">
      <w:pPr>
        <w:keepNext w:val="0"/>
        <w:keepLines w:val="0"/>
        <w:pageBreakBefore w:val="0"/>
        <w:widowControl w:val="0"/>
        <w:kinsoku/>
        <w:wordWrap/>
        <w:overflowPunct/>
        <w:topLinePunct w:val="0"/>
        <w:autoSpaceDE/>
        <w:autoSpaceDN/>
        <w:bidi w:val="0"/>
        <w:adjustRightInd/>
        <w:snapToGrid/>
        <w:spacing w:line="560" w:lineRule="exact"/>
        <w:ind w:firstLine="4480" w:firstLineChars="1400"/>
        <w:textAlignment w:val="auto"/>
        <w:rPr>
          <w:rFonts w:hint="eastAsia" w:ascii="仿宋_GB2312" w:hAnsi="仿宋_GB2312" w:eastAsia="仿宋_GB2312" w:cs="仿宋_GB2312"/>
          <w:sz w:val="32"/>
          <w:szCs w:val="32"/>
          <w:lang w:val="en-US" w:eastAsia="zh-CN"/>
        </w:rPr>
      </w:pPr>
    </w:p>
    <w:p w14:paraId="55CC907D">
      <w:pPr>
        <w:keepNext w:val="0"/>
        <w:keepLines w:val="0"/>
        <w:pageBreakBefore w:val="0"/>
        <w:widowControl w:val="0"/>
        <w:kinsoku/>
        <w:wordWrap/>
        <w:overflowPunct/>
        <w:topLinePunct w:val="0"/>
        <w:autoSpaceDE/>
        <w:autoSpaceDN/>
        <w:bidi w:val="0"/>
        <w:adjustRightInd/>
        <w:snapToGrid/>
        <w:spacing w:line="560" w:lineRule="exact"/>
        <w:ind w:firstLine="4480" w:firstLineChars="1400"/>
        <w:textAlignment w:val="auto"/>
        <w:rPr>
          <w:rFonts w:hint="eastAsia" w:ascii="仿宋_GB2312" w:hAnsi="仿宋_GB2312" w:eastAsia="仿宋_GB2312" w:cs="仿宋_GB2312"/>
          <w:sz w:val="32"/>
          <w:szCs w:val="32"/>
          <w:lang w:val="en-US" w:eastAsia="zh-CN"/>
        </w:rPr>
      </w:pPr>
    </w:p>
    <w:p w14:paraId="585C08D7">
      <w:pPr>
        <w:rPr>
          <w:rFonts w:hint="eastAsia" w:ascii="宋体" w:hAnsi="宋体" w:eastAsia="宋体" w:cs="宋体"/>
          <w:sz w:val="44"/>
          <w:szCs w:val="44"/>
          <w:lang w:val="en-US" w:eastAsia="zh-CN"/>
        </w:rPr>
        <w:sectPr>
          <w:pgSz w:w="11906" w:h="16838"/>
          <w:pgMar w:top="2098" w:right="1474" w:bottom="1984" w:left="1587" w:header="851" w:footer="992" w:gutter="0"/>
          <w:cols w:space="425" w:num="1"/>
          <w:docGrid w:type="lines" w:linePitch="312" w:charSpace="0"/>
        </w:sectPr>
      </w:pPr>
    </w:p>
    <w:p w14:paraId="70B417E5">
      <w:pPr>
        <w:keepNext w:val="0"/>
        <w:keepLines w:val="0"/>
        <w:pageBreakBefore w:val="0"/>
        <w:widowControl w:val="0"/>
        <w:kinsoku/>
        <w:wordWrap/>
        <w:overflowPunct/>
        <w:topLinePunct w:val="0"/>
        <w:autoSpaceDE/>
        <w:autoSpaceDN/>
        <w:bidi w:val="0"/>
        <w:adjustRightInd/>
        <w:snapToGrid/>
        <w:spacing w:line="560" w:lineRule="exact"/>
        <w:jc w:val="left"/>
        <w:textAlignment w:val="auto"/>
        <w:rPr>
          <w:rFonts w:hint="default" w:ascii="仿宋_GB2312" w:hAnsi="仿宋_GB2312" w:eastAsia="仿宋_GB2312" w:cs="仿宋_GB2312"/>
          <w:sz w:val="32"/>
          <w:szCs w:val="32"/>
          <w:highlight w:val="yellow"/>
          <w:lang w:val="en-US" w:eastAsia="zh-CN"/>
        </w:rPr>
      </w:pPr>
    </w:p>
    <w:sectPr>
      <w:pgSz w:w="11906" w:h="16838"/>
      <w:pgMar w:top="2098" w:right="1474" w:bottom="1984" w:left="1587"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34"/>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小标宋简体">
    <w:panose1 w:val="02010601030101010101"/>
    <w:charset w:val="86"/>
    <w:family w:val="auto"/>
    <w:pitch w:val="default"/>
    <w:sig w:usb0="00000001" w:usb1="080E0000" w:usb2="00000000" w:usb3="00000000" w:csb0="00040000" w:csb1="00000000"/>
  </w:font>
  <w:font w:name="仿宋_GB2312">
    <w:panose1 w:val="02010609030101010101"/>
    <w:charset w:val="86"/>
    <w:family w:val="auto"/>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224366C4"/>
    <w:rsid w:val="234217B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宋体"/>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semiHidden="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宋体"/>
      <w:kern w:val="2"/>
      <w:sz w:val="21"/>
      <w:szCs w:val="24"/>
      <w:lang w:val="en-US" w:eastAsia="zh-CN" w:bidi="ar-SA"/>
    </w:rPr>
  </w:style>
  <w:style w:type="character" w:default="1" w:styleId="3">
    <w:name w:val="Default Paragraph Font"/>
    <w:qFormat/>
    <w:uiPriority w:val="0"/>
  </w:style>
  <w:style w:type="table" w:default="1" w:styleId="2">
    <w:name w:val="Normal Table"/>
    <w:qFormat/>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8</Pages>
  <Words>3041</Words>
  <Characters>3119</Characters>
  <Paragraphs>58</Paragraphs>
  <TotalTime>1</TotalTime>
  <ScaleCrop>false</ScaleCrop>
  <LinksUpToDate>false</LinksUpToDate>
  <CharactersWithSpaces>3119</CharactersWithSpaces>
  <Application>WPS Office_12.1.0.24657_F1E327BC-269C-435d-A152-05C5408002CA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2025-11-24T03:32:00Z</dcterms:created>
  <dc:creator>浮生若梦亦是梦</dc:creator>
  <cp:lastModifiedBy>windows</cp:lastModifiedBy>
  <dcterms:modified xsi:type="dcterms:W3CDTF">2026-02-09T00:48:32Z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2052-12.1.0.24657</vt:lpwstr>
  </property>
  <property fmtid="{D5CDD505-2E9C-101B-9397-08002B2CF9AE}" pid="3" name="ICV">
    <vt:lpwstr>A2611849EC6A4BA5B606CED4D42F2D59_13</vt:lpwstr>
  </property>
  <property fmtid="{D5CDD505-2E9C-101B-9397-08002B2CF9AE}" pid="4" name="KSOTemplateDocerSaveRecord">
    <vt:lpwstr>eyJoZGlkIjoiOGI3YmU0NTUyY2QyYzZlOWVlNDRkODk2NmQ2MDcxMzgiLCJ1c2VySWQiOiIyMDkyNzg2NiJ9</vt:lpwstr>
  </property>
</Properties>
</file>