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DB134A">
      <w:pPr>
        <w:keepNext w:val="0"/>
        <w:keepLines w:val="0"/>
        <w:pageBreakBefore w:val="0"/>
        <w:widowControl w:val="0"/>
        <w:kinsoku/>
        <w:wordWrap/>
        <w:overflowPunct/>
        <w:topLinePunct w:val="0"/>
        <w:autoSpaceDE/>
        <w:autoSpaceDN/>
        <w:bidi w:val="0"/>
        <w:spacing w:line="560" w:lineRule="exact"/>
        <w:ind w:right="160"/>
        <w:jc w:val="right"/>
        <w:textAlignment w:val="auto"/>
        <w:rPr>
          <w:rFonts w:hint="eastAsia" w:ascii="仿宋_GB2312" w:hAnsi="仿宋_GB2312" w:eastAsia="仿宋_GB2312" w:cs="仿宋_GB2312"/>
          <w:sz w:val="32"/>
          <w:szCs w:val="32"/>
        </w:rPr>
      </w:pPr>
      <w:bookmarkStart w:id="1" w:name="_GoBack"/>
      <w:bookmarkEnd w:id="1"/>
    </w:p>
    <w:p w14:paraId="4F663C87">
      <w:pPr>
        <w:pStyle w:val="5"/>
        <w:rPr>
          <w:rFonts w:hint="eastAsia"/>
        </w:rPr>
      </w:pPr>
    </w:p>
    <w:p w14:paraId="5A2A2764">
      <w:pPr>
        <w:keepNext w:val="0"/>
        <w:keepLines w:val="0"/>
        <w:pageBreakBefore w:val="0"/>
        <w:widowControl w:val="0"/>
        <w:kinsoku/>
        <w:wordWrap/>
        <w:overflowPunct w:val="0"/>
        <w:topLinePunct w:val="0"/>
        <w:autoSpaceDE/>
        <w:autoSpaceDN/>
        <w:bidi w:val="0"/>
        <w:adjustRightInd/>
        <w:snapToGrid w:val="0"/>
        <w:spacing w:line="600" w:lineRule="exact"/>
        <w:ind w:firstLine="0" w:firstLineChars="0"/>
        <w:jc w:val="center"/>
        <w:textAlignment w:val="auto"/>
        <w:rPr>
          <w:rFonts w:hint="default"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rPr>
        <w:t>石家庄市藁城区</w:t>
      </w:r>
      <w:r>
        <w:rPr>
          <w:rFonts w:hint="eastAsia" w:ascii="方正小标宋简体" w:hAnsi="方正小标宋简体" w:eastAsia="方正小标宋简体" w:cs="方正小标宋简体"/>
          <w:b w:val="0"/>
          <w:bCs w:val="0"/>
          <w:color w:val="auto"/>
          <w:sz w:val="44"/>
          <w:szCs w:val="44"/>
          <w:lang w:val="en-US" w:eastAsia="zh-CN"/>
        </w:rPr>
        <w:t>人民政府</w:t>
      </w:r>
    </w:p>
    <w:p w14:paraId="76F7A50E">
      <w:pPr>
        <w:keepNext w:val="0"/>
        <w:keepLines w:val="0"/>
        <w:pageBreakBefore w:val="0"/>
        <w:widowControl w:val="0"/>
        <w:kinsoku/>
        <w:wordWrap/>
        <w:overflowPunct w:val="0"/>
        <w:topLinePunct w:val="0"/>
        <w:autoSpaceDE/>
        <w:autoSpaceDN/>
        <w:bidi w:val="0"/>
        <w:adjustRightInd/>
        <w:snapToGrid w:val="0"/>
        <w:spacing w:line="600" w:lineRule="exact"/>
        <w:ind w:firstLine="0" w:firstLineChars="0"/>
        <w:jc w:val="center"/>
        <w:textAlignment w:val="auto"/>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rPr>
        <w:t>关于</w:t>
      </w:r>
      <w:r>
        <w:rPr>
          <w:rFonts w:hint="eastAsia" w:ascii="方正小标宋简体" w:hAnsi="方正小标宋简体" w:eastAsia="方正小标宋简体" w:cs="方正小标宋简体"/>
          <w:b w:val="0"/>
          <w:bCs w:val="0"/>
          <w:color w:val="auto"/>
          <w:sz w:val="44"/>
          <w:szCs w:val="44"/>
          <w:lang w:val="en-US" w:eastAsia="zh-CN"/>
        </w:rPr>
        <w:t>2025年度</w:t>
      </w:r>
      <w:r>
        <w:rPr>
          <w:rFonts w:hint="eastAsia" w:ascii="方正小标宋简体" w:hAnsi="方正小标宋简体" w:eastAsia="方正小标宋简体" w:cs="方正小标宋简体"/>
          <w:b w:val="0"/>
          <w:bCs w:val="0"/>
          <w:color w:val="auto"/>
          <w:sz w:val="44"/>
          <w:szCs w:val="44"/>
        </w:rPr>
        <w:t>法治政府建设情况的报告</w:t>
      </w:r>
    </w:p>
    <w:p w14:paraId="597739AB">
      <w:pPr>
        <w:keepNext w:val="0"/>
        <w:keepLines w:val="0"/>
        <w:pageBreakBefore w:val="0"/>
        <w:widowControl w:val="0"/>
        <w:kinsoku/>
        <w:wordWrap/>
        <w:topLinePunct w:val="0"/>
        <w:autoSpaceDE/>
        <w:autoSpaceDN/>
        <w:bidi w:val="0"/>
        <w:spacing w:line="600" w:lineRule="exact"/>
        <w:textAlignment w:val="auto"/>
        <w:rPr>
          <w:rFonts w:hint="eastAsia"/>
        </w:rPr>
      </w:pPr>
    </w:p>
    <w:p w14:paraId="5F12766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lang w:val="en-US" w:eastAsia="zh-CN"/>
        </w:rPr>
        <w:t>2025年，</w:t>
      </w:r>
      <w:r>
        <w:rPr>
          <w:rFonts w:hint="eastAsia" w:ascii="仿宋_GB2312" w:hAnsi="仿宋_GB2312" w:eastAsia="仿宋_GB2312" w:cs="仿宋_GB2312"/>
        </w:rPr>
        <w:t>区</w:t>
      </w:r>
      <w:r>
        <w:rPr>
          <w:rFonts w:hint="eastAsia" w:ascii="仿宋_GB2312" w:hAnsi="仿宋_GB2312" w:eastAsia="仿宋_GB2312" w:cs="仿宋_GB2312"/>
          <w:lang w:val="en-US" w:eastAsia="zh-CN"/>
        </w:rPr>
        <w:t>政府认真学习贯彻习近平法治思想，严格依法决策、依法行政，</w:t>
      </w:r>
      <w:r>
        <w:rPr>
          <w:rFonts w:hint="eastAsia" w:ascii="仿宋_GB2312" w:hAnsi="仿宋_GB2312" w:eastAsia="仿宋_GB2312" w:cs="仿宋_GB2312"/>
          <w:sz w:val="32"/>
          <w:szCs w:val="32"/>
          <w:lang w:val="en-US" w:eastAsia="zh-CN"/>
        </w:rPr>
        <w:t>紧紧围绕区委“1251”整体工作思路，</w:t>
      </w:r>
      <w:r>
        <w:rPr>
          <w:rFonts w:hint="eastAsia" w:ascii="仿宋_GB2312" w:hAnsi="仿宋_GB2312" w:eastAsia="仿宋_GB2312" w:cs="仿宋_GB2312"/>
          <w:lang w:val="en-US" w:eastAsia="zh-CN"/>
        </w:rPr>
        <w:t>抓细抓实石家庄市创建国家级法治政府建设示范市、严格规范涉企行政检查、规范涉企行政执法专项行动等工作，法治政府建设取得积极成</w:t>
      </w:r>
      <w:r>
        <w:rPr>
          <w:rFonts w:hint="eastAsia" w:ascii="仿宋_GB2312" w:hAnsi="仿宋_GB2312" w:eastAsia="仿宋_GB2312" w:cs="仿宋_GB2312"/>
          <w:color w:val="auto"/>
          <w:sz w:val="32"/>
          <w:szCs w:val="32"/>
          <w:lang w:val="en-US" w:eastAsia="zh-CN"/>
        </w:rPr>
        <w:t>效，在石家庄市成功荣获全国法治政府建设示范市中作出了藁城贡献。</w:t>
      </w:r>
      <w:r>
        <w:rPr>
          <w:rFonts w:hint="eastAsia" w:ascii="仿宋_GB2312" w:hAnsi="仿宋_GB2312" w:eastAsia="仿宋_GB2312" w:cs="仿宋_GB2312"/>
          <w:sz w:val="32"/>
          <w:szCs w:val="32"/>
          <w:lang w:val="en-US" w:eastAsia="zh-CN"/>
        </w:rPr>
        <w:t>2025年9月，在中央纪委国家监委、司法部召开的全国规范涉企行政执法专项行动总结提升座谈会上，藁城区作为全国唯一县区级单位作了典型发言。</w:t>
      </w:r>
    </w:p>
    <w:p w14:paraId="4148344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黑体" w:hAnsi="黑体" w:eastAsia="黑体" w:cs="黑体"/>
          <w:lang w:val="en-US" w:eastAsia="zh-CN"/>
        </w:rPr>
      </w:pPr>
      <w:r>
        <w:rPr>
          <w:rFonts w:hint="eastAsia" w:ascii="黑体" w:hAnsi="黑体" w:eastAsia="黑体" w:cs="黑体"/>
        </w:rPr>
        <w:t>一、强化</w:t>
      </w:r>
      <w:r>
        <w:rPr>
          <w:rFonts w:hint="eastAsia" w:ascii="黑体" w:hAnsi="黑体" w:eastAsia="黑体" w:cs="黑体"/>
          <w:lang w:val="en-US" w:eastAsia="zh-CN"/>
        </w:rPr>
        <w:t>政治引领</w:t>
      </w:r>
      <w:r>
        <w:rPr>
          <w:rFonts w:hint="eastAsia" w:ascii="黑体" w:hAnsi="黑体" w:eastAsia="黑体" w:cs="黑体"/>
        </w:rPr>
        <w:t>，法治政府建设</w:t>
      </w:r>
      <w:r>
        <w:rPr>
          <w:rFonts w:hint="eastAsia" w:ascii="黑体" w:hAnsi="黑体" w:eastAsia="黑体" w:cs="黑体"/>
          <w:lang w:val="en-US" w:eastAsia="zh-CN"/>
        </w:rPr>
        <w:t>持续加力</w:t>
      </w:r>
    </w:p>
    <w:p w14:paraId="1EE5E377">
      <w:pPr>
        <w:pStyle w:val="11"/>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firstLine="643" w:firstLineChars="200"/>
        <w:textAlignment w:val="auto"/>
        <w:rPr>
          <w:rFonts w:hint="eastAsia" w:ascii="仿宋_GB2312" w:hAnsi="仿宋_GB2312" w:eastAsia="仿宋_GB2312" w:cs="仿宋_GB2312"/>
          <w:kern w:val="2"/>
          <w:sz w:val="32"/>
          <w:szCs w:val="24"/>
          <w:lang w:val="en-US" w:eastAsia="zh-CN" w:bidi="ar-SA"/>
        </w:rPr>
      </w:pPr>
      <w:r>
        <w:rPr>
          <w:rFonts w:hint="eastAsia" w:ascii="楷体_GB2312" w:hAnsi="楷体_GB2312" w:eastAsia="楷体_GB2312" w:cs="楷体_GB2312"/>
          <w:b/>
          <w:bCs/>
          <w:sz w:val="32"/>
          <w:szCs w:val="32"/>
          <w:lang w:val="en-US" w:eastAsia="zh-CN"/>
        </w:rPr>
        <w:t>一是提高政治站位</w:t>
      </w:r>
      <w:r>
        <w:rPr>
          <w:rFonts w:hint="eastAsia" w:ascii="仿宋_GB2312" w:hAnsi="仿宋_GB2312" w:eastAsia="仿宋_GB2312" w:cs="仿宋_GB2312"/>
          <w:kern w:val="2"/>
          <w:sz w:val="32"/>
          <w:szCs w:val="24"/>
          <w:lang w:val="en-US" w:eastAsia="zh-CN" w:bidi="ar-SA"/>
        </w:rPr>
        <w:t>。</w:t>
      </w:r>
      <w:r>
        <w:rPr>
          <w:rFonts w:hint="eastAsia" w:ascii="仿宋_GB2312" w:hAnsi="仿宋_GB2312" w:cs="仿宋_GB2312"/>
          <w:kern w:val="2"/>
          <w:sz w:val="32"/>
          <w:szCs w:val="24"/>
          <w:lang w:val="en-US" w:eastAsia="zh-CN" w:bidi="ar-SA"/>
        </w:rPr>
        <w:t>坚持</w:t>
      </w:r>
      <w:r>
        <w:rPr>
          <w:rFonts w:hint="eastAsia" w:ascii="仿宋_GB2312" w:hAnsi="仿宋_GB2312" w:eastAsia="仿宋_GB2312" w:cs="仿宋_GB2312"/>
          <w:kern w:val="2"/>
          <w:sz w:val="32"/>
          <w:szCs w:val="24"/>
          <w:lang w:val="en-US" w:eastAsia="zh-CN" w:bidi="ar-SA"/>
        </w:rPr>
        <w:t>把习近平法治思想纳入政府常务会、政府党组会和理论学习中心组及政府各部门学习的重要内容，引导政府系统党员干部深学细悟、融会贯通，不断提高政治判断力、政治领悟力、政治执行力。</w:t>
      </w:r>
    </w:p>
    <w:p w14:paraId="33D44CD8">
      <w:pPr>
        <w:pStyle w:val="11"/>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firstLine="643" w:firstLineChars="200"/>
        <w:textAlignment w:val="auto"/>
        <w:rPr>
          <w:rFonts w:hint="eastAsia" w:ascii="仿宋_GB2312" w:hAnsi="仿宋_GB2312" w:eastAsia="仿宋_GB2312" w:cs="仿宋_GB2312"/>
          <w:kern w:val="2"/>
          <w:sz w:val="32"/>
          <w:szCs w:val="24"/>
          <w:lang w:val="en-US" w:eastAsia="zh-CN" w:bidi="ar-SA"/>
        </w:rPr>
        <w:sectPr>
          <w:footerReference r:id="rId5" w:type="default"/>
          <w:pgSz w:w="11906" w:h="16838"/>
          <w:pgMar w:top="2098" w:right="1474" w:bottom="1984" w:left="1587" w:header="851" w:footer="1701" w:gutter="0"/>
          <w:pgNumType w:fmt="numberInDash" w:start="1"/>
          <w:cols w:space="425" w:num="1"/>
          <w:docGrid w:type="lines" w:linePitch="312" w:charSpace="0"/>
        </w:sectPr>
      </w:pPr>
      <w:r>
        <w:rPr>
          <w:rFonts w:hint="eastAsia" w:ascii="楷体_GB2312" w:hAnsi="楷体_GB2312" w:eastAsia="楷体_GB2312" w:cs="楷体_GB2312"/>
          <w:b/>
          <w:bCs/>
          <w:sz w:val="32"/>
          <w:szCs w:val="32"/>
          <w:lang w:val="en-US" w:eastAsia="zh-CN"/>
        </w:rPr>
        <w:t>二是强化示范带头</w:t>
      </w:r>
      <w:r>
        <w:rPr>
          <w:rFonts w:hint="eastAsia" w:ascii="仿宋_GB2312" w:hAnsi="仿宋_GB2312" w:eastAsia="仿宋_GB2312" w:cs="仿宋_GB2312"/>
          <w:kern w:val="2"/>
          <w:sz w:val="32"/>
          <w:szCs w:val="24"/>
          <w:lang w:val="en-US" w:eastAsia="zh-CN" w:bidi="ar-SA"/>
        </w:rPr>
        <w:t>。认真落实政府常务会会前学法制度，共</w:t>
      </w:r>
    </w:p>
    <w:p w14:paraId="0F21D6FC">
      <w:pPr>
        <w:pStyle w:val="11"/>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textAlignment w:val="auto"/>
        <w:rPr>
          <w:rFonts w:hint="eastAsia" w:ascii="仿宋_GB2312" w:hAnsi="仿宋_GB2312" w:eastAsia="仿宋_GB2312" w:cs="仿宋_GB2312"/>
          <w:kern w:val="2"/>
          <w:sz w:val="32"/>
          <w:szCs w:val="24"/>
          <w:lang w:val="en-US" w:eastAsia="zh-CN" w:bidi="ar-SA"/>
        </w:rPr>
      </w:pPr>
      <w:r>
        <w:rPr>
          <w:rFonts w:hint="eastAsia" w:ascii="仿宋_GB2312" w:hAnsi="仿宋_GB2312" w:eastAsia="仿宋_GB2312" w:cs="仿宋_GB2312"/>
          <w:kern w:val="2"/>
          <w:sz w:val="32"/>
          <w:szCs w:val="24"/>
          <w:lang w:val="en-US" w:eastAsia="zh-CN" w:bidi="ar-SA"/>
        </w:rPr>
        <w:t>开展常务会会前学法</w:t>
      </w:r>
      <w:r>
        <w:rPr>
          <w:rFonts w:hint="eastAsia" w:ascii="仿宋_GB2312" w:hAnsi="仿宋_GB2312" w:cs="仿宋_GB2312"/>
          <w:kern w:val="2"/>
          <w:sz w:val="32"/>
          <w:szCs w:val="24"/>
          <w:lang w:val="en-US" w:eastAsia="zh-CN" w:bidi="ar-SA"/>
        </w:rPr>
        <w:t>5</w:t>
      </w:r>
      <w:r>
        <w:rPr>
          <w:rFonts w:hint="eastAsia" w:ascii="仿宋_GB2312" w:hAnsi="仿宋_GB2312" w:eastAsia="仿宋_GB2312" w:cs="仿宋_GB2312"/>
          <w:kern w:val="2"/>
          <w:sz w:val="32"/>
          <w:szCs w:val="24"/>
          <w:lang w:val="en-US" w:eastAsia="zh-CN" w:bidi="ar-SA"/>
        </w:rPr>
        <w:t>次，深入学习了《中华人民共和国统计法》《河北省法律援助条例》《法治宣传教育法》等法律法规，加强领导干部应知应会法律法规的学习，组织领导干部法律法规考试2次，广大党员干部的法治意识和依法行政能力持续增强。</w:t>
      </w:r>
    </w:p>
    <w:p w14:paraId="40B9C2B1">
      <w:pPr>
        <w:pStyle w:val="11"/>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firstLine="643" w:firstLineChars="200"/>
        <w:textAlignment w:val="auto"/>
        <w:rPr>
          <w:rFonts w:hint="eastAsia" w:ascii="仿宋_GB2312" w:hAnsi="仿宋_GB2312" w:eastAsia="仿宋_GB2312" w:cs="仿宋_GB2312"/>
          <w:color w:val="auto"/>
          <w:kern w:val="2"/>
          <w:sz w:val="32"/>
          <w:szCs w:val="24"/>
          <w:lang w:val="en-US" w:eastAsia="zh-CN" w:bidi="ar-SA"/>
        </w:rPr>
      </w:pPr>
      <w:r>
        <w:rPr>
          <w:rFonts w:hint="eastAsia" w:ascii="楷体_GB2312" w:hAnsi="楷体_GB2312" w:eastAsia="楷体_GB2312" w:cs="楷体_GB2312"/>
          <w:b/>
          <w:bCs/>
          <w:sz w:val="32"/>
          <w:szCs w:val="32"/>
          <w:lang w:val="en-US" w:eastAsia="zh-CN"/>
        </w:rPr>
        <w:t>三是压实工作责任</w:t>
      </w:r>
      <w:r>
        <w:rPr>
          <w:rFonts w:hint="eastAsia" w:ascii="仿宋_GB2312" w:hAnsi="仿宋_GB2312" w:eastAsia="仿宋_GB2312" w:cs="仿宋_GB2312"/>
          <w:kern w:val="2"/>
          <w:sz w:val="32"/>
          <w:szCs w:val="24"/>
          <w:lang w:val="en-US" w:eastAsia="zh-CN" w:bidi="ar-SA"/>
        </w:rPr>
        <w:t>。</w:t>
      </w:r>
      <w:r>
        <w:rPr>
          <w:rFonts w:hint="eastAsia" w:ascii="仿宋_GB2312" w:hAnsi="仿宋_GB2312" w:cs="仿宋_GB2312"/>
          <w:color w:val="auto"/>
          <w:kern w:val="2"/>
          <w:sz w:val="32"/>
          <w:szCs w:val="24"/>
          <w:lang w:val="en-US" w:eastAsia="zh-CN" w:bidi="ar-SA"/>
        </w:rPr>
        <w:t>区政府主要负责同志</w:t>
      </w:r>
      <w:r>
        <w:rPr>
          <w:rFonts w:hint="eastAsia" w:ascii="仿宋_GB2312" w:hAnsi="仿宋_GB2312" w:eastAsia="仿宋_GB2312" w:cs="仿宋_GB2312"/>
          <w:color w:val="auto"/>
          <w:kern w:val="2"/>
          <w:sz w:val="32"/>
          <w:szCs w:val="24"/>
          <w:lang w:val="en-US" w:eastAsia="zh-CN" w:bidi="ar-SA"/>
        </w:rPr>
        <w:t>切实履行推进法治建设第一责任人职责，</w:t>
      </w:r>
      <w:r>
        <w:rPr>
          <w:rFonts w:hint="eastAsia" w:ascii="仿宋_GB2312" w:hAnsi="仿宋_GB2312" w:cs="仿宋_GB2312"/>
          <w:color w:val="auto"/>
          <w:kern w:val="2"/>
          <w:sz w:val="32"/>
          <w:szCs w:val="24"/>
          <w:lang w:val="en-US" w:eastAsia="zh-CN" w:bidi="ar-SA"/>
        </w:rPr>
        <w:t>各位班子成员全面压实“一岗双责”责任，</w:t>
      </w:r>
      <w:r>
        <w:rPr>
          <w:rFonts w:hint="eastAsia" w:ascii="仿宋_GB2312" w:hAnsi="仿宋_GB2312" w:eastAsia="仿宋_GB2312" w:cs="仿宋_GB2312"/>
          <w:color w:val="auto"/>
          <w:kern w:val="2"/>
          <w:sz w:val="32"/>
          <w:szCs w:val="24"/>
          <w:lang w:val="en-US" w:eastAsia="zh-CN" w:bidi="ar-SA"/>
        </w:rPr>
        <w:t>将法治建设纳入区政府重点</w:t>
      </w:r>
      <w:r>
        <w:rPr>
          <w:rFonts w:hint="eastAsia" w:ascii="仿宋_GB2312" w:hAnsi="仿宋_GB2312" w:cs="仿宋_GB2312"/>
          <w:color w:val="auto"/>
          <w:kern w:val="2"/>
          <w:sz w:val="32"/>
          <w:szCs w:val="24"/>
          <w:lang w:val="en-US" w:eastAsia="zh-CN" w:bidi="ar-SA"/>
        </w:rPr>
        <w:t>工作议程</w:t>
      </w:r>
      <w:r>
        <w:rPr>
          <w:rFonts w:hint="eastAsia" w:ascii="仿宋_GB2312" w:hAnsi="仿宋_GB2312" w:eastAsia="仿宋_GB2312" w:cs="仿宋_GB2312"/>
          <w:color w:val="auto"/>
          <w:kern w:val="2"/>
          <w:sz w:val="32"/>
          <w:szCs w:val="24"/>
          <w:lang w:val="en-US" w:eastAsia="zh-CN" w:bidi="ar-SA"/>
        </w:rPr>
        <w:t>，与改革发展稳定工作同谋划、同落实，坚持每季度至少召开一次政府常务会或政府党组会，定期研究解决法治建设中的重大问题，确保各项工作落地见效。</w:t>
      </w:r>
    </w:p>
    <w:p w14:paraId="227481A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二、依法履行职能，不断优化法治化营商环境</w:t>
      </w:r>
    </w:p>
    <w:p w14:paraId="18FD96C9">
      <w:pPr>
        <w:keepNext w:val="0"/>
        <w:keepLines w:val="0"/>
        <w:pageBreakBefore w:val="0"/>
        <w:widowControl/>
        <w:suppressLineNumbers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一是提升政务服务效能。</w:t>
      </w:r>
      <w:r>
        <w:rPr>
          <w:rFonts w:hint="eastAsia" w:ascii="仿宋_GB2312" w:hAnsi="仿宋_GB2312" w:eastAsia="仿宋_GB2312" w:cs="仿宋_GB2312"/>
          <w:lang w:val="en-US" w:eastAsia="zh-CN"/>
        </w:rPr>
        <w:t>区政务服务大厅进驻单位32个，可办政务服务事项</w:t>
      </w:r>
      <w:r>
        <w:rPr>
          <w:rFonts w:hint="default" w:ascii="仿宋_GB2312" w:hAnsi="仿宋_GB2312" w:eastAsia="仿宋_GB2312" w:cs="仿宋_GB2312"/>
          <w:lang w:val="en-US" w:eastAsia="zh-CN"/>
        </w:rPr>
        <w:t>5</w:t>
      </w:r>
      <w:r>
        <w:rPr>
          <w:rFonts w:hint="eastAsia" w:ascii="仿宋_GB2312" w:hAnsi="仿宋_GB2312" w:eastAsia="仿宋_GB2312" w:cs="仿宋_GB2312"/>
          <w:lang w:val="en-US" w:eastAsia="zh-CN"/>
        </w:rPr>
        <w:t>58项，做到</w:t>
      </w:r>
      <w:bookmarkStart w:id="0" w:name="OLE_LINK1"/>
      <w:r>
        <w:rPr>
          <w:rFonts w:hint="eastAsia" w:ascii="仿宋_GB2312" w:hAnsi="仿宋_GB2312" w:eastAsia="仿宋_GB2312" w:cs="仿宋_GB2312"/>
          <w:lang w:val="en-US" w:eastAsia="zh-CN"/>
        </w:rPr>
        <w:t>应进必进、集中受理、</w:t>
      </w:r>
      <w:bookmarkEnd w:id="0"/>
      <w:r>
        <w:rPr>
          <w:rFonts w:hint="default" w:ascii="仿宋_GB2312" w:hAnsi="仿宋_GB2312" w:eastAsia="仿宋_GB2312" w:cs="仿宋_GB2312"/>
          <w:lang w:val="en-US" w:eastAsia="zh-CN"/>
        </w:rPr>
        <w:t>一门办理</w:t>
      </w:r>
      <w:r>
        <w:rPr>
          <w:rFonts w:hint="eastAsia" w:ascii="仿宋_GB2312" w:hAnsi="仿宋_GB2312" w:eastAsia="仿宋_GB2312" w:cs="仿宋_GB2312"/>
          <w:lang w:val="en-US" w:eastAsia="zh-CN"/>
        </w:rPr>
        <w:t>，审批服务事项100%实现全流程网办。深入推进“高效办成一件事”重点事项落地，国务院三批</w:t>
      </w:r>
      <w:r>
        <w:rPr>
          <w:rFonts w:hint="eastAsia" w:cs="仿宋_GB2312"/>
          <w:lang w:val="en-US" w:eastAsia="zh-CN"/>
        </w:rPr>
        <w:t>42</w:t>
      </w:r>
      <w:r>
        <w:rPr>
          <w:rFonts w:hint="eastAsia" w:ascii="仿宋_GB2312" w:hAnsi="仿宋_GB2312" w:eastAsia="仿宋_GB2312" w:cs="仿宋_GB2312"/>
          <w:lang w:val="en-US" w:eastAsia="zh-CN"/>
        </w:rPr>
        <w:t>项重点事项实现上线运行，累计服务企业、群众1.1万余人次。</w:t>
      </w:r>
    </w:p>
    <w:p w14:paraId="1C8DC058">
      <w:pPr>
        <w:keepNext w:val="0"/>
        <w:keepLines w:val="0"/>
        <w:pageBreakBefore w:val="0"/>
        <w:widowControl/>
        <w:suppressLineNumbers w:val="0"/>
        <w:kinsoku/>
        <w:wordWrap/>
        <w:overflowPunct/>
        <w:topLinePunct w:val="0"/>
        <w:autoSpaceDE/>
        <w:autoSpaceDN/>
        <w:bidi w:val="0"/>
        <w:adjustRightInd/>
        <w:snapToGrid/>
        <w:spacing w:line="560" w:lineRule="exact"/>
        <w:ind w:firstLine="643" w:firstLineChars="200"/>
        <w:jc w:val="left"/>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二是优化行政审批服务</w:t>
      </w:r>
      <w:r>
        <w:rPr>
          <w:rFonts w:hint="eastAsia" w:ascii="仿宋_GB2312" w:hAnsi="仿宋_GB2312" w:eastAsia="仿宋_GB2312" w:cs="仿宋_GB2312"/>
          <w:lang w:val="en-US" w:eastAsia="zh-CN"/>
        </w:rPr>
        <w:t>。设置京津冀“跨省通办”窗口，通过“网上办”“窗口办”，实现355项政务服务事项京津冀“跨省通办”。开展行政审批加速提级行动，将AI智能审批系统应用场景由单一的企业开办拓展至小餐饮、人力资源服务等21个高频事项，业务办理平均时长压减90%。研发智能填报系统，单个业务办理由15分钟压缩至1.5分钟。</w:t>
      </w:r>
    </w:p>
    <w:p w14:paraId="77255B0D">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三是健全精准高效监管机制</w:t>
      </w:r>
      <w:r>
        <w:rPr>
          <w:rFonts w:hint="eastAsia" w:ascii="仿宋_GB2312" w:hAnsi="仿宋_GB2312" w:eastAsia="仿宋_GB2312" w:cs="仿宋_GB2312"/>
          <w:lang w:val="en-US" w:eastAsia="zh-CN"/>
        </w:rPr>
        <w:t>。深入开展“一业一查”部门联合抽查，针对制造加工、餐饮、养老等78个行业，整合抽查事项和流程，打造“名单一次性抽取、人员一次性选派、检查一次性完成、结果一次性公布”的抽查模式，实现“进一次门、查多项事”。今年共开展抽查10次，抽查经营主体2806户，有效避免了随意检查、重复检查。</w:t>
      </w:r>
    </w:p>
    <w:p w14:paraId="1D53C0BA">
      <w:pPr>
        <w:pStyle w:val="11"/>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三、坚持依法决策，维护政府权威和公信力</w:t>
      </w:r>
    </w:p>
    <w:p w14:paraId="583F687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kern w:val="2"/>
          <w:sz w:val="32"/>
          <w:szCs w:val="32"/>
          <w:lang w:val="en-US" w:eastAsia="zh-CN" w:bidi="ar-SA"/>
        </w:rPr>
        <w:t>一是强化依法决策</w:t>
      </w:r>
      <w:r>
        <w:rPr>
          <w:rFonts w:hint="eastAsia" w:ascii="仿宋_GB2312" w:hAnsi="仿宋_GB2312" w:eastAsia="仿宋_GB2312" w:cs="仿宋_GB2312"/>
          <w:lang w:val="en-US" w:eastAsia="zh-CN"/>
        </w:rPr>
        <w:t>。认真落实《藁城区重大行政决策程序实施细则》《重大行政决策公众参与办法》，严格执行公众参与、专家论证、风险评估、合法性审查、集体讨论决定的法定程序，制定印发了《藁城区2025年度重大行政决策目录》。对《藁城区第二轮土地承包到期后再延长30年试点工作实施方案》《藁城区教育强区建设三年提升计划》等重大行政决策特别是涉及“三重一大”的工作，经区政府常务会集体研究决策，邀请政府法律顾问列席，确保决策的合法性、科学性。</w:t>
      </w:r>
    </w:p>
    <w:p w14:paraId="0121DE5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二是严格落实政务公开</w:t>
      </w:r>
      <w:r>
        <w:rPr>
          <w:rFonts w:hint="eastAsia" w:ascii="仿宋_GB2312" w:hAnsi="仿宋_GB2312" w:eastAsia="仿宋_GB2312" w:cs="仿宋_GB2312"/>
          <w:lang w:val="en-US" w:eastAsia="zh-CN"/>
        </w:rPr>
        <w:t>。严格落实政务公开清单管理制度，依托区政府门户网站等平台，及时公开政务信息，保障群众的知情权、参与权和监督权，不断提升政府公信力。今年以来，公开政策文件17件。持续提升依申请公开工作质量，加强与申请人沟通，收到政府信息公开申请事项24件，全部在收到申请之日起20个工作日内完成答复。</w:t>
      </w:r>
    </w:p>
    <w:p w14:paraId="0B22E3A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三是加强政务诚信建设</w:t>
      </w:r>
      <w:r>
        <w:rPr>
          <w:rFonts w:hint="eastAsia" w:ascii="仿宋_GB2312" w:hAnsi="仿宋_GB2312" w:eastAsia="仿宋_GB2312" w:cs="仿宋_GB2312"/>
          <w:lang w:val="en-US" w:eastAsia="zh-CN"/>
        </w:rPr>
        <w:t>。健全政府诚信履约机制，将合法性审查作为政府招商引资承诺的前置程序，今年以来共对24个招商项目进行了合法性审查，进一步规范招商引资行为。建立健全信用承诺制度，向社会公布116项保留证明事项和35项实行告知承诺制证明事项。我区被评为2024年度省级信用体系建设试点区。</w:t>
      </w:r>
    </w:p>
    <w:p w14:paraId="2C5892F2">
      <w:pPr>
        <w:pStyle w:val="11"/>
        <w:keepNext w:val="0"/>
        <w:keepLines w:val="0"/>
        <w:pageBreakBefore w:val="0"/>
        <w:widowControl w:val="0"/>
        <w:numPr>
          <w:ilvl w:val="0"/>
          <w:numId w:val="0"/>
        </w:numPr>
        <w:kinsoku/>
        <w:wordWrap/>
        <w:overflowPunct/>
        <w:topLinePunct w:val="0"/>
        <w:autoSpaceDE/>
        <w:autoSpaceDN/>
        <w:bidi w:val="0"/>
        <w:adjustRightInd/>
        <w:snapToGrid/>
        <w:spacing w:after="0" w:afterLines="0" w:line="560" w:lineRule="exact"/>
        <w:ind w:left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四、加强监督协调，行政执法质效显著提升</w:t>
      </w:r>
    </w:p>
    <w:p w14:paraId="501E04F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一是不断强化行政执法监督</w:t>
      </w:r>
      <w:r>
        <w:rPr>
          <w:rFonts w:hint="eastAsia" w:ascii="仿宋_GB2312" w:hAnsi="仿宋_GB2312" w:eastAsia="仿宋_GB2312" w:cs="仿宋_GB2312"/>
          <w:lang w:val="en-US" w:eastAsia="zh-CN"/>
        </w:rPr>
        <w:t>。严格落实行政执法“三项制度”，执法事项全部在区政府门户网站公开并动态更新，以开展“提升行政执法质量三年行动”为抓手，完善行政执法协调监督检查机制体系。</w:t>
      </w:r>
    </w:p>
    <w:p w14:paraId="73186D5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二是开展法治政府示范创建</w:t>
      </w:r>
      <w:r>
        <w:rPr>
          <w:rFonts w:hint="eastAsia" w:ascii="仿宋_GB2312" w:hAnsi="仿宋_GB2312" w:eastAsia="仿宋_GB2312" w:cs="仿宋_GB2312"/>
          <w:lang w:val="en-US" w:eastAsia="zh-CN"/>
        </w:rPr>
        <w:t>。召开政府常务会3次，部署推动石家庄市创建全国法治政府建设示范市工作。按照国家级法治政府建设100项指标要求，全面开展对标提升。组织开展全区行政执法人员法律知识学练，抓好全区行政执法人员年度学习培训。交通、农业、市场监管等7个单位27本行政执法案卷纳入目录迎接石家庄市创建全国法治政府建设示范地区实地核查。</w:t>
      </w:r>
    </w:p>
    <w:p w14:paraId="1D91319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三是严格规范涉企行政检查</w:t>
      </w:r>
      <w:r>
        <w:rPr>
          <w:rFonts w:hint="eastAsia" w:ascii="仿宋_GB2312" w:hAnsi="仿宋_GB2312" w:eastAsia="仿宋_GB2312" w:cs="仿宋_GB2312"/>
          <w:lang w:val="en-US" w:eastAsia="zh-CN"/>
        </w:rPr>
        <w:t>。根据中央和省市关于严格规范涉企行政检查的工作部署，在区政府网站开辟了“涉企行政检查公示专栏”，对各单位“检查主体、行政检查事项和依据、行政检查频次上限、行政检查标准、检查计划、检查文书”等进行公开，认真落实好涉企行政检查“五个严禁”“八个不得”，严格规范了谁来查、凭什么查、查什么、怎么查的问题，做到法定检查主体之外不得行使行政检查权，法定检查事项之外检查违法，法定收费事项之外不得收费，超频次检查必查处，从源头上杜绝了行政检查事项多、频次高、随意性大，重复检查、多头检查的问题。2025年，全区涉企行政检查次数同比下降45%，有效减轻了企业负担。</w:t>
      </w:r>
    </w:p>
    <w:p w14:paraId="78243F8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四是推进规范涉企行政执法专项行动</w:t>
      </w:r>
      <w:r>
        <w:rPr>
          <w:rFonts w:hint="eastAsia" w:ascii="仿宋_GB2312" w:hAnsi="仿宋_GB2312" w:eastAsia="仿宋_GB2312" w:cs="仿宋_GB2312"/>
          <w:lang w:val="en-US" w:eastAsia="zh-CN"/>
        </w:rPr>
        <w:t>。制定《藁城区规范涉企行政执法专项行动实施方案》，细化完善17项工作举措，制定并公布全区涉企行政检查主体35个，梳理公布219个涉企行政检查事项清单。聚焦人民群众关注的水电、燃气等重点领域行业开展涉企违规收费专项整治，组织非税收入政策落实专项检查，建立罚没收入异常增长定期监测制度，今年以来全区罚没收入1289.8万元，同比下降45%。推行“扫码入企”，规范了执法人员执法行为，保障了市场主体监督权力，有效遏制损害营商环境各类行为发生。</w:t>
      </w:r>
    </w:p>
    <w:p w14:paraId="60A620ED">
      <w:pPr>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60" w:lineRule="exact"/>
        <w:ind w:left="0" w:right="0" w:firstLine="640" w:firstLineChars="200"/>
        <w:jc w:val="left"/>
        <w:textAlignment w:val="auto"/>
        <w:rPr>
          <w:rFonts w:hint="default" w:ascii="黑体" w:hAnsi="黑体" w:eastAsia="黑体" w:cs="黑体"/>
          <w:color w:val="auto"/>
          <w:kern w:val="2"/>
          <w:sz w:val="32"/>
          <w:szCs w:val="32"/>
          <w:lang w:val="en-US" w:eastAsia="zh-CN" w:bidi="ar-SA"/>
        </w:rPr>
      </w:pPr>
      <w:r>
        <w:rPr>
          <w:rFonts w:hint="default" w:ascii="黑体" w:hAnsi="黑体" w:eastAsia="黑体" w:cs="黑体"/>
          <w:color w:val="auto"/>
          <w:kern w:val="2"/>
          <w:sz w:val="32"/>
          <w:szCs w:val="32"/>
          <w:lang w:val="en-US" w:eastAsia="zh-CN" w:bidi="ar-SA"/>
        </w:rPr>
        <w:t>强化各类监督，行政权力运行规范透明</w:t>
      </w:r>
    </w:p>
    <w:p w14:paraId="41818B2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60" w:lineRule="exact"/>
        <w:ind w:right="0" w:rightChars="0" w:firstLine="643" w:firstLineChars="200"/>
        <w:jc w:val="left"/>
        <w:textAlignment w:val="auto"/>
        <w:rPr>
          <w:rFonts w:hint="eastAsia" w:ascii="仿宋_GB2312" w:hAnsi="仿宋_GB2312" w:eastAsia="仿宋_GB2312" w:cs="仿宋_GB2312"/>
          <w:lang w:val="en-US" w:eastAsia="zh-CN"/>
        </w:rPr>
      </w:pPr>
      <w:r>
        <w:rPr>
          <w:rFonts w:hint="default" w:ascii="楷体_GB2312" w:hAnsi="楷体_GB2312" w:eastAsia="楷体_GB2312" w:cs="楷体_GB2312"/>
          <w:b/>
          <w:bCs/>
          <w:kern w:val="2"/>
          <w:sz w:val="32"/>
          <w:szCs w:val="32"/>
          <w:lang w:val="en-US" w:eastAsia="zh-CN" w:bidi="ar-SA"/>
        </w:rPr>
        <w:t>一是加强政府内部层级监督</w:t>
      </w:r>
      <w:r>
        <w:rPr>
          <w:rFonts w:hint="default" w:ascii="仿宋_GB2312" w:hAnsi="仿宋_GB2312" w:eastAsia="仿宋_GB2312" w:cs="仿宋_GB2312"/>
          <w:lang w:val="en-US" w:eastAsia="zh-CN"/>
        </w:rPr>
        <w:t>。重点关注领导干部履行发展、环保、民生、绩效、廉政责任等领域，突出民生保障和社会热点，</w:t>
      </w:r>
      <w:r>
        <w:rPr>
          <w:rFonts w:hint="eastAsia" w:ascii="仿宋_GB2312" w:hAnsi="仿宋_GB2312" w:eastAsia="仿宋_GB2312" w:cs="仿宋_GB2312"/>
          <w:lang w:val="en-US" w:eastAsia="zh-CN"/>
        </w:rPr>
        <w:t>对财政资金分配使用、国有资产监管等权力集中的部门和岗位实行分事行权、分岗设权、分级授权，定期轮岗，有效防止了权力寻租。</w:t>
      </w:r>
    </w:p>
    <w:p w14:paraId="3821A1C7">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60" w:lineRule="exact"/>
        <w:ind w:right="0" w:rightChars="0" w:firstLine="643" w:firstLineChars="200"/>
        <w:jc w:val="left"/>
        <w:textAlignment w:val="auto"/>
        <w:rPr>
          <w:rFonts w:hint="eastAsia" w:ascii="仿宋_GB2312" w:hAnsi="仿宋_GB2312" w:eastAsia="仿宋_GB2312" w:cs="仿宋_GB2312"/>
          <w:lang w:val="en-US" w:eastAsia="zh-CN"/>
        </w:rPr>
      </w:pPr>
      <w:r>
        <w:rPr>
          <w:rFonts w:hint="default" w:ascii="楷体_GB2312" w:hAnsi="楷体_GB2312" w:eastAsia="楷体_GB2312" w:cs="楷体_GB2312"/>
          <w:b/>
          <w:bCs/>
          <w:kern w:val="2"/>
          <w:sz w:val="32"/>
          <w:szCs w:val="32"/>
          <w:lang w:val="en-US" w:eastAsia="zh-CN" w:bidi="ar-SA"/>
        </w:rPr>
        <w:t>二是自觉接受人大监督、民主监督</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依法按时办理省、市、区三级176件人大代表建议、147件政协提案，并将196件代表建议、政协提案办理工作情况向社会公示公开，主动接受社会监督，及时回应社会关切，不断提高建议和提案办理工作透明度，意见建议办理满意度达96%以上。</w:t>
      </w:r>
    </w:p>
    <w:p w14:paraId="310D4E79">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60" w:lineRule="exact"/>
        <w:ind w:right="0" w:rightChars="0" w:firstLine="643" w:firstLineChars="200"/>
        <w:jc w:val="left"/>
        <w:textAlignment w:val="auto"/>
        <w:rPr>
          <w:rFonts w:hint="default" w:ascii="仿宋_GB2312" w:hAnsi="仿宋_GB2312" w:eastAsia="仿宋_GB2312" w:cs="仿宋_GB2312"/>
          <w:lang w:val="en-US" w:eastAsia="zh-CN"/>
        </w:rPr>
      </w:pPr>
      <w:r>
        <w:rPr>
          <w:rFonts w:hint="default" w:ascii="楷体_GB2312" w:hAnsi="楷体_GB2312" w:eastAsia="楷体_GB2312" w:cs="楷体_GB2312"/>
          <w:b/>
          <w:bCs/>
          <w:kern w:val="2"/>
          <w:sz w:val="32"/>
          <w:szCs w:val="32"/>
          <w:lang w:val="en-US" w:eastAsia="zh-CN" w:bidi="ar-SA"/>
        </w:rPr>
        <w:t>三是加强行政复议工作</w:t>
      </w:r>
      <w:r>
        <w:rPr>
          <w:rFonts w:hint="default" w:ascii="仿宋_GB2312" w:hAnsi="仿宋_GB2312" w:eastAsia="仿宋_GB2312" w:cs="仿宋_GB2312"/>
          <w:lang w:val="en-US" w:eastAsia="zh-CN"/>
        </w:rPr>
        <w:t>。</w:t>
      </w:r>
      <w:r>
        <w:rPr>
          <w:rFonts w:hint="eastAsia" w:ascii="仿宋_GB2312" w:hAnsi="仿宋_GB2312" w:eastAsia="仿宋_GB2312" w:cs="仿宋_GB2312"/>
          <w:lang w:val="en-US" w:eastAsia="zh-CN"/>
        </w:rPr>
        <w:t>用好全国统一行政复议工作平台，发挥行政复议化解行政争议主渠道作用，今年以来，共办理行政复议案件374件，根据复议案件情况对相应行政机关提出改进意见，确保全区复议法律文书100%履行到位。严格行政应诉管理，办理应诉案件30件，全部落实机关负责人出庭应诉要求。</w:t>
      </w:r>
    </w:p>
    <w:p w14:paraId="72C01E3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200"/>
        <w:textAlignment w:val="auto"/>
        <w:rPr>
          <w:rFonts w:hint="eastAsia" w:ascii="黑体" w:hAnsi="黑体" w:eastAsia="黑体" w:cs="黑体"/>
          <w:lang w:val="en-US" w:eastAsia="zh-CN"/>
        </w:rPr>
      </w:pPr>
      <w:r>
        <w:rPr>
          <w:rFonts w:hint="eastAsia" w:ascii="黑体" w:hAnsi="黑体" w:eastAsia="黑体" w:cs="黑体"/>
          <w:lang w:val="en-US" w:eastAsia="zh-CN"/>
        </w:rPr>
        <w:t>六、共建法治社会，提升全民法治素养</w:t>
      </w:r>
    </w:p>
    <w:p w14:paraId="1866EAE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一是扎实推进普法宣传</w:t>
      </w:r>
      <w:r>
        <w:rPr>
          <w:rFonts w:hint="eastAsia" w:ascii="仿宋_GB2312" w:hAnsi="仿宋_GB2312" w:eastAsia="仿宋_GB2312" w:cs="仿宋_GB2312"/>
          <w:lang w:val="en-US" w:eastAsia="zh-CN"/>
        </w:rPr>
        <w:t>。全面落实“八五”普法规划，以领导干部、青少年、农民三个重点群体为重点，形成法治宣传教育“一三五”模式。着力推进青少年法治宣传教育，聘任教育和政法部门业务骨干到141所中小学担任法治副校长，全年组织开展法治宣传进校园活动20次。创新农村法治宣传形式，创新推广“公法机器人”，实现全区村居全覆盖，累计阅读量19.2万余次。持续开展“送法进乡村”活动，2025年累计开展12次主题宣传，培育“法律明白人”9378名。</w:t>
      </w:r>
    </w:p>
    <w:p w14:paraId="6432FD1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二是有效化解社会</w:t>
      </w:r>
      <w:r>
        <w:rPr>
          <w:rFonts w:hint="eastAsia" w:ascii="仿宋_GB2312" w:hAnsi="仿宋_GB2312" w:eastAsia="仿宋_GB2312" w:cs="仿宋_GB2312"/>
          <w:b/>
          <w:bCs/>
          <w:color w:val="auto"/>
          <w:sz w:val="32"/>
          <w:szCs w:val="32"/>
          <w:lang w:val="en-US" w:eastAsia="zh-CN"/>
        </w:rPr>
        <w:t>矛盾纠纷</w:t>
      </w:r>
      <w:r>
        <w:rPr>
          <w:rFonts w:hint="eastAsia" w:ascii="仿宋_GB2312" w:hAnsi="仿宋_GB2312" w:eastAsia="仿宋_GB2312" w:cs="仿宋_GB2312"/>
          <w:lang w:val="en-US" w:eastAsia="zh-CN"/>
        </w:rPr>
        <w:t>。学习推广新时代“枫桥经验”，构建“点线面体调解矩阵”，各镇村均建立调委会，并成立14个行业性、专业性调委会，增设宫灯、清真食品、食品产业园三个特色行专调委会，组成具备化解特定产业纠纷能力的调解队伍，推进重点行业矛盾纠纷的化解，保障特色产业高质量发展。2025年行专调解成功案件90余件，人民调解工作化解纠纷案件1633件，调解成功率98.67%。</w:t>
      </w:r>
    </w:p>
    <w:p w14:paraId="5DACED3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lang w:val="en-US" w:eastAsia="zh-CN"/>
        </w:rPr>
      </w:pPr>
      <w:r>
        <w:rPr>
          <w:rFonts w:hint="eastAsia" w:ascii="楷体_GB2312" w:hAnsi="楷体_GB2312" w:eastAsia="楷体_GB2312" w:cs="楷体_GB2312"/>
          <w:b/>
          <w:bCs/>
          <w:kern w:val="2"/>
          <w:sz w:val="32"/>
          <w:szCs w:val="32"/>
          <w:lang w:val="en-US" w:eastAsia="zh-CN" w:bidi="ar-SA"/>
        </w:rPr>
        <w:t>三是优化公共法律服务体系</w:t>
      </w:r>
      <w:r>
        <w:rPr>
          <w:rFonts w:hint="eastAsia" w:ascii="仿宋_GB2312" w:hAnsi="仿宋_GB2312" w:eastAsia="仿宋_GB2312" w:cs="仿宋_GB2312"/>
          <w:lang w:val="en-US" w:eastAsia="zh-CN"/>
        </w:rPr>
        <w:t>。将“法律援助扩面提质”纳入民生工程，强化法律援助工作宣传，结合劳动者、未成年权益保障等民生重点领域，开展进企业、进学校主题活动11次，做到“月月有活动”，持续提升社会知晓度和认可度。进一步简化法律援助手续，采取经济状况承诺制等措施，让申请人“只跑一次”。2025年共办理法律援助案件400余件、办理公证事项2416件。</w:t>
      </w:r>
    </w:p>
    <w:p w14:paraId="175C8BE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下一步，</w:t>
      </w:r>
      <w:r>
        <w:rPr>
          <w:rFonts w:hint="eastAsia" w:cs="仿宋_GB2312"/>
          <w:lang w:val="en-US" w:eastAsia="zh-CN"/>
        </w:rPr>
        <w:t>始终</w:t>
      </w:r>
      <w:r>
        <w:rPr>
          <w:rFonts w:hint="eastAsia" w:ascii="仿宋_GB2312" w:hAnsi="仿宋_GB2312" w:eastAsia="仿宋_GB2312" w:cs="仿宋_GB2312"/>
          <w:lang w:val="en-US" w:eastAsia="zh-CN"/>
        </w:rPr>
        <w:t>坚持以习近平新时代中国特色社会主义思想和习近平法治思想为指导，认真贯彻落实党和国家以及省市关于法治政府建设的决策部署，</w:t>
      </w:r>
      <w:r>
        <w:rPr>
          <w:rFonts w:hint="eastAsia" w:cs="仿宋_GB2312"/>
          <w:lang w:val="en-US" w:eastAsia="zh-CN"/>
        </w:rPr>
        <w:t>紧紧围绕区委“1251”整体工作思路，</w:t>
      </w:r>
      <w:r>
        <w:rPr>
          <w:rFonts w:hint="eastAsia" w:ascii="仿宋_GB2312" w:hAnsi="仿宋_GB2312" w:eastAsia="仿宋_GB2312" w:cs="仿宋_GB2312"/>
          <w:lang w:val="en-US" w:eastAsia="zh-CN"/>
        </w:rPr>
        <w:t>统筹抓好各项工作，推动藁城法治政府建设取得更大成效。一是坚持依法决策，进一步规范行政决策程序，健全政府守信践诺机制，提高依法行政水平。二是持续转变政府职能，畅通市场准入渠道，依法保护市场主体合法权益，促进市场公平竞争，持续优化法治化营商环境。三是加强行政权力监督，严格规范公正文明执法，持续提升法治政府建设水平，确保政府工作始终在法治轨道上运行，为加快建设“经济强区、魅力藁城”提供高质量法治保障。</w:t>
      </w:r>
    </w:p>
    <w:p w14:paraId="0FBEE47D">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kern w:val="2"/>
          <w:sz w:val="32"/>
          <w:szCs w:val="24"/>
          <w:lang w:val="en-US" w:eastAsia="zh-CN" w:bidi="ar-SA"/>
        </w:rPr>
      </w:pPr>
    </w:p>
    <w:p w14:paraId="12BB5771">
      <w:pPr>
        <w:pStyle w:val="3"/>
        <w:keepNext w:val="0"/>
        <w:keepLines w:val="0"/>
        <w:pageBreakBefore w:val="0"/>
        <w:widowControl w:val="0"/>
        <w:kinsoku/>
        <w:wordWrap/>
        <w:overflowPunct/>
        <w:topLinePunct w:val="0"/>
        <w:autoSpaceDE/>
        <w:autoSpaceDN/>
        <w:bidi w:val="0"/>
        <w:adjustRightInd/>
        <w:snapToGrid/>
        <w:spacing w:line="560" w:lineRule="exact"/>
        <w:ind w:firstLine="4160" w:firstLineChars="1300"/>
        <w:textAlignment w:val="auto"/>
        <w:rPr>
          <w:rFonts w:hint="eastAsia" w:ascii="仿宋_GB2312" w:hAnsi="仿宋_GB2312" w:eastAsia="仿宋_GB2312" w:cs="仿宋_GB2312"/>
          <w:kern w:val="2"/>
          <w:sz w:val="32"/>
          <w:szCs w:val="24"/>
          <w:lang w:val="en-US" w:eastAsia="zh-CN" w:bidi="ar-SA"/>
        </w:rPr>
      </w:pPr>
      <w:r>
        <w:rPr>
          <w:rFonts w:hint="eastAsia" w:ascii="仿宋_GB2312" w:hAnsi="仿宋_GB2312" w:eastAsia="仿宋_GB2312" w:cs="仿宋_GB2312"/>
          <w:kern w:val="2"/>
          <w:sz w:val="32"/>
          <w:szCs w:val="24"/>
          <w:lang w:val="en-US" w:eastAsia="zh-CN" w:bidi="ar-SA"/>
        </w:rPr>
        <w:t>石家庄市藁城区人民政府</w:t>
      </w:r>
    </w:p>
    <w:p w14:paraId="6604298F">
      <w:pPr>
        <w:pStyle w:val="3"/>
        <w:keepNext w:val="0"/>
        <w:keepLines w:val="0"/>
        <w:pageBreakBefore w:val="0"/>
        <w:widowControl w:val="0"/>
        <w:kinsoku/>
        <w:wordWrap/>
        <w:overflowPunct/>
        <w:topLinePunct w:val="0"/>
        <w:autoSpaceDE/>
        <w:autoSpaceDN/>
        <w:bidi w:val="0"/>
        <w:adjustRightInd/>
        <w:snapToGrid/>
        <w:spacing w:line="560" w:lineRule="exact"/>
        <w:ind w:firstLine="4800" w:firstLineChars="1500"/>
        <w:textAlignment w:val="auto"/>
        <w:rPr>
          <w:rFonts w:hint="default" w:ascii="仿宋_GB2312" w:hAnsi="仿宋_GB2312" w:eastAsia="仿宋_GB2312" w:cs="仿宋_GB2312"/>
          <w:kern w:val="2"/>
          <w:sz w:val="32"/>
          <w:szCs w:val="24"/>
          <w:lang w:val="en-US" w:eastAsia="zh-CN" w:bidi="ar-SA"/>
        </w:rPr>
      </w:pPr>
      <w:r>
        <w:rPr>
          <w:rFonts w:hint="eastAsia" w:ascii="仿宋_GB2312" w:hAnsi="仿宋_GB2312" w:eastAsia="仿宋_GB2312" w:cs="仿宋_GB2312"/>
          <w:kern w:val="2"/>
          <w:sz w:val="32"/>
          <w:szCs w:val="24"/>
          <w:lang w:val="en-US" w:eastAsia="zh-CN" w:bidi="ar-SA"/>
        </w:rPr>
        <w:t>2026年1月2</w:t>
      </w:r>
      <w:r>
        <w:rPr>
          <w:rFonts w:hint="eastAsia" w:cs="仿宋_GB2312"/>
          <w:kern w:val="2"/>
          <w:sz w:val="32"/>
          <w:szCs w:val="24"/>
          <w:lang w:val="en-US" w:eastAsia="zh-CN" w:bidi="ar-SA"/>
        </w:rPr>
        <w:t>8</w:t>
      </w:r>
      <w:r>
        <w:rPr>
          <w:rFonts w:hint="eastAsia" w:ascii="仿宋_GB2312" w:hAnsi="仿宋_GB2312" w:eastAsia="仿宋_GB2312" w:cs="仿宋_GB2312"/>
          <w:kern w:val="2"/>
          <w:sz w:val="32"/>
          <w:szCs w:val="24"/>
          <w:lang w:val="en-US" w:eastAsia="zh-CN" w:bidi="ar-SA"/>
        </w:rPr>
        <w:t>日</w:t>
      </w:r>
    </w:p>
    <w:sectPr>
      <w:footerReference r:id="rId6" w:type="default"/>
      <w:pgSz w:w="11906" w:h="16838"/>
      <w:pgMar w:top="2098" w:right="1474" w:bottom="1984" w:left="1587" w:header="851" w:footer="1701" w:gutter="0"/>
      <w:pgNumType w:fmt="numberInDash" w:start="2"/>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_GB2312">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73582">
    <w:pPr>
      <w:pStyle w:val="8"/>
      <w:ind w:left="0" w:leftChars="0"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DEDB7D">
    <w:pPr>
      <w:pStyle w:val="8"/>
      <w:ind w:left="0" w:leftChars="0"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6E6209">
                          <w:pPr>
                            <w:pStyle w:val="8"/>
                            <w:ind w:left="0" w:leftChars="0" w:firstLine="0" w:firstLineChars="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486E6209">
                    <w:pPr>
                      <w:pStyle w:val="8"/>
                      <w:ind w:left="0" w:leftChars="0" w:firstLine="0" w:firstLineChars="0"/>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- 2 -</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F189E3"/>
    <w:multiLevelType w:val="singleLevel"/>
    <w:tmpl w:val="71F189E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1YmFhZGYwNTIyNjRjNjUwMmY5ZWZiMGQ0NjA2NTIifQ=="/>
  </w:docVars>
  <w:rsids>
    <w:rsidRoot w:val="00172A27"/>
    <w:rsid w:val="020330EC"/>
    <w:rsid w:val="02941C80"/>
    <w:rsid w:val="035622D7"/>
    <w:rsid w:val="03724537"/>
    <w:rsid w:val="04647BB9"/>
    <w:rsid w:val="049C5DCA"/>
    <w:rsid w:val="06B97613"/>
    <w:rsid w:val="08A40A20"/>
    <w:rsid w:val="0A7A21DF"/>
    <w:rsid w:val="0BD41096"/>
    <w:rsid w:val="0C78453A"/>
    <w:rsid w:val="0D337F9C"/>
    <w:rsid w:val="0DE67374"/>
    <w:rsid w:val="0E0A55E7"/>
    <w:rsid w:val="0E941DA3"/>
    <w:rsid w:val="101D4A9A"/>
    <w:rsid w:val="110034B4"/>
    <w:rsid w:val="11286567"/>
    <w:rsid w:val="11300A99"/>
    <w:rsid w:val="11902A8A"/>
    <w:rsid w:val="124B32E2"/>
    <w:rsid w:val="128368CC"/>
    <w:rsid w:val="1289075F"/>
    <w:rsid w:val="14F07E7C"/>
    <w:rsid w:val="14F4785C"/>
    <w:rsid w:val="17127A9D"/>
    <w:rsid w:val="17256323"/>
    <w:rsid w:val="17655016"/>
    <w:rsid w:val="176F5182"/>
    <w:rsid w:val="185760AF"/>
    <w:rsid w:val="189B5850"/>
    <w:rsid w:val="1B054E06"/>
    <w:rsid w:val="1B317426"/>
    <w:rsid w:val="1C5B3C94"/>
    <w:rsid w:val="1C5B51A8"/>
    <w:rsid w:val="1D4B1F5B"/>
    <w:rsid w:val="1D5D053C"/>
    <w:rsid w:val="1F9B3DE8"/>
    <w:rsid w:val="20093532"/>
    <w:rsid w:val="211E264E"/>
    <w:rsid w:val="245F7CAC"/>
    <w:rsid w:val="249E7E54"/>
    <w:rsid w:val="25811D4E"/>
    <w:rsid w:val="25F77FB6"/>
    <w:rsid w:val="260E19BA"/>
    <w:rsid w:val="261E66BD"/>
    <w:rsid w:val="26CF790D"/>
    <w:rsid w:val="28E74F30"/>
    <w:rsid w:val="2AF459E0"/>
    <w:rsid w:val="2B013C59"/>
    <w:rsid w:val="2B885D26"/>
    <w:rsid w:val="2BAB6585"/>
    <w:rsid w:val="2C850C8E"/>
    <w:rsid w:val="2C89419A"/>
    <w:rsid w:val="2D71156A"/>
    <w:rsid w:val="2DB256DE"/>
    <w:rsid w:val="2DDF415E"/>
    <w:rsid w:val="2E05574C"/>
    <w:rsid w:val="2E0F48DF"/>
    <w:rsid w:val="2E511A19"/>
    <w:rsid w:val="2EC35DF5"/>
    <w:rsid w:val="2F104D2C"/>
    <w:rsid w:val="2F9E42CC"/>
    <w:rsid w:val="2FF224B1"/>
    <w:rsid w:val="302E3742"/>
    <w:rsid w:val="30D30EAE"/>
    <w:rsid w:val="318B0720"/>
    <w:rsid w:val="31B56837"/>
    <w:rsid w:val="3217764B"/>
    <w:rsid w:val="32F02F31"/>
    <w:rsid w:val="333946CA"/>
    <w:rsid w:val="336A2344"/>
    <w:rsid w:val="34FC017B"/>
    <w:rsid w:val="35B928C0"/>
    <w:rsid w:val="35F274C6"/>
    <w:rsid w:val="36140CE4"/>
    <w:rsid w:val="38C16FDC"/>
    <w:rsid w:val="394144E6"/>
    <w:rsid w:val="3A35391F"/>
    <w:rsid w:val="3AC727C9"/>
    <w:rsid w:val="3B3C7A44"/>
    <w:rsid w:val="3B8C1904"/>
    <w:rsid w:val="3BAA5C47"/>
    <w:rsid w:val="3C0C0E30"/>
    <w:rsid w:val="3C8A6EA8"/>
    <w:rsid w:val="3CA27DBE"/>
    <w:rsid w:val="3D225E22"/>
    <w:rsid w:val="3D2C30DB"/>
    <w:rsid w:val="3DB72FC9"/>
    <w:rsid w:val="3E23065E"/>
    <w:rsid w:val="3E9D6014"/>
    <w:rsid w:val="3EDA4E7D"/>
    <w:rsid w:val="3F671FEC"/>
    <w:rsid w:val="428A301F"/>
    <w:rsid w:val="43943464"/>
    <w:rsid w:val="443677B3"/>
    <w:rsid w:val="45E87A97"/>
    <w:rsid w:val="45EC7856"/>
    <w:rsid w:val="464A2500"/>
    <w:rsid w:val="47026FF2"/>
    <w:rsid w:val="477C493B"/>
    <w:rsid w:val="488F2F06"/>
    <w:rsid w:val="4A095CDA"/>
    <w:rsid w:val="4A696C9C"/>
    <w:rsid w:val="4B2670C9"/>
    <w:rsid w:val="4B880F1F"/>
    <w:rsid w:val="4EAB0F31"/>
    <w:rsid w:val="4EDD36D8"/>
    <w:rsid w:val="4EF472C0"/>
    <w:rsid w:val="4F5A1A06"/>
    <w:rsid w:val="501E2A33"/>
    <w:rsid w:val="50E01C8B"/>
    <w:rsid w:val="511D1B22"/>
    <w:rsid w:val="51466BE9"/>
    <w:rsid w:val="52CB215E"/>
    <w:rsid w:val="53640511"/>
    <w:rsid w:val="5371308E"/>
    <w:rsid w:val="53891F69"/>
    <w:rsid w:val="54646E83"/>
    <w:rsid w:val="55732733"/>
    <w:rsid w:val="5587107B"/>
    <w:rsid w:val="561E4EE7"/>
    <w:rsid w:val="58005114"/>
    <w:rsid w:val="590617A3"/>
    <w:rsid w:val="595F118C"/>
    <w:rsid w:val="5A202C97"/>
    <w:rsid w:val="5A6E0A5B"/>
    <w:rsid w:val="5B7C0F56"/>
    <w:rsid w:val="5CCD0F02"/>
    <w:rsid w:val="5D624CDF"/>
    <w:rsid w:val="5E194764"/>
    <w:rsid w:val="5EC944B2"/>
    <w:rsid w:val="5F1B2917"/>
    <w:rsid w:val="5F41673E"/>
    <w:rsid w:val="5F473629"/>
    <w:rsid w:val="5F52224A"/>
    <w:rsid w:val="5F82462F"/>
    <w:rsid w:val="60477D84"/>
    <w:rsid w:val="604B7B5D"/>
    <w:rsid w:val="60C73D08"/>
    <w:rsid w:val="613D1187"/>
    <w:rsid w:val="61481242"/>
    <w:rsid w:val="632641AF"/>
    <w:rsid w:val="635051A2"/>
    <w:rsid w:val="63747B04"/>
    <w:rsid w:val="64413B0E"/>
    <w:rsid w:val="647E5D3F"/>
    <w:rsid w:val="6504109E"/>
    <w:rsid w:val="650F6997"/>
    <w:rsid w:val="6525440C"/>
    <w:rsid w:val="656B1DEC"/>
    <w:rsid w:val="66FE6CC3"/>
    <w:rsid w:val="67830C40"/>
    <w:rsid w:val="68150BEB"/>
    <w:rsid w:val="682E69D6"/>
    <w:rsid w:val="6891131A"/>
    <w:rsid w:val="68D264DE"/>
    <w:rsid w:val="69BA2751"/>
    <w:rsid w:val="69BD43F9"/>
    <w:rsid w:val="6AAA02FF"/>
    <w:rsid w:val="6AFF71A4"/>
    <w:rsid w:val="6BD36970"/>
    <w:rsid w:val="6C8654AB"/>
    <w:rsid w:val="6D114DF0"/>
    <w:rsid w:val="6D9B1A8E"/>
    <w:rsid w:val="6DD95D94"/>
    <w:rsid w:val="6DE2080B"/>
    <w:rsid w:val="6E6044D7"/>
    <w:rsid w:val="6EA9739B"/>
    <w:rsid w:val="6EE77B35"/>
    <w:rsid w:val="6FAF5708"/>
    <w:rsid w:val="704759DE"/>
    <w:rsid w:val="70AC3550"/>
    <w:rsid w:val="70F3569F"/>
    <w:rsid w:val="720A2546"/>
    <w:rsid w:val="72260782"/>
    <w:rsid w:val="726F7E30"/>
    <w:rsid w:val="732C5ED6"/>
    <w:rsid w:val="74795BDB"/>
    <w:rsid w:val="755B28F4"/>
    <w:rsid w:val="76285B0A"/>
    <w:rsid w:val="768216BE"/>
    <w:rsid w:val="76B92C06"/>
    <w:rsid w:val="770E0F2C"/>
    <w:rsid w:val="77DC19B1"/>
    <w:rsid w:val="780D7A6E"/>
    <w:rsid w:val="78782D79"/>
    <w:rsid w:val="7895390F"/>
    <w:rsid w:val="78AE14AF"/>
    <w:rsid w:val="79334E81"/>
    <w:rsid w:val="79AB5ED5"/>
    <w:rsid w:val="7C3611F8"/>
    <w:rsid w:val="7C5C2010"/>
    <w:rsid w:val="7DD16A88"/>
    <w:rsid w:val="7EFE56FD"/>
    <w:rsid w:val="7FE458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ind w:firstLine="880" w:firstLineChars="200"/>
      <w:jc w:val="both"/>
    </w:pPr>
    <w:rPr>
      <w:rFonts w:ascii="仿宋_GB2312" w:hAnsi="仿宋_GB2312" w:eastAsia="仿宋_GB2312" w:cstheme="minorBidi"/>
      <w:kern w:val="2"/>
      <w:sz w:val="32"/>
      <w:szCs w:val="24"/>
      <w:lang w:val="en-US" w:eastAsia="zh-CN" w:bidi="ar-SA"/>
    </w:rPr>
  </w:style>
  <w:style w:type="paragraph" w:styleId="4">
    <w:name w:val="heading 2"/>
    <w:basedOn w:val="1"/>
    <w:next w:val="1"/>
    <w:qFormat/>
    <w:uiPriority w:val="0"/>
    <w:pPr>
      <w:spacing w:before="100" w:beforeAutospacing="1" w:after="100" w:afterAutospacing="1"/>
      <w:jc w:val="left"/>
      <w:outlineLvl w:val="1"/>
    </w:pPr>
    <w:rPr>
      <w:rFonts w:ascii="宋体" w:eastAsia="宋体" w:cs="宋体"/>
      <w:b/>
      <w:kern w:val="0"/>
      <w:sz w:val="36"/>
      <w:szCs w:val="36"/>
      <w:lang w:val="en-US" w:eastAsia="zh-CN" w:bidi="ar"/>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after="120"/>
    </w:pPr>
  </w:style>
  <w:style w:type="paragraph" w:customStyle="1" w:styleId="3">
    <w:name w:val="Body Text 21"/>
    <w:basedOn w:val="1"/>
    <w:qFormat/>
    <w:uiPriority w:val="0"/>
    <w:pPr>
      <w:spacing w:after="120" w:line="480" w:lineRule="auto"/>
    </w:pPr>
    <w:rPr>
      <w:rFonts w:eastAsia="仿宋_GB2312"/>
      <w:sz w:val="32"/>
      <w:szCs w:val="32"/>
    </w:rPr>
  </w:style>
  <w:style w:type="paragraph" w:styleId="5">
    <w:name w:val="toa heading"/>
    <w:basedOn w:val="1"/>
    <w:next w:val="1"/>
    <w:qFormat/>
    <w:uiPriority w:val="0"/>
    <w:rPr>
      <w:rFonts w:ascii="Arial" w:hAnsi="Arial"/>
      <w:sz w:val="24"/>
    </w:rPr>
  </w:style>
  <w:style w:type="paragraph" w:styleId="6">
    <w:name w:val="Body Text Indent"/>
    <w:basedOn w:val="1"/>
    <w:next w:val="7"/>
    <w:qFormat/>
    <w:uiPriority w:val="0"/>
    <w:pPr>
      <w:ind w:firstLine="630"/>
    </w:pPr>
  </w:style>
  <w:style w:type="paragraph" w:styleId="7">
    <w:name w:val="Subtitle"/>
    <w:basedOn w:val="1"/>
    <w:next w:val="1"/>
    <w:unhideWhenUsed/>
    <w:qFormat/>
    <w:uiPriority w:val="11"/>
    <w:pPr>
      <w:wordWrap w:val="0"/>
      <w:spacing w:beforeLines="0" w:after="60" w:afterLines="0"/>
      <w:jc w:val="center"/>
    </w:pPr>
    <w:rPr>
      <w:rFonts w:hint="default"/>
      <w:sz w:val="24"/>
      <w:szCs w:val="22"/>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1">
    <w:name w:val="Body Text First Indent 2"/>
    <w:basedOn w:val="6"/>
    <w:next w:val="1"/>
    <w:qFormat/>
    <w:uiPriority w:val="0"/>
    <w:pPr>
      <w:spacing w:after="120"/>
      <w:ind w:left="200" w:leftChars="200" w:firstLine="200" w:firstLineChars="200"/>
    </w:pPr>
    <w:rPr>
      <w:rFonts w:ascii="Times New Roman" w:hAnsi="Times New Roman"/>
    </w:rPr>
  </w:style>
  <w:style w:type="character" w:styleId="14">
    <w:name w:val="Strong"/>
    <w:basedOn w:val="13"/>
    <w:qFormat/>
    <w:uiPriority w:val="0"/>
    <w:rPr>
      <w:b/>
    </w:rPr>
  </w:style>
  <w:style w:type="character" w:styleId="15">
    <w:name w:val="Hyperlink"/>
    <w:basedOn w:val="13"/>
    <w:qFormat/>
    <w:uiPriority w:val="0"/>
    <w:rPr>
      <w:color w:val="0000FF"/>
      <w:u w:val="single"/>
    </w:rPr>
  </w:style>
  <w:style w:type="paragraph" w:customStyle="1" w:styleId="16">
    <w:name w:val="Default"/>
    <w:unhideWhenUsed/>
    <w:qFormat/>
    <w:uiPriority w:val="0"/>
    <w:pPr>
      <w:widowControl w:val="0"/>
      <w:autoSpaceDE w:val="0"/>
      <w:autoSpaceDN w:val="0"/>
      <w:adjustRightInd w:val="0"/>
      <w:spacing w:beforeLines="0" w:afterLines="0"/>
    </w:pPr>
    <w:rPr>
      <w:rFonts w:hint="default" w:ascii="??_GB2312" w:hAnsi="Calibri" w:eastAsia="Times New Roman" w:cs="Times New Roman"/>
      <w:sz w:val="2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3587</Words>
  <Characters>3711</Characters>
  <Lines>0</Lines>
  <Paragraphs>0</Paragraphs>
  <TotalTime>8</TotalTime>
  <ScaleCrop>false</ScaleCrop>
  <LinksUpToDate>false</LinksUpToDate>
  <CharactersWithSpaces>3711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2022-12-11T14:59:00Z</dcterms:created>
  <dc:creator>小毛人</dc:creator>
  <cp:lastModifiedBy>蒸汽</cp:lastModifiedBy>
  <cp:lastPrinted>2026-01-27T03:11:00Z</cp:lastPrinted>
  <dcterms:modified xsi:type="dcterms:W3CDTF">2026-02-05T01:13:09Z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FA61C8694FF843F0A4887167D86B4736_13</vt:lpwstr>
  </property>
  <property fmtid="{D5CDD505-2E9C-101B-9397-08002B2CF9AE}" pid="4" name="KSOTemplateDocerSaveRecord">
    <vt:lpwstr>eyJoZGlkIjoiYWZkOGFhMjdhZjJmNmY4Nzg4ZjRkYTVlZjNjOWVjMjEiLCJ1c2VySWQiOiI1NzMwNzYyNTUifQ==</vt:lpwstr>
  </property>
</Properties>
</file>