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AAD11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2033559D">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3F5D02C1">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石家庄市藁城区人力资源和社会保障局</w:t>
      </w:r>
    </w:p>
    <w:p w14:paraId="048ECC6B">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14:paraId="19F486ED">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40233FC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石家庄市藁城区人力资源和社会保障局</w:t>
      </w:r>
      <w:r>
        <w:rPr>
          <w:rFonts w:hint="eastAsia" w:ascii="仿宋_GB2312" w:hAnsi="仿宋_GB2312" w:eastAsia="仿宋_GB2312" w:cs="仿宋_GB2312"/>
          <w:sz w:val="32"/>
          <w:szCs w:val="32"/>
          <w:highlight w:val="none"/>
          <w:lang w:eastAsia="zh-CN"/>
        </w:rPr>
        <w:t>部202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396C3F03">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735D9F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7D32C1FE">
      <w:pPr>
        <w:snapToGrid w:val="0"/>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本部门基本职责包括：</w:t>
      </w:r>
    </w:p>
    <w:p w14:paraId="149BEED7">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(一)人才队伍建设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综合管理全区各类专业技术人员和专业技术职称的改革工作，负责各类专家及高层次人才选拔和培养</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建立健全我区各类专家及高层次人才、专业技术人才、技能人才队伍。</w:t>
      </w:r>
    </w:p>
    <w:p w14:paraId="38BA7655">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(二)人事管理对区直政府系统事业单位人事工作进行综合指导、监督检查、协调服务。负责事业单位岗位设置管理。确保事业单位公开招聘公平、公正；</w:t>
      </w:r>
    </w:p>
    <w:p w14:paraId="690A05D6">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(三)工资制度改革</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贯彻落实企事业单位人员工资收入分配政策，建立全区企事业单位人员工资正常增长和支付保障机制，负责全区政府系统科以下事业单位人员福利和离退休工作，并负责监督检查</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深化企事业单位工资制度改革。</w:t>
      </w:r>
    </w:p>
    <w:p w14:paraId="66AD7283">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(四)劳动关系管理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综合管理全区劳动人事争议预防、协调、仲裁工作；指导企业及基层劳动人事争议调解委员会的工作；完善劳动关系协调机制，依法行使国家劳动和社会保障监督检查权，协调劳动者维权工作，依法查处重大案件,加强劳动关系协调机制建设，构建和谐顺畅劳动关系。</w:t>
      </w:r>
    </w:p>
    <w:p w14:paraId="42D2B0AB">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(五)人社政务管理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综合协调局政务、事务,负责全区人力资源和社会保障的宣传和舆情研究。</w:t>
      </w:r>
    </w:p>
    <w:p w14:paraId="5FDD94C7">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(六)社会保险稽核</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进行执法检查《社会保险稽核》，实地稽核、举报稽核、约谈稽核,组织实施社会保险稽核，强化风险防控，规范经办行为。</w:t>
      </w:r>
    </w:p>
    <w:p w14:paraId="7D07593F">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(七)城乡居民基本养老保险</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完善我区社会保障体系，统筹城乡社会发展，全面建立公平、统一、规范、可持续的城乡居民基本养老保险制度，实现老有所养的社会建设目标。按照业务流程操作业务,确保基金及时到账,保证基金安全运行,养老金及时足额发放无拖欠。维护失地农民合法权益。</w:t>
      </w:r>
    </w:p>
    <w:p w14:paraId="56564983">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八)信息管理、计算机及附属设备的配置和维护，社会保障卡的管理工作负责本单位政府信息公开；单位计算机及附属设备的配置，网格系统平台的运行维护和管理。制定社会保障卡信息采集工作要求、社保卡发放流程及社保卡综合管理的工作规范。及时准确公开单位信息，保障人民群众的知情权；保证单位计算机及网络系统的正常运转，保证单位工作的正常开展。保证社保卡尽快发放到所有参保人手中。</w:t>
      </w:r>
    </w:p>
    <w:p w14:paraId="010A7DB9">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(九)档案管理和各项查询服务企业离退休人员社会化管理，资格认证与体检</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1、严格按照归档范围，做好文书、业务、会计、声像、科技档案的收集整理保管工作；2、严格执行保密、借阅制度，维护档案的安全；3、做好档案移交、统计、利用、维护工作。4、负责本辖区内企业退休人员社会化管理服务工作的业务指导，负责组织实施，统筹协调监督检查。严格履行档案管理职责，做到档案管理规范。防范基金风险，堵塞基金漏洞。</w:t>
      </w:r>
    </w:p>
    <w:p w14:paraId="5662B3C1">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(十)机关事业单位及在职人员参保缴费管理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负责参保单位申报审核，收缴养老保险费。</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保证参保率、收缴率，做到应保尽保、应收尽收。</w:t>
      </w:r>
    </w:p>
    <w:p w14:paraId="3BDD27AC">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(十一)</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企业养老管理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努力扩大养老保险覆盖面，审核企业养老保险费申报核定，扩大灵活人员和个体参保面，负责参保职工养老保险费个人账户的管理，负责养老保险关系的转移，负责退休人员待遇审核，负责离退人员待遇发放（抗战前期参加工作企业离休人员及遗属供养人员待遇支付等业务)为新参保单位和个人办理参保手续。督促企业实事求是的申报养老保险费，为个体工商户和灵活就业人员办理参保手续，核对在职职工的个人账户，促进参保人员跨省和省内人员就业流动，退休人员档案审核，待遇核准，发放离退休人员待遇。</w:t>
      </w:r>
    </w:p>
    <w:p w14:paraId="505EED60">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(十二)</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工伤保险费征缴及待遇发放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本区行政区域内的企业、事业单位、社会团体、民办非企业单位会计师事务所等组织和有雇工的个体工商户参保、缴费；经社保行政部门认（鉴）定后的工伤待遇发放,提高工伤保险参保率，确保工伤保险待遇落实到位。</w:t>
      </w:r>
    </w:p>
    <w:p w14:paraId="08AF1549">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(十三)</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就业再就业扶持政策落实</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贯彻落实就业再就业扶持政策政策，制定本区就业规划, 根据石财社[2012]16号，依法依规用好就业专项资金，落实就业创业优惠政策。</w:t>
      </w:r>
    </w:p>
    <w:p w14:paraId="11725DAC">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(十四)</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创业扶持政策落实</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贯彻落实创业扶持政策，鼓励创业促进就业，根据石政办发【2014】9号和石人社字【2014】65号，依法依规用好创业扶持资金，落实创业扶持政策。</w:t>
      </w:r>
    </w:p>
    <w:p w14:paraId="1F691A9E">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(十五)</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小额担保贷款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落实小额担保贷款工作，根据财金【2013】84号，做好小额担保贷款工作。</w:t>
      </w:r>
    </w:p>
    <w:p w14:paraId="7B788D73">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(十六)</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就业服务体系建设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培育和完善人力资源市场，规范人力资源市场活动，开展就业服务，落实城乡劳动者平等就业制度，积极促进就业促进失业人员再就业，控制城镇登记失业率，转移农村劳动力，保持就业形势的基本稳定。</w:t>
      </w:r>
    </w:p>
    <w:p w14:paraId="01E5F3B8">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(十七)</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失业保险管理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失业保险金申报、审核。失业人员失业保险待遇核定发放，做好失业动态监测工作，及时足额落实失业保险待遇；完成失业动态监测。</w:t>
      </w:r>
    </w:p>
    <w:p w14:paraId="4223FD80">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(十八)</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劳动技校政务管理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协调各科室政务、事务，负责本单位后勤保障、党务党建、调研等综合性工作。</w:t>
      </w:r>
    </w:p>
    <w:p w14:paraId="6B221AB5">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(十九)</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政策宣传，组织推动</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贯彻执行国家的职业教育方针，落实上级人社部门有关职业教育的各项政策，完善技能人才培养体系，加大宣传力度，使国家政策深入人心。</w:t>
      </w:r>
    </w:p>
    <w:p w14:paraId="36869656">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(二十)</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全日制教育</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主要承担通过学制教育培养中级技能人才任务，根据劳动力市场，确定专业设置、学制、招生人数。</w:t>
      </w:r>
    </w:p>
    <w:p w14:paraId="0A64866A">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(二十一)</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社会培训</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进一步加大社会职业培训力度，提高培训质量</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采取自主培训、订单培训、岗前培训、劳动预备制培训等形式开展就业技能培训和创业培训。</w:t>
      </w:r>
    </w:p>
    <w:p w14:paraId="608033D7">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(二十二)职业技能鉴定</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根据国家政策，受理职业技能鉴定申请，对申报者进行资格审查，组织合格申报人员按规定时间和方式进行考核考评，并负责向鉴定合格者发放职业资格证书，加大宣传力度，使国家政策深入人心，让申报者充分了解国家相关政策和职业资格国家准入制度。</w:t>
      </w:r>
    </w:p>
    <w:p w14:paraId="6621CF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olor w:val="000000"/>
          <w:sz w:val="32"/>
          <w:szCs w:val="32"/>
        </w:rPr>
      </w:pPr>
      <w:r>
        <w:rPr>
          <w:rFonts w:hint="eastAsia" w:ascii="仿宋_GB2312" w:hAnsi="仿宋" w:eastAsia="仿宋_GB2312"/>
          <w:color w:val="000000"/>
          <w:sz w:val="32"/>
          <w:szCs w:val="32"/>
        </w:rPr>
        <w:t>(二十三)职业能力建设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统筹建立职业培训制度，落实职业技能鉴定政策，按国家和市政府要求推动职业能力建设，开展职业培训能力建设相关工作</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建立符合条件的定点培训机构，完善培训点的设施、设备和师资力量，保证按质按量完成培训工作。</w:t>
      </w:r>
    </w:p>
    <w:p w14:paraId="387AF8F6">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本部门组织机构包括：</w:t>
      </w:r>
    </w:p>
    <w:tbl>
      <w:tblPr>
        <w:tblStyle w:val="8"/>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FEBC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tcBorders>
              <w:top w:val="single" w:color="auto" w:sz="4" w:space="0"/>
              <w:left w:val="single" w:color="auto" w:sz="4" w:space="0"/>
              <w:bottom w:val="single" w:color="auto" w:sz="4" w:space="0"/>
              <w:right w:val="single" w:color="auto" w:sz="4" w:space="0"/>
            </w:tcBorders>
            <w:noWrap w:val="0"/>
            <w:vAlign w:val="center"/>
          </w:tcPr>
          <w:p w14:paraId="0A0104FF">
            <w:pPr>
              <w:spacing w:line="560" w:lineRule="exact"/>
              <w:jc w:val="center"/>
              <w:rPr>
                <w:rFonts w:hint="eastAsia" w:ascii="仿宋_GB2312" w:hAnsi="Calibri" w:eastAsia="仿宋_GB2312" w:cs="ArialUnicodeMS"/>
                <w:b/>
                <w:bCs/>
                <w:kern w:val="0"/>
                <w:sz w:val="32"/>
                <w:szCs w:val="32"/>
              </w:rPr>
            </w:pPr>
            <w:r>
              <w:rPr>
                <w:rFonts w:hint="eastAsia" w:ascii="仿宋_GB2312" w:eastAsia="仿宋_GB2312" w:cs="ArialUnicodeMS"/>
                <w:b/>
                <w:bCs/>
                <w:kern w:val="0"/>
                <w:sz w:val="32"/>
                <w:szCs w:val="32"/>
              </w:rPr>
              <w:t>序号</w:t>
            </w:r>
          </w:p>
        </w:tc>
        <w:tc>
          <w:tcPr>
            <w:tcW w:w="3485" w:type="dxa"/>
            <w:tcBorders>
              <w:top w:val="single" w:color="auto" w:sz="4" w:space="0"/>
              <w:left w:val="single" w:color="auto" w:sz="4" w:space="0"/>
              <w:bottom w:val="single" w:color="auto" w:sz="4" w:space="0"/>
              <w:right w:val="single" w:color="auto" w:sz="4" w:space="0"/>
            </w:tcBorders>
            <w:noWrap w:val="0"/>
            <w:vAlign w:val="center"/>
          </w:tcPr>
          <w:p w14:paraId="02ACCC62">
            <w:pPr>
              <w:spacing w:line="560" w:lineRule="exact"/>
              <w:jc w:val="center"/>
              <w:rPr>
                <w:rFonts w:hint="eastAsia" w:ascii="仿宋_GB2312" w:hAnsi="Calibri" w:eastAsia="仿宋_GB2312" w:cs="ArialUnicodeMS"/>
                <w:b/>
                <w:bCs/>
                <w:kern w:val="0"/>
                <w:sz w:val="32"/>
                <w:szCs w:val="32"/>
              </w:rPr>
            </w:pPr>
            <w:r>
              <w:rPr>
                <w:rFonts w:hint="eastAsia" w:ascii="仿宋_GB2312" w:eastAsia="仿宋_GB2312" w:cs="ArialUnicodeMS"/>
                <w:b/>
                <w:bCs/>
                <w:kern w:val="0"/>
                <w:sz w:val="32"/>
                <w:szCs w:val="32"/>
              </w:rPr>
              <w:t>单位名称</w:t>
            </w:r>
          </w:p>
        </w:tc>
        <w:tc>
          <w:tcPr>
            <w:tcW w:w="2445" w:type="dxa"/>
            <w:tcBorders>
              <w:top w:val="single" w:color="auto" w:sz="4" w:space="0"/>
              <w:left w:val="single" w:color="auto" w:sz="4" w:space="0"/>
              <w:bottom w:val="single" w:color="auto" w:sz="4" w:space="0"/>
              <w:right w:val="single" w:color="auto" w:sz="4" w:space="0"/>
            </w:tcBorders>
            <w:noWrap w:val="0"/>
            <w:vAlign w:val="center"/>
          </w:tcPr>
          <w:p w14:paraId="75A1B615">
            <w:pPr>
              <w:spacing w:line="560" w:lineRule="exact"/>
              <w:jc w:val="center"/>
              <w:rPr>
                <w:rFonts w:hint="eastAsia" w:ascii="仿宋_GB2312" w:hAnsi="Calibri" w:eastAsia="仿宋_GB2312" w:cs="ArialUnicodeMS"/>
                <w:b/>
                <w:bCs/>
                <w:kern w:val="0"/>
                <w:sz w:val="32"/>
                <w:szCs w:val="32"/>
              </w:rPr>
            </w:pPr>
            <w:r>
              <w:rPr>
                <w:rFonts w:hint="eastAsia" w:ascii="仿宋_GB2312" w:eastAsia="仿宋_GB2312" w:cs="ArialUnicodeMS"/>
                <w:b/>
                <w:bCs/>
                <w:kern w:val="0"/>
                <w:sz w:val="32"/>
                <w:szCs w:val="32"/>
              </w:rPr>
              <w:t>单位基本性质</w:t>
            </w:r>
          </w:p>
        </w:tc>
        <w:tc>
          <w:tcPr>
            <w:tcW w:w="2665" w:type="dxa"/>
            <w:tcBorders>
              <w:top w:val="single" w:color="auto" w:sz="4" w:space="0"/>
              <w:left w:val="single" w:color="auto" w:sz="4" w:space="0"/>
              <w:bottom w:val="single" w:color="auto" w:sz="4" w:space="0"/>
              <w:right w:val="single" w:color="auto" w:sz="4" w:space="0"/>
            </w:tcBorders>
            <w:noWrap w:val="0"/>
            <w:vAlign w:val="center"/>
          </w:tcPr>
          <w:p w14:paraId="7BE85A2F">
            <w:pPr>
              <w:spacing w:line="560" w:lineRule="exact"/>
              <w:jc w:val="center"/>
              <w:rPr>
                <w:rFonts w:hint="eastAsia" w:ascii="仿宋_GB2312" w:hAnsi="Calibri" w:eastAsia="仿宋_GB2312" w:cs="ArialUnicodeMS"/>
                <w:b/>
                <w:bCs/>
                <w:kern w:val="0"/>
                <w:sz w:val="32"/>
                <w:szCs w:val="32"/>
              </w:rPr>
            </w:pPr>
            <w:r>
              <w:rPr>
                <w:rFonts w:hint="eastAsia" w:ascii="仿宋_GB2312" w:eastAsia="仿宋_GB2312" w:cs="ArialUnicodeMS"/>
                <w:b/>
                <w:bCs/>
                <w:kern w:val="0"/>
                <w:sz w:val="32"/>
                <w:szCs w:val="32"/>
              </w:rPr>
              <w:t>经费形式</w:t>
            </w:r>
          </w:p>
        </w:tc>
      </w:tr>
      <w:tr w14:paraId="2E5FC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Borders>
              <w:top w:val="single" w:color="auto" w:sz="4" w:space="0"/>
              <w:left w:val="single" w:color="auto" w:sz="4" w:space="0"/>
              <w:bottom w:val="single" w:color="auto" w:sz="4" w:space="0"/>
              <w:right w:val="single" w:color="auto" w:sz="4" w:space="0"/>
            </w:tcBorders>
            <w:noWrap w:val="0"/>
            <w:vAlign w:val="top"/>
          </w:tcPr>
          <w:p w14:paraId="50897FA2">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1</w:t>
            </w:r>
          </w:p>
        </w:tc>
        <w:tc>
          <w:tcPr>
            <w:tcW w:w="3485" w:type="dxa"/>
            <w:tcBorders>
              <w:top w:val="single" w:color="auto" w:sz="4" w:space="0"/>
              <w:left w:val="single" w:color="auto" w:sz="4" w:space="0"/>
              <w:bottom w:val="single" w:color="auto" w:sz="4" w:space="0"/>
              <w:right w:val="single" w:color="auto" w:sz="4" w:space="0"/>
            </w:tcBorders>
            <w:noWrap w:val="0"/>
            <w:vAlign w:val="top"/>
          </w:tcPr>
          <w:p w14:paraId="3D910E0B">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石家庄市藁城区人力资源和社会保障局</w:t>
            </w:r>
          </w:p>
        </w:tc>
        <w:tc>
          <w:tcPr>
            <w:tcW w:w="2445" w:type="dxa"/>
            <w:tcBorders>
              <w:top w:val="single" w:color="auto" w:sz="4" w:space="0"/>
              <w:left w:val="single" w:color="auto" w:sz="4" w:space="0"/>
              <w:bottom w:val="single" w:color="auto" w:sz="4" w:space="0"/>
              <w:right w:val="single" w:color="auto" w:sz="4" w:space="0"/>
            </w:tcBorders>
            <w:noWrap w:val="0"/>
            <w:vAlign w:val="top"/>
          </w:tcPr>
          <w:p w14:paraId="79660FD6">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行政机关</w:t>
            </w:r>
          </w:p>
        </w:tc>
        <w:tc>
          <w:tcPr>
            <w:tcW w:w="2665" w:type="dxa"/>
            <w:tcBorders>
              <w:top w:val="single" w:color="auto" w:sz="4" w:space="0"/>
              <w:left w:val="single" w:color="auto" w:sz="4" w:space="0"/>
              <w:bottom w:val="single" w:color="auto" w:sz="4" w:space="0"/>
              <w:right w:val="single" w:color="auto" w:sz="4" w:space="0"/>
            </w:tcBorders>
            <w:noWrap w:val="0"/>
            <w:vAlign w:val="top"/>
          </w:tcPr>
          <w:p w14:paraId="71DA0F4F">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财政拨款</w:t>
            </w:r>
          </w:p>
        </w:tc>
      </w:tr>
      <w:tr w14:paraId="03484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Borders>
              <w:top w:val="single" w:color="auto" w:sz="4" w:space="0"/>
              <w:left w:val="single" w:color="auto" w:sz="4" w:space="0"/>
              <w:bottom w:val="single" w:color="auto" w:sz="4" w:space="0"/>
              <w:right w:val="single" w:color="auto" w:sz="4" w:space="0"/>
            </w:tcBorders>
            <w:noWrap w:val="0"/>
            <w:vAlign w:val="top"/>
          </w:tcPr>
          <w:p w14:paraId="1A74A383">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2</w:t>
            </w:r>
          </w:p>
        </w:tc>
        <w:tc>
          <w:tcPr>
            <w:tcW w:w="3485" w:type="dxa"/>
            <w:tcBorders>
              <w:top w:val="single" w:color="auto" w:sz="4" w:space="0"/>
              <w:left w:val="single" w:color="auto" w:sz="4" w:space="0"/>
              <w:bottom w:val="single" w:color="auto" w:sz="4" w:space="0"/>
              <w:right w:val="single" w:color="auto" w:sz="4" w:space="0"/>
            </w:tcBorders>
            <w:noWrap w:val="0"/>
            <w:vAlign w:val="top"/>
          </w:tcPr>
          <w:p w14:paraId="1AB239B4">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石家庄市藁城区劳动技工学校</w:t>
            </w:r>
          </w:p>
        </w:tc>
        <w:tc>
          <w:tcPr>
            <w:tcW w:w="2445" w:type="dxa"/>
            <w:tcBorders>
              <w:top w:val="single" w:color="auto" w:sz="4" w:space="0"/>
              <w:left w:val="single" w:color="auto" w:sz="4" w:space="0"/>
              <w:bottom w:val="single" w:color="auto" w:sz="4" w:space="0"/>
              <w:right w:val="single" w:color="auto" w:sz="4" w:space="0"/>
            </w:tcBorders>
            <w:noWrap w:val="0"/>
            <w:vAlign w:val="top"/>
          </w:tcPr>
          <w:p w14:paraId="6EADC59E">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事业单位</w:t>
            </w:r>
          </w:p>
        </w:tc>
        <w:tc>
          <w:tcPr>
            <w:tcW w:w="2665" w:type="dxa"/>
            <w:tcBorders>
              <w:top w:val="single" w:color="auto" w:sz="4" w:space="0"/>
              <w:left w:val="single" w:color="auto" w:sz="4" w:space="0"/>
              <w:bottom w:val="single" w:color="auto" w:sz="4" w:space="0"/>
              <w:right w:val="single" w:color="auto" w:sz="4" w:space="0"/>
            </w:tcBorders>
            <w:noWrap w:val="0"/>
            <w:vAlign w:val="top"/>
          </w:tcPr>
          <w:p w14:paraId="6AA6FA5E">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财政性资金基本保证</w:t>
            </w:r>
          </w:p>
        </w:tc>
      </w:tr>
      <w:tr w14:paraId="224A5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Borders>
              <w:top w:val="single" w:color="auto" w:sz="4" w:space="0"/>
              <w:left w:val="single" w:color="auto" w:sz="4" w:space="0"/>
              <w:bottom w:val="single" w:color="auto" w:sz="4" w:space="0"/>
              <w:right w:val="single" w:color="auto" w:sz="4" w:space="0"/>
            </w:tcBorders>
            <w:noWrap w:val="0"/>
            <w:vAlign w:val="top"/>
          </w:tcPr>
          <w:p w14:paraId="0000B5EF">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3</w:t>
            </w:r>
          </w:p>
        </w:tc>
        <w:tc>
          <w:tcPr>
            <w:tcW w:w="3485" w:type="dxa"/>
            <w:tcBorders>
              <w:top w:val="single" w:color="auto" w:sz="4" w:space="0"/>
              <w:left w:val="single" w:color="auto" w:sz="4" w:space="0"/>
              <w:bottom w:val="single" w:color="auto" w:sz="4" w:space="0"/>
              <w:right w:val="single" w:color="auto" w:sz="4" w:space="0"/>
            </w:tcBorders>
            <w:noWrap w:val="0"/>
            <w:vAlign w:val="top"/>
          </w:tcPr>
          <w:p w14:paraId="4BD4BED7">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石家庄市藁城区社会保险中心</w:t>
            </w:r>
          </w:p>
        </w:tc>
        <w:tc>
          <w:tcPr>
            <w:tcW w:w="2445" w:type="dxa"/>
            <w:tcBorders>
              <w:top w:val="single" w:color="auto" w:sz="4" w:space="0"/>
              <w:left w:val="single" w:color="auto" w:sz="4" w:space="0"/>
              <w:bottom w:val="single" w:color="auto" w:sz="4" w:space="0"/>
              <w:right w:val="single" w:color="auto" w:sz="4" w:space="0"/>
            </w:tcBorders>
            <w:noWrap w:val="0"/>
            <w:vAlign w:val="top"/>
          </w:tcPr>
          <w:p w14:paraId="5CAB98C4">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事业单位</w:t>
            </w:r>
          </w:p>
        </w:tc>
        <w:tc>
          <w:tcPr>
            <w:tcW w:w="2665" w:type="dxa"/>
            <w:tcBorders>
              <w:top w:val="single" w:color="auto" w:sz="4" w:space="0"/>
              <w:left w:val="single" w:color="auto" w:sz="4" w:space="0"/>
              <w:bottom w:val="single" w:color="auto" w:sz="4" w:space="0"/>
              <w:right w:val="single" w:color="auto" w:sz="4" w:space="0"/>
            </w:tcBorders>
            <w:noWrap w:val="0"/>
            <w:vAlign w:val="top"/>
          </w:tcPr>
          <w:p w14:paraId="4D6DE5E2">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财政性资金基本保证</w:t>
            </w:r>
          </w:p>
        </w:tc>
      </w:tr>
      <w:tr w14:paraId="10237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top w:val="single" w:color="auto" w:sz="4" w:space="0"/>
              <w:left w:val="single" w:color="auto" w:sz="4" w:space="0"/>
              <w:bottom w:val="single" w:color="auto" w:sz="4" w:space="0"/>
              <w:right w:val="single" w:color="auto" w:sz="4" w:space="0"/>
            </w:tcBorders>
            <w:noWrap w:val="0"/>
            <w:vAlign w:val="top"/>
          </w:tcPr>
          <w:p w14:paraId="1209933A">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4</w:t>
            </w:r>
          </w:p>
        </w:tc>
        <w:tc>
          <w:tcPr>
            <w:tcW w:w="3485" w:type="dxa"/>
            <w:tcBorders>
              <w:top w:val="single" w:color="auto" w:sz="4" w:space="0"/>
              <w:left w:val="single" w:color="auto" w:sz="4" w:space="0"/>
              <w:bottom w:val="single" w:color="auto" w:sz="4" w:space="0"/>
              <w:right w:val="single" w:color="auto" w:sz="4" w:space="0"/>
            </w:tcBorders>
            <w:noWrap w:val="0"/>
            <w:vAlign w:val="top"/>
          </w:tcPr>
          <w:p w14:paraId="41307439">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石家庄市藁城区就业服务中心</w:t>
            </w:r>
          </w:p>
        </w:tc>
        <w:tc>
          <w:tcPr>
            <w:tcW w:w="2445" w:type="dxa"/>
            <w:tcBorders>
              <w:top w:val="single" w:color="auto" w:sz="4" w:space="0"/>
              <w:left w:val="single" w:color="auto" w:sz="4" w:space="0"/>
              <w:bottom w:val="single" w:color="auto" w:sz="4" w:space="0"/>
              <w:right w:val="single" w:color="auto" w:sz="4" w:space="0"/>
            </w:tcBorders>
            <w:noWrap w:val="0"/>
            <w:vAlign w:val="top"/>
          </w:tcPr>
          <w:p w14:paraId="7883C4A1">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事业单位</w:t>
            </w:r>
          </w:p>
        </w:tc>
        <w:tc>
          <w:tcPr>
            <w:tcW w:w="2665" w:type="dxa"/>
            <w:tcBorders>
              <w:top w:val="single" w:color="auto" w:sz="4" w:space="0"/>
              <w:left w:val="single" w:color="auto" w:sz="4" w:space="0"/>
              <w:bottom w:val="single" w:color="auto" w:sz="4" w:space="0"/>
              <w:right w:val="single" w:color="auto" w:sz="4" w:space="0"/>
            </w:tcBorders>
            <w:noWrap w:val="0"/>
            <w:vAlign w:val="top"/>
          </w:tcPr>
          <w:p w14:paraId="48D92D18">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财政性资金基本保证</w:t>
            </w:r>
          </w:p>
        </w:tc>
      </w:tr>
    </w:tbl>
    <w:p w14:paraId="25E9C5C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仿宋_GB2312" w:hAnsi="仿宋" w:eastAsia="仿宋_GB2312"/>
          <w:color w:val="000000"/>
          <w:sz w:val="32"/>
          <w:szCs w:val="32"/>
        </w:rPr>
      </w:pPr>
    </w:p>
    <w:p w14:paraId="1554229E">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0BB8D204">
      <w:pPr>
        <w:pStyle w:val="13"/>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预算情况：2024年预算收入</w:t>
      </w:r>
      <w:r>
        <w:rPr>
          <w:rFonts w:hint="eastAsia" w:ascii="仿宋_GB2312" w:hAnsi="仿宋" w:eastAsia="仿宋_GB2312" w:cs="Times New Roman"/>
          <w:color w:val="000000"/>
          <w:kern w:val="2"/>
          <w:sz w:val="32"/>
          <w:szCs w:val="32"/>
          <w:highlight w:val="none"/>
          <w:lang w:val="en-US" w:eastAsia="zh-CN" w:bidi="ar-SA"/>
        </w:rPr>
        <w:t>56148.36</w:t>
      </w:r>
      <w:r>
        <w:rPr>
          <w:rFonts w:hint="eastAsia" w:ascii="仿宋_GB2312" w:hAnsi="仿宋" w:eastAsia="仿宋_GB2312" w:cs="Times New Roman"/>
          <w:color w:val="000000"/>
          <w:kern w:val="2"/>
          <w:sz w:val="32"/>
          <w:szCs w:val="32"/>
          <w:lang w:val="en-US" w:eastAsia="zh-CN" w:bidi="ar-SA"/>
        </w:rPr>
        <w:t>万元，其中：一般公共预算收入</w:t>
      </w:r>
      <w:bookmarkStart w:id="0" w:name="_GoBack"/>
      <w:r>
        <w:rPr>
          <w:rFonts w:hint="eastAsia" w:ascii="仿宋_GB2312" w:hAnsi="仿宋" w:eastAsia="仿宋_GB2312" w:cs="Times New Roman"/>
          <w:color w:val="000000"/>
          <w:kern w:val="2"/>
          <w:sz w:val="32"/>
          <w:szCs w:val="32"/>
          <w:highlight w:val="none"/>
          <w:lang w:val="en-US" w:eastAsia="zh-CN" w:bidi="ar-SA"/>
        </w:rPr>
        <w:t>56128.83</w:t>
      </w:r>
      <w:bookmarkEnd w:id="0"/>
      <w:r>
        <w:rPr>
          <w:rFonts w:hint="eastAsia" w:ascii="仿宋_GB2312" w:hAnsi="仿宋" w:eastAsia="仿宋_GB2312" w:cs="Times New Roman"/>
          <w:color w:val="000000"/>
          <w:kern w:val="2"/>
          <w:sz w:val="32"/>
          <w:szCs w:val="32"/>
          <w:lang w:val="en-US" w:eastAsia="zh-CN" w:bidi="ar-SA"/>
        </w:rPr>
        <w:t>万元，基金预算收入0万元，财政专户核拨收入0万元，其他来源收入19.53万元。2024年部门支出预算为56148.36万元，其中基本支出2005.93万元，包括人员经费1917.03万元和日常公用经费88.9万元；项目支出54142.43万元，年初预算本级项目54142.43万元。</w:t>
      </w:r>
    </w:p>
    <w:p w14:paraId="40219F6F">
      <w:pPr>
        <w:pStyle w:val="13"/>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val="en-US" w:eastAsia="zh-CN"/>
        </w:rPr>
        <w:t>决算情况：</w:t>
      </w:r>
      <w:r>
        <w:rPr>
          <w:rFonts w:hint="eastAsia" w:ascii="仿宋_GB2312" w:hAnsi="仿宋" w:eastAsia="仿宋_GB2312" w:cs="Times New Roman"/>
          <w:color w:val="000000"/>
          <w:kern w:val="2"/>
          <w:sz w:val="32"/>
          <w:szCs w:val="32"/>
          <w:lang w:val="en-US" w:eastAsia="zh-CN" w:bidi="ar-SA"/>
        </w:rPr>
        <w:t>2024年本单位总收入56148.36万元，总支出56148.36万元。预算收入56148.36万元，预算支出56148.36万元。</w:t>
      </w:r>
    </w:p>
    <w:p w14:paraId="25862B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636B1744">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总体绩效目标：贯彻落实中央和省委、市委及区位关于人力资源和社会保障工作的方针政策和决策部署，坚持和加强人力资源和社会保障工作的集中统一领导，整体绩效目标如下：</w:t>
      </w:r>
    </w:p>
    <w:p w14:paraId="47DC824A">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落实人才引进目标政策，对区直政府系统事业单位人事工作进行综合指导、监督检查、协调服务，贯彻落实企事业单位人员工资收入分配政策，建立全区企事业单位人员工资正常增长和支付保障机制，做好农民工工作，维护农民工合法权益，建立健全运行机制，扩展服务功能，改善服务手段，提升服务能力，负责组织开展公共就业服务专项行动，做好就业再就业援助工作。统筹推进社会保障体系建设，完善劳动关系协调协商机制，推进全民参保，推动法定人群全民覆盖，实现应参尽参，应保尽保，扩大企业养老、居民养老、工伤保险覆盖面。</w:t>
      </w:r>
    </w:p>
    <w:p w14:paraId="1499AA90">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分绩效目标：</w:t>
      </w:r>
    </w:p>
    <w:p w14:paraId="40C2FDA6">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(一)做好事业单位管理工作，贯彻落实人才工作目标</w:t>
      </w:r>
    </w:p>
    <w:p w14:paraId="54377A01">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绩效目标：开展事业单位人事管理工作及全区职称评审工作，争取工作圆满完成,相关单位人员满意，达成预定工作目标。</w:t>
      </w:r>
    </w:p>
    <w:p w14:paraId="4485931E">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绩效指标：受益对象满意度90%以上，相关单位满意度90%以上。</w:t>
      </w:r>
    </w:p>
    <w:p w14:paraId="14E777F9">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（二）完善劳动关系调解协商机制，落实相关政策。</w:t>
      </w:r>
    </w:p>
    <w:p w14:paraId="451B6C05">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绩效目标：提高案件办结率，圆满解决突发情况,维护社会稳定。</w:t>
      </w:r>
    </w:p>
    <w:p w14:paraId="45FE7A3F">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绩效指标：提高劳动监察接待欠薪案件受理率、劳动争议案件受理率。</w:t>
      </w:r>
    </w:p>
    <w:p w14:paraId="4A02ABF5">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（三）落实全区人力资源和社会保障事业规划。</w:t>
      </w:r>
    </w:p>
    <w:p w14:paraId="48D27ED4">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绩效目标：落实人社系统事业规划，促进人社工作有序发展。</w:t>
      </w:r>
    </w:p>
    <w:p w14:paraId="3F2880D1">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绩效指标：统筹推进人社系统工作进展，落实人社事业规划。群众满意度不断提高，相关单位满意度90%以上，业务保障能力不断提升。</w:t>
      </w:r>
    </w:p>
    <w:p w14:paraId="150321D6">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（四）促进就业创业工作，落实有关政策。</w:t>
      </w:r>
    </w:p>
    <w:p w14:paraId="3B015035">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绩效目标：合理利用政策和专项资金，提高收益群体覆盖面。</w:t>
      </w:r>
    </w:p>
    <w:p w14:paraId="08072019">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绩效指标：补助覆盖率达到90%以上，经济增长情况达到90%以上，群众满意度达到90%以上。</w:t>
      </w:r>
    </w:p>
    <w:p w14:paraId="38A11280">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（五）社会培训</w:t>
      </w:r>
    </w:p>
    <w:p w14:paraId="5CDEF096">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绩效目标：在全区范围内开展职业技能培训和创业培训及新型学徒制培训。</w:t>
      </w:r>
    </w:p>
    <w:p w14:paraId="3CA835B4">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绩效指标：提高全区范围内职业技能培训人数。</w:t>
      </w:r>
    </w:p>
    <w:p w14:paraId="3C049722">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（六）职业技能鉴定</w:t>
      </w:r>
    </w:p>
    <w:p w14:paraId="70A27832">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绩效目标：协调鉴定过程中有关事务、协助鉴定中心办理证书、负责鉴定过程中的安全管理工作。</w:t>
      </w:r>
    </w:p>
    <w:p w14:paraId="19A419BD">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绩效指标：鉴定结束后，合格者在30天内发放职业资格证书。</w:t>
      </w:r>
    </w:p>
    <w:p w14:paraId="191F2661">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（七）搭建服务平台，拓宽就业渠道</w:t>
      </w:r>
    </w:p>
    <w:p w14:paraId="2BC3516A">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绩效目标：主动与用工企业对接，进一步扩大用工信息的采集面，获取用工信息，并进行及时发布，使城乡各类求职人员能够及时、准确地了解到最新的用工需求。</w:t>
      </w:r>
    </w:p>
    <w:p w14:paraId="7D6FB193">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绩效指标：定期举办劳务招聘洽谈会开展职业指导服务，对登记求职的下岗失业人员、就业困难人员、高校毕业生、复退军人等各类群体采取“一对一”和“集中式”的职业指导，帮助他们了解我区的就业形势。</w:t>
      </w:r>
    </w:p>
    <w:p w14:paraId="6E917C0C">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（八）开展职业培训，提升技能水平</w:t>
      </w:r>
    </w:p>
    <w:p w14:paraId="1C9263DD">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绩效目标：积极开展职业技能培训，加强职业技能培训监管，提升我区劳动者整体技能素质水平，畅通职业发展通道。</w:t>
      </w:r>
    </w:p>
    <w:p w14:paraId="487C44ED">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绩效指标：根据不同群体，汇集市场用工需求，组织开展培训；严格执行开班申请、期间督查、结业回访三项工作制度，提高培训服务水平，建立健全培训人员台账，确保培训工作有序开展。</w:t>
      </w:r>
    </w:p>
    <w:p w14:paraId="74617A21">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（九）落实就业创业政策，激发就业创业活力</w:t>
      </w:r>
    </w:p>
    <w:p w14:paraId="0F357662">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绩效目标：激发我区创新潜能和就业创业活力。</w:t>
      </w:r>
    </w:p>
    <w:p w14:paraId="5B23BA98">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积极开展创业担保贷款政策宣传，使群众了解政策，让初次创业人员享受政策，达到以促进创业带动就业；宣传和落实高校毕业生创业政策，鼓励高校毕业生自主创业，并享受政策补贴；鼓励就业困难人员灵活就业，落实灵活就业人员社会保险补贴政策。</w:t>
      </w:r>
    </w:p>
    <w:p w14:paraId="2B037B93">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（十）扩大覆盖范围，强化基金征缴，维护参保人员基本权益。</w:t>
      </w:r>
    </w:p>
    <w:p w14:paraId="6986D017">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绩效目标：加大社会保险政策法规宣传力度，扩大社会保险覆盖面。</w:t>
      </w:r>
    </w:p>
    <w:p w14:paraId="4B455591">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 xml:space="preserve">绩效指标：推进全民参保，推动法定人群全民覆盖，实现应参尽参，应保尽保，城乡居民参保率达到98%以上。 </w:t>
      </w:r>
    </w:p>
    <w:p w14:paraId="47C7E5B2">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（十一）深化城乡居民养老保险制度改革，按时完成与城乡居民养老保险基金的并轨工作。</w:t>
      </w:r>
    </w:p>
    <w:p w14:paraId="520FAFE4">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绩效目标:提高社会保障工作信息化水平。</w:t>
      </w:r>
    </w:p>
    <w:p w14:paraId="454C5D80">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_GB2312" w:eastAsia="仿宋_GB2312" w:cs="仿宋_GB2312"/>
          <w:sz w:val="32"/>
          <w:szCs w:val="32"/>
          <w:highlight w:val="none"/>
          <w:lang w:val="en-US" w:eastAsia="zh-CN"/>
        </w:rPr>
      </w:pPr>
      <w:r>
        <w:rPr>
          <w:rFonts w:hint="default" w:ascii="仿宋_GB2312" w:hAnsi="仿宋" w:eastAsia="仿宋_GB2312" w:cs="Times New Roman"/>
          <w:color w:val="000000"/>
          <w:kern w:val="2"/>
          <w:sz w:val="32"/>
          <w:szCs w:val="32"/>
          <w:lang w:val="en-US" w:eastAsia="zh-CN" w:bidi="ar-SA"/>
        </w:rPr>
        <w:t>绩效指标：做好社会保障卡的信息采集、发放、挂失、补办等工作。</w:t>
      </w:r>
    </w:p>
    <w:p w14:paraId="2432F355">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3F9370F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23B1CDCD">
      <w:pPr>
        <w:spacing w:line="560" w:lineRule="exact"/>
        <w:ind w:firstLine="640" w:firstLineChars="200"/>
        <w:rPr>
          <w:rFonts w:ascii="仿宋" w:hAnsi="仿宋" w:eastAsia="仿宋"/>
          <w:sz w:val="32"/>
          <w:szCs w:val="32"/>
        </w:rPr>
      </w:pPr>
      <w:r>
        <w:rPr>
          <w:rFonts w:hint="eastAsia" w:ascii="仿宋" w:hAnsi="仿宋" w:eastAsia="仿宋"/>
          <w:sz w:val="32"/>
          <w:szCs w:val="32"/>
        </w:rPr>
        <w:t>针对此次项目绩效自评，设置</w:t>
      </w:r>
      <w:r>
        <w:rPr>
          <w:rFonts w:hint="eastAsia" w:ascii="仿宋" w:hAnsi="仿宋" w:eastAsia="仿宋"/>
          <w:sz w:val="32"/>
          <w:szCs w:val="32"/>
          <w:highlight w:val="none"/>
        </w:rPr>
        <w:t>4个一级指标，7个二级指标，7个三级指标，根据预期指标值和实际完</w:t>
      </w:r>
      <w:r>
        <w:rPr>
          <w:rFonts w:hint="eastAsia" w:ascii="仿宋" w:hAnsi="仿宋" w:eastAsia="仿宋"/>
          <w:sz w:val="32"/>
          <w:szCs w:val="32"/>
        </w:rPr>
        <w:t>成值确定最终自评分数。</w:t>
      </w:r>
    </w:p>
    <w:p w14:paraId="57C95A55">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7439A25F">
      <w:pPr>
        <w:adjustRightInd w:val="0"/>
        <w:snapToGrid w:val="0"/>
        <w:spacing w:line="620" w:lineRule="exact"/>
        <w:ind w:firstLine="640" w:firstLineChars="200"/>
        <w:rPr>
          <w:rFonts w:hint="eastAsia" w:ascii="楷体_GB2312" w:hAnsi="楷体_GB2312" w:eastAsia="楷体_GB2312" w:cs="楷体_GB2312"/>
          <w:bCs/>
          <w:sz w:val="32"/>
          <w:szCs w:val="32"/>
        </w:rPr>
      </w:pPr>
      <w:r>
        <w:rPr>
          <w:rFonts w:hint="eastAsia" w:ascii="仿宋_GB2312" w:eastAsia="仿宋_GB2312"/>
          <w:sz w:val="32"/>
          <w:szCs w:val="32"/>
        </w:rPr>
        <w:t>绩效评价工作共分三个阶段进行。第一个阶段，筹备资料阶段；第二个阶段，集中测评阶段，绩效测评小组成员按照绩效评价指标体系以及提供材料进行测评打分；第三阶段，汇总生成报告阶段，根据对测评结果进行汇总审核并撰写自评报告。</w:t>
      </w:r>
    </w:p>
    <w:p w14:paraId="118BE734">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rPr>
      </w:pPr>
    </w:p>
    <w:p w14:paraId="5953F1C1">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1AD9CA2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117CC2CF">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贯彻落实中央和省委、市委及区位关于人力资源和社会保障工作的方针政策和决策部署，坚持和加强人力资源和社会保障工作的集中统一领导，整体绩效目标如下：</w:t>
      </w:r>
    </w:p>
    <w:p w14:paraId="7F77C3C8">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落实人才引进目标政策，对区直政府系统事业单位人事工作进行综合指导、监督检查、协调服务，贯彻落实企事业单位人员工资收入分配政策，建立全区企事业单位人员工资正常增长和支付保障机制，做好农民工工作，维护农民工合法权益，建立健全运行机制，扩展服务功能，改善服务手段，提升服务能力，负责组织开展公共就业服务专项行动，做好就业再就业援助工作。统筹推进社会保障体系建设，完善劳动关系协调协商机制，推进全民参保，推动法定人群全民覆盖，实现应参尽参，应保尽保，扩大企业养老、居民养老、工伤保险覆盖面。</w:t>
      </w:r>
    </w:p>
    <w:p w14:paraId="5DC75F5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77126FE2">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(一)做好事业单位管理工作，贯彻落实人才工作目标</w:t>
      </w:r>
    </w:p>
    <w:p w14:paraId="17B74111">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绩效目标：开展事业单位人事管理工作及全区职称评审工作，争取工作圆满完成,相关单位人员满意，达成预定工作目标。</w:t>
      </w:r>
    </w:p>
    <w:p w14:paraId="741F52FC">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绩效指标：受益对象满意度90%以上，相关单位满意度90%以上。</w:t>
      </w:r>
    </w:p>
    <w:p w14:paraId="7163D703">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（二）完善劳动关系调解协商机制，落实相关政策。</w:t>
      </w:r>
    </w:p>
    <w:p w14:paraId="345A6AE2">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绩效目标：提高案件办结率，圆满解决突发情况,维护社会稳定。</w:t>
      </w:r>
    </w:p>
    <w:p w14:paraId="59458AF3">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绩效指标：提高劳动监察接待欠薪案件受理率、劳动争议案件受理率。</w:t>
      </w:r>
    </w:p>
    <w:p w14:paraId="02D40CE2">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（三）落实全区人力资源和社会保障事业规划。</w:t>
      </w:r>
    </w:p>
    <w:p w14:paraId="7380AA92">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绩效目标：落实人社系统事业规划，促进人社工作有序发展。</w:t>
      </w:r>
    </w:p>
    <w:p w14:paraId="7395C859">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绩效指标：统筹推进人社系统工作进展，落实人社事业规划。群众满意度不断提高，相关单位满意度90%以上，业务保障能力不断提升。</w:t>
      </w:r>
    </w:p>
    <w:p w14:paraId="4DF4D59E">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（四）促进就业创业工作，落实有关政策。</w:t>
      </w:r>
    </w:p>
    <w:p w14:paraId="211EE07B">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绩效目标：合理利用政策和专项资金，提高收益群体覆盖面。</w:t>
      </w:r>
    </w:p>
    <w:p w14:paraId="1E9EA92A">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绩效指标：补助覆盖率达到90%以上，经济增长情况达到90%以上，群众满意度达到90%以上。</w:t>
      </w:r>
    </w:p>
    <w:p w14:paraId="5566F388">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（五）社会培训</w:t>
      </w:r>
    </w:p>
    <w:p w14:paraId="1A6809AA">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绩效目标：在全区范围内开展职业技能培训和创业培训及新型学徒制培训。</w:t>
      </w:r>
    </w:p>
    <w:p w14:paraId="6EAACB9C">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绩效指标：提高全区范围内职业技能培训人数。</w:t>
      </w:r>
    </w:p>
    <w:p w14:paraId="2DB0E085">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（六）职业技能鉴定</w:t>
      </w:r>
    </w:p>
    <w:p w14:paraId="1B063A0E">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绩效目标：协调鉴定过程中有关事务、协助鉴定中心办理证书、负责鉴定过程中的安全管理工作。</w:t>
      </w:r>
    </w:p>
    <w:p w14:paraId="3FE2C7B8">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绩效指标：鉴定结束后，合格者在30天内发放职业资格证书。</w:t>
      </w:r>
    </w:p>
    <w:p w14:paraId="5B9B3FDA">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（七）搭建服务平台，拓宽就业渠道</w:t>
      </w:r>
    </w:p>
    <w:p w14:paraId="3BECDAEA">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绩效目标：主动与用工企业对接，进一步扩大用工信息的采集面，获取用工信息，并进行及时发布，使城乡各类求职人员能够及时、准确地了解到最新的用工需求。</w:t>
      </w:r>
    </w:p>
    <w:p w14:paraId="0784A064">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绩效指标：定期举办劳务招聘洽谈会开展职业指导服务，对登记求职的下岗失业人员、就业困难人员、高校毕业生、复退军人等各类群体采取“一对一”和“集中式”的职业指导，帮助他们了解我区的就业形势。</w:t>
      </w:r>
    </w:p>
    <w:p w14:paraId="5BF6D22A">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（八）开展职业培训，提升技能水平</w:t>
      </w:r>
    </w:p>
    <w:p w14:paraId="7681B5ED">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绩效目标：积极开展职业技能培训，加强职业技能培训监管，提升我区劳动者整体技能素质水平，畅通职业发展通道。</w:t>
      </w:r>
    </w:p>
    <w:p w14:paraId="2DFEC963">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绩效指标：根据不同群体，汇集市场用工需求，组织开展培训；严格执行开班申请、期间督查、结业回访三项工作制度，提高培训服务水平，建立健全培训人员台账，确保培训工作有序开展。</w:t>
      </w:r>
    </w:p>
    <w:p w14:paraId="0528B771">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（九）落实就业创业政策，激发就业创业活力</w:t>
      </w:r>
    </w:p>
    <w:p w14:paraId="7C905E4A">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绩效目标：激发我区创新潜能和就业创业活力。</w:t>
      </w:r>
    </w:p>
    <w:p w14:paraId="6703F961">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积极开展创业担保贷款政策宣传，使群众了解政策，让初次创业人员享受政策，达到以促进创业带动就业；宣传和落实高校毕业生创业政策，鼓励高校毕业生自主创业，并享受政策补贴；鼓励就业困难人员灵活就业，落实灵活就业人员社会保险补贴政策。</w:t>
      </w:r>
    </w:p>
    <w:p w14:paraId="21493811">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（十）扩大覆盖范围，强化基金征缴，维护参保人员基本权益。</w:t>
      </w:r>
    </w:p>
    <w:p w14:paraId="67247C57">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绩效目标：加大社会保险政策法规宣传力度，扩大社会保险覆盖面。</w:t>
      </w:r>
    </w:p>
    <w:p w14:paraId="21CE4CC5">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 xml:space="preserve">绩效指标：推进全民参保，推动法定人群全民覆盖，实现应参尽参，应保尽保，城乡居民参保率达到98%以上。 </w:t>
      </w:r>
    </w:p>
    <w:p w14:paraId="613398BC">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（十一）深化城乡居民养老保险制度改革，按时完成与城乡居民养老保险基金的并轨工作。</w:t>
      </w:r>
    </w:p>
    <w:p w14:paraId="1B756E43">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绩效目标:提高社会保障工作信息化水平。</w:t>
      </w:r>
    </w:p>
    <w:p w14:paraId="6AF8FF67">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_GB2312" w:eastAsia="仿宋_GB2312" w:cs="仿宋_GB2312"/>
          <w:sz w:val="32"/>
          <w:szCs w:val="32"/>
          <w:highlight w:val="none"/>
          <w:lang w:eastAsia="zh-CN"/>
        </w:rPr>
      </w:pPr>
      <w:r>
        <w:rPr>
          <w:rFonts w:hint="default" w:ascii="仿宋_GB2312" w:hAnsi="仿宋" w:eastAsia="仿宋_GB2312" w:cs="Times New Roman"/>
          <w:color w:val="000000"/>
          <w:kern w:val="2"/>
          <w:sz w:val="32"/>
          <w:szCs w:val="32"/>
          <w:lang w:val="en-US" w:eastAsia="zh-CN" w:bidi="ar-SA"/>
        </w:rPr>
        <w:t>绩效指标：做好社会保障卡的信息采集、发放、挂失、补办等工作。</w:t>
      </w:r>
    </w:p>
    <w:p w14:paraId="5E4F58E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318D4675">
      <w:pPr>
        <w:spacing w:line="560" w:lineRule="exact"/>
        <w:ind w:firstLine="640" w:firstLineChars="200"/>
        <w:rPr>
          <w:rFonts w:ascii="仿宋" w:hAnsi="仿宋" w:eastAsia="仿宋"/>
          <w:sz w:val="32"/>
          <w:szCs w:val="32"/>
        </w:rPr>
      </w:pPr>
      <w:r>
        <w:rPr>
          <w:rFonts w:hint="eastAsia" w:ascii="仿宋" w:hAnsi="仿宋" w:eastAsia="仿宋"/>
          <w:sz w:val="32"/>
          <w:szCs w:val="32"/>
        </w:rPr>
        <w:t>根据项目执行情况和项目绩效情况，</w:t>
      </w:r>
      <w:r>
        <w:rPr>
          <w:rFonts w:hint="eastAsia" w:ascii="仿宋" w:hAnsi="仿宋" w:eastAsia="仿宋"/>
          <w:sz w:val="32"/>
          <w:szCs w:val="32"/>
          <w:lang w:val="en-US" w:eastAsia="zh-CN"/>
        </w:rPr>
        <w:t>我局</w:t>
      </w:r>
      <w:r>
        <w:rPr>
          <w:rFonts w:hint="eastAsia" w:ascii="仿宋" w:hAnsi="仿宋" w:eastAsia="仿宋"/>
          <w:sz w:val="32"/>
          <w:szCs w:val="32"/>
        </w:rPr>
        <w:t>项目最终自评得分为9</w:t>
      </w:r>
      <w:r>
        <w:rPr>
          <w:rFonts w:hint="eastAsia" w:ascii="仿宋" w:hAnsi="仿宋" w:eastAsia="仿宋"/>
          <w:sz w:val="32"/>
          <w:szCs w:val="32"/>
          <w:lang w:val="en-US" w:eastAsia="zh-CN"/>
        </w:rPr>
        <w:t>6</w:t>
      </w:r>
      <w:r>
        <w:rPr>
          <w:rFonts w:hint="eastAsia" w:ascii="仿宋" w:hAnsi="仿宋" w:eastAsia="仿宋"/>
          <w:sz w:val="32"/>
          <w:szCs w:val="32"/>
        </w:rPr>
        <w:t>分，该项目综合绩效评价分为优秀等次。</w:t>
      </w:r>
    </w:p>
    <w:p w14:paraId="585BBC9C">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0944B25F">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036B9DC4">
      <w:pPr>
        <w:keepNext w:val="0"/>
        <w:keepLines w:val="0"/>
        <w:pageBreakBefore w:val="0"/>
        <w:widowControl w:val="0"/>
        <w:numPr>
          <w:ilvl w:val="0"/>
          <w:numId w:val="0"/>
        </w:numPr>
        <w:kinsoku/>
        <w:wordWrap/>
        <w:overflowPunct/>
        <w:topLinePunct w:val="0"/>
        <w:autoSpaceDE/>
        <w:autoSpaceDN/>
        <w:bidi w:val="0"/>
        <w:spacing w:line="560" w:lineRule="exact"/>
        <w:ind w:firstLine="1280" w:firstLineChars="400"/>
        <w:textAlignment w:val="auto"/>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lang w:eastAsia="zh-CN"/>
        </w:rPr>
        <w:t>无</w:t>
      </w:r>
    </w:p>
    <w:p w14:paraId="3BA96E3C">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22E5E995">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无</w:t>
      </w:r>
    </w:p>
    <w:p w14:paraId="1372936C">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19653B84-99A0-4F82-85D1-376EFBA783ED}"/>
  </w:font>
  <w:font w:name="黑体">
    <w:panose1 w:val="02010609060101010101"/>
    <w:charset w:val="86"/>
    <w:family w:val="auto"/>
    <w:pitch w:val="default"/>
    <w:sig w:usb0="800002BF" w:usb1="38CF7CFA" w:usb2="00000016" w:usb3="00000000" w:csb0="00040001" w:csb1="00000000"/>
    <w:embedRegular r:id="rId2" w:fontKey="{7A8D4898-5AB5-4813-B993-5171A0DD30C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仿宋_GBK">
    <w:altName w:val="微软雅黑"/>
    <w:panose1 w:val="02000000000000000000"/>
    <w:charset w:val="86"/>
    <w:family w:val="roman"/>
    <w:pitch w:val="default"/>
    <w:sig w:usb0="A00002BF" w:usb1="38CF7CFA" w:usb2="00082016" w:usb3="00000000" w:csb0="00040001" w:csb1="00000000"/>
  </w:font>
  <w:font w:name="方正小标宋简体">
    <w:altName w:val="方正小标宋简体"/>
    <w:panose1 w:val="02000000000000000000"/>
    <w:charset w:val="86"/>
    <w:family w:val="auto"/>
    <w:pitch w:val="default"/>
    <w:sig w:usb0="00000001" w:usb1="08000000" w:usb2="00000000" w:usb3="00000000" w:csb0="00040000" w:csb1="00000000"/>
    <w:embedRegular r:id="rId3" w:fontKey="{45375E28-3539-4BDE-AA63-4800FBC680F8}"/>
  </w:font>
  <w:font w:name="方正小标宋_GBK">
    <w:altName w:val="方正小标宋_GBK"/>
    <w:panose1 w:val="02000000000000000000"/>
    <w:charset w:val="86"/>
    <w:family w:val="auto"/>
    <w:pitch w:val="default"/>
    <w:sig w:usb0="A00002BF" w:usb1="38CF7CFA" w:usb2="00082016" w:usb3="00000000" w:csb0="00040001" w:csb1="00000000"/>
    <w:embedRegular r:id="rId4" w:fontKey="{20F0183D-D7AC-43C1-8F21-D6CE6DE8FB24}"/>
  </w:font>
  <w:font w:name="仿宋_GB2312">
    <w:altName w:val="仿宋"/>
    <w:panose1 w:val="02010609030101010101"/>
    <w:charset w:val="86"/>
    <w:family w:val="auto"/>
    <w:pitch w:val="default"/>
    <w:sig w:usb0="00000001" w:usb1="080E0000" w:usb2="00000000" w:usb3="00000000" w:csb0="00040000" w:csb1="00000000"/>
    <w:embedRegular r:id="rId5" w:fontKey="{AEDCA7FD-868C-4747-B6B9-224B008D22DF}"/>
  </w:font>
  <w:font w:name="楷体_GB2312">
    <w:altName w:val="楷体"/>
    <w:panose1 w:val="02010609030101010101"/>
    <w:charset w:val="86"/>
    <w:family w:val="auto"/>
    <w:pitch w:val="default"/>
    <w:sig w:usb0="00000001" w:usb1="080E0000" w:usb2="00000000" w:usb3="00000000" w:csb0="00040000" w:csb1="00000000"/>
    <w:embedRegular r:id="rId6" w:fontKey="{D3CFFD82-138C-451C-9332-792D05553596}"/>
  </w:font>
  <w:font w:name="仿宋">
    <w:panose1 w:val="02010609060101010101"/>
    <w:charset w:val="86"/>
    <w:family w:val="auto"/>
    <w:pitch w:val="default"/>
    <w:sig w:usb0="800002BF" w:usb1="38CF7CFA" w:usb2="00000016" w:usb3="00000000" w:csb0="00040001" w:csb1="00000000"/>
    <w:embedRegular r:id="rId7" w:fontKey="{6B89B945-1DC2-40C5-9096-59DD8EC38498}"/>
  </w:font>
  <w:font w:name="ArialUnicodeMS">
    <w:altName w:val="Segoe Print"/>
    <w:panose1 w:val="00000000000000000000"/>
    <w:charset w:val="00"/>
    <w:family w:val="auto"/>
    <w:pitch w:val="default"/>
    <w:sig w:usb0="00000000" w:usb1="00000000" w:usb2="00000000" w:usb3="00000000" w:csb0="00040001" w:csb1="00000000"/>
    <w:embedRegular r:id="rId8" w:fontKey="{2051D1D2-D05F-4E41-9E24-D062C77EACB3}"/>
  </w:font>
  <w:font w:name="Calibri">
    <w:panose1 w:val="020F0502020204030204"/>
    <w:charset w:val="00"/>
    <w:family w:val="swiss"/>
    <w:pitch w:val="default"/>
    <w:sig w:usb0="E00002FF" w:usb1="4000ACFF" w:usb2="00000001" w:usb3="00000000" w:csb0="2000019F" w:csb1="00000000"/>
    <w:embedRegular r:id="rId9" w:fontKey="{92E9096B-C8F5-4915-80E2-3F331F086322}"/>
  </w:font>
  <w:font w:name="楷体">
    <w:panose1 w:val="02010609060101010101"/>
    <w:charset w:val="86"/>
    <w:family w:val="modern"/>
    <w:pitch w:val="default"/>
    <w:sig w:usb0="800002BF" w:usb1="38CF7CFA" w:usb2="00000016" w:usb3="00000000" w:csb0="00040001" w:csb1="00000000"/>
    <w:embedRegular r:id="rId10" w:fontKey="{ACCC05CE-BBCC-41CE-934B-2C3C3E0398EC}"/>
  </w:font>
  <w:font w:name="WPSEMBED14">
    <w:panose1 w:val="02000000000000000000"/>
    <w:charset w:val="86"/>
    <w:family w:val="auto"/>
    <w:pitch w:val="default"/>
    <w:sig w:usb0="00000001" w:usb1="08000000" w:usb2="00000000" w:usb3="00000000" w:csb0="00040000" w:csb1="00000000"/>
  </w:font>
  <w:font w:name="WPSEMBED15">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6AE1E7">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a:effectLst/>
                    </wps:spPr>
                    <wps:txbx>
                      <w:txbxContent>
                        <w:p w14:paraId="0D1A60B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CaxSke+QEAAP0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AuAars&#10;mblsoj0RTVEc9yOlpnDvmxPJRq+I2u08/OVsIA/V3NGT4cx8dzSiZLdzAOdgfw6Ek3Sx5tT2FH6N&#10;ky37APrQEe4qs8Bw10cinHW41ib90oJckZWcHZxs93yds66vdvs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9hets9EAAAADAQAADwAAAAAAAAABACAAAAAiAAAAZHJzL2Rvd25yZXYueG1sUEsBAhQA&#10;FAAAAAgAh07iQJrFKR75AQAA/QMAAA4AAAAAAAAAAQAgAAAAIAEAAGRycy9lMm9Eb2MueG1sUEsF&#10;BgAAAAAGAAYAWQEAAIsFAAAAAA==&#10;">
              <v:fill on="f" focussize="0,0"/>
              <v:stroke on="f" joinstyle="round"/>
              <v:imagedata o:title=""/>
              <o:lock v:ext="edit" aspectratio="f"/>
              <v:textbox inset="0mm,0mm,0mm,0mm" style="mso-fit-shape-to-text:t;">
                <w:txbxContent>
                  <w:p w14:paraId="0D1A60B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02DD62">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5BF83E4F"/>
    <w:multiLevelType w:val="singleLevel"/>
    <w:tmpl w:val="5BF83E4F"/>
    <w:lvl w:ilvl="0" w:tentative="0">
      <w:start w:val="2"/>
      <w:numFmt w:val="chineseCounting"/>
      <w:suff w:val="nothing"/>
      <w:lvlText w:val="（%1）"/>
      <w:lvlJc w:val="left"/>
      <w:rPr>
        <w:rFonts w:hint="eastAsia"/>
      </w:rPr>
    </w:lvl>
  </w:abstractNum>
  <w:abstractNum w:abstractNumId="3">
    <w:nsid w:val="7151CE36"/>
    <w:multiLevelType w:val="singleLevel"/>
    <w:tmpl w:val="7151CE36"/>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000000"/>
    <w:rsid w:val="02B1196D"/>
    <w:rsid w:val="134F6B82"/>
    <w:rsid w:val="13955CCA"/>
    <w:rsid w:val="34A26EC9"/>
    <w:rsid w:val="3C9D752C"/>
    <w:rsid w:val="3DDE37D0"/>
    <w:rsid w:val="43D32A48"/>
    <w:rsid w:val="54DD1CC8"/>
    <w:rsid w:val="58B8456C"/>
    <w:rsid w:val="69206851"/>
    <w:rsid w:val="7D0E2D3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7">
    <w:name w:val="Normal Table"/>
    <w:semiHidden/>
    <w:qFormat/>
    <w:uiPriority w:val="0"/>
    <w:tblPr>
      <w:tblStyle w:val="7"/>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unhideWhenUsed/>
    <w:qFormat/>
    <w:uiPriority w:val="99"/>
    <w:rPr>
      <w:rFonts w:eastAsia="Times New Roman"/>
      <w:sz w:val="22"/>
      <w:szCs w:val="22"/>
    </w:rPr>
    <w:tblPr>
      <w:tblStyle w:val="7"/>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heading 1 Char"/>
    <w:basedOn w:val="9"/>
    <w:link w:val="2"/>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3"/>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4"/>
    <w:qFormat/>
    <w:uiPriority w:val="0"/>
    <w:rPr>
      <w:rFonts w:ascii="Times New Roman" w:hAnsi="Times New Roman" w:eastAsia="宋体" w:cs="Times New Roman"/>
      <w:b/>
      <w:bCs/>
      <w:kern w:val="2"/>
      <w:sz w:val="32"/>
      <w:szCs w:val="32"/>
      <w:lang w:val="en-US" w:eastAsia="zh-CN" w:bidi="ar-SA"/>
    </w:rPr>
  </w:style>
  <w:style w:type="paragraph" w:customStyle="1" w:styleId="13">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15</Pages>
  <Words>6197</Words>
  <Characters>6346</Characters>
  <Lines>0</Lines>
  <Paragraphs>31</Paragraphs>
  <TotalTime>1</TotalTime>
  <ScaleCrop>false</ScaleCrop>
  <LinksUpToDate>false</LinksUpToDate>
  <CharactersWithSpaces>6392</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张立刚</cp:lastModifiedBy>
  <cp:lastPrinted>2025-05-05T03:30:09Z</cp:lastPrinted>
  <dcterms:modified xsi:type="dcterms:W3CDTF">2026-01-04T01:05:08Z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31E30632D175408387F7FA45BFC43CE3_13</vt:lpwstr>
  </property>
  <property fmtid="{D5CDD505-2E9C-101B-9397-08002B2CF9AE}" pid="4" name="KSOTemplateDocerSaveRecord">
    <vt:lpwstr>eyJoZGlkIjoiM2E3MDkxZmZkMWJhNDBlNDUzYWEwNjAwMTBmMTAwNTUiLCJ1c2VySWQiOiI1NTgyNjY4NTIifQ==</vt:lpwstr>
  </property>
</Properties>
</file>