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5F694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21D7DA55">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微软雅黑" w:hAnsi="微软雅黑" w:eastAsia="微软雅黑" w:cs="微软雅黑"/>
          <w:b w:val="0"/>
          <w:bCs w:val="0"/>
          <w:sz w:val="44"/>
          <w:szCs w:val="44"/>
          <w:lang w:val="en-US" w:eastAsia="zh-CN"/>
        </w:rPr>
      </w:pPr>
      <w:r>
        <w:rPr>
          <w:rFonts w:hint="eastAsia" w:ascii="微软雅黑" w:hAnsi="微软雅黑" w:eastAsia="微软雅黑" w:cs="微软雅黑"/>
          <w:b w:val="0"/>
          <w:bCs w:val="0"/>
          <w:sz w:val="44"/>
          <w:szCs w:val="44"/>
          <w:lang w:val="en-US" w:eastAsia="zh-CN"/>
        </w:rPr>
        <w:t>藁城区信访局</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微软雅黑" w:hAnsi="微软雅黑" w:eastAsia="微软雅黑" w:cs="微软雅黑"/>
          <w:b/>
          <w:bCs/>
          <w:sz w:val="44"/>
          <w:szCs w:val="44"/>
        </w:rPr>
      </w:pPr>
      <w:r>
        <w:rPr>
          <w:rFonts w:hint="eastAsia" w:ascii="微软雅黑" w:hAnsi="微软雅黑" w:eastAsia="微软雅黑" w:cs="微软雅黑"/>
          <w:b w:val="0"/>
          <w:bCs w:val="0"/>
          <w:sz w:val="44"/>
          <w:szCs w:val="44"/>
        </w:rPr>
        <w:t>2024年度整体支出绩效自评报告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rPr>
        <w:t>藁城区信访局</w:t>
      </w:r>
      <w:r>
        <w:rPr>
          <w:rFonts w:hint="eastAsia" w:ascii="仿宋_GB2312" w:hAnsi="仿宋_GB2312" w:eastAsia="仿宋_GB2312" w:cs="仿宋_GB2312"/>
          <w:sz w:val="32"/>
          <w:szCs w:val="32"/>
          <w:highlight w:val="none"/>
          <w:lang w:eastAsia="zh-CN"/>
        </w:rPr>
        <w:t>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7D6E37B6">
      <w:pPr>
        <w:adjustRightInd w:val="0"/>
        <w:snapToGrid w:val="0"/>
        <w:spacing w:line="560" w:lineRule="exact"/>
        <w:ind w:firstLine="643" w:firstLineChars="200"/>
        <w:rPr>
          <w:rFonts w:ascii="仿宋_GB2312" w:hAnsi="仿宋_GB2312" w:eastAsia="仿宋_GB2312" w:cs="仿宋_GB2312"/>
          <w:b/>
          <w:sz w:val="32"/>
          <w:szCs w:val="32"/>
        </w:rPr>
      </w:pPr>
      <w:r>
        <w:rPr>
          <w:rFonts w:hint="eastAsia" w:ascii="仿宋_GB2312" w:hAnsi="微软雅黑" w:eastAsia="仿宋_GB2312"/>
          <w:b/>
          <w:sz w:val="32"/>
          <w:szCs w:val="32"/>
        </w:rPr>
        <w:t>部门职能</w:t>
      </w:r>
    </w:p>
    <w:p w14:paraId="5DFF0A88">
      <w:pPr>
        <w:pStyle w:val="7"/>
        <w:spacing w:before="0" w:beforeAutospacing="0" w:after="0" w:afterAutospacing="0" w:line="560" w:lineRule="exact"/>
        <w:ind w:firstLine="640" w:firstLineChars="200"/>
        <w:rPr>
          <w:rFonts w:ascii="仿宋_GB2312" w:hAnsi="微软雅黑" w:eastAsia="仿宋_GB2312"/>
          <w:sz w:val="32"/>
          <w:szCs w:val="32"/>
        </w:rPr>
      </w:pPr>
      <w:r>
        <w:rPr>
          <w:rFonts w:hint="eastAsia" w:ascii="仿宋_GB2312" w:hAnsi="微软雅黑" w:eastAsia="仿宋_GB2312"/>
          <w:sz w:val="32"/>
          <w:szCs w:val="32"/>
        </w:rPr>
        <w:t>1.研究提出全区信访工作思路，贯彻落实关于信访稳定工作的法律法规和规章。</w:t>
      </w:r>
    </w:p>
    <w:p w14:paraId="431BAA4B">
      <w:pPr>
        <w:pStyle w:val="7"/>
        <w:spacing w:before="0" w:beforeAutospacing="0" w:after="0" w:afterAutospacing="0" w:line="560" w:lineRule="exact"/>
        <w:ind w:firstLine="640" w:firstLineChars="200"/>
        <w:rPr>
          <w:rFonts w:ascii="仿宋_GB2312" w:hAnsi="微软雅黑" w:eastAsia="仿宋_GB2312"/>
          <w:sz w:val="32"/>
          <w:szCs w:val="32"/>
        </w:rPr>
      </w:pPr>
      <w:r>
        <w:rPr>
          <w:rFonts w:hint="eastAsia" w:ascii="仿宋_GB2312" w:hAnsi="微软雅黑" w:eastAsia="仿宋_GB2312"/>
          <w:sz w:val="32"/>
          <w:szCs w:val="32"/>
        </w:rPr>
        <w:t>2.办理人民群众来信，接待群众来访，受理群众网上投诉，查办信访案件，负责人民群众建议征集工作。</w:t>
      </w:r>
    </w:p>
    <w:p w14:paraId="08B864FE">
      <w:pPr>
        <w:pStyle w:val="7"/>
        <w:spacing w:before="0" w:beforeAutospacing="0" w:after="0" w:afterAutospacing="0"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rPr>
        <w:t>3.调查研究和综合分析全区信访形势及信访工作状况，总结推广各乡镇、区直各单位信访工作经验，提出改进和加强信访工作的意见和建议。</w:t>
      </w:r>
    </w:p>
    <w:p w14:paraId="160D3B9E">
      <w:pPr>
        <w:pStyle w:val="7"/>
        <w:spacing w:before="0" w:beforeAutospacing="0" w:after="0" w:afterAutospacing="0" w:line="560" w:lineRule="exact"/>
        <w:ind w:firstLine="640" w:firstLineChars="200"/>
        <w:rPr>
          <w:rFonts w:ascii="仿宋_GB2312" w:hAnsi="微软雅黑" w:eastAsia="仿宋_GB2312"/>
          <w:sz w:val="32"/>
          <w:szCs w:val="32"/>
        </w:rPr>
      </w:pPr>
      <w:r>
        <w:rPr>
          <w:rFonts w:hint="eastAsia" w:ascii="仿宋_GB2312" w:hAnsi="微软雅黑" w:eastAsia="仿宋_GB2312"/>
          <w:sz w:val="32"/>
          <w:szCs w:val="32"/>
        </w:rPr>
        <w:t>4.参与组织、协调、指导全区社会治安综合治理和维护社会政治稳定工作，协助保障国家、省、市、区重大政治活动顺利进行，参与处理影响社会政治稳定的突发性、群体性事件。</w:t>
      </w:r>
    </w:p>
    <w:p w14:paraId="7A14E414">
      <w:pPr>
        <w:pStyle w:val="7"/>
        <w:spacing w:before="0" w:beforeAutospacing="0" w:after="0" w:afterAutospacing="0" w:line="560" w:lineRule="exact"/>
        <w:ind w:firstLine="640" w:firstLineChars="200"/>
        <w:rPr>
          <w:rFonts w:ascii="仿宋_GB2312" w:hAnsi="微软雅黑" w:eastAsia="仿宋_GB2312"/>
          <w:sz w:val="32"/>
          <w:szCs w:val="32"/>
        </w:rPr>
      </w:pPr>
      <w:r>
        <w:rPr>
          <w:rFonts w:hint="eastAsia" w:ascii="仿宋_GB2312" w:hAnsi="微软雅黑" w:eastAsia="仿宋_GB2312"/>
          <w:sz w:val="32"/>
          <w:szCs w:val="32"/>
        </w:rPr>
        <w:t>5.督促检查和指导全区各级党委、政府和区直有关单位的信访工作。对各乡镇和区直各单位信访工作年度责任目标进行考核，对全区社会治安综合治理和维护社会政治稳定年度责任目标中有关信访工作进行考核。</w:t>
      </w:r>
    </w:p>
    <w:p w14:paraId="706A5F76">
      <w:pPr>
        <w:pStyle w:val="7"/>
        <w:spacing w:before="0" w:beforeAutospacing="0" w:after="0" w:afterAutospacing="0" w:line="560" w:lineRule="exact"/>
        <w:ind w:firstLine="640" w:firstLineChars="200"/>
        <w:rPr>
          <w:rFonts w:ascii="仿宋_GB2312" w:hAnsi="微软雅黑" w:eastAsia="仿宋_GB2312"/>
          <w:sz w:val="32"/>
          <w:szCs w:val="32"/>
        </w:rPr>
      </w:pPr>
      <w:r>
        <w:rPr>
          <w:rFonts w:hint="eastAsia" w:ascii="仿宋_GB2312" w:hAnsi="微软雅黑" w:eastAsia="仿宋_GB2312"/>
          <w:sz w:val="32"/>
          <w:szCs w:val="32"/>
        </w:rPr>
        <w:t>6.协助上级处理藁城区群众进京上访工作，综合协调处理跨地区、跨单位、跨行业的重要信访问题，协助公安机关维护区委、区政府机关正常工作秩序。</w:t>
      </w:r>
    </w:p>
    <w:p w14:paraId="67F22BE8">
      <w:pPr>
        <w:pStyle w:val="7"/>
        <w:spacing w:before="0" w:beforeAutospacing="0" w:after="0" w:afterAutospacing="0" w:line="560" w:lineRule="exact"/>
        <w:ind w:firstLine="640" w:firstLineChars="200"/>
        <w:rPr>
          <w:rFonts w:ascii="仿宋_GB2312" w:hAnsi="微软雅黑" w:eastAsia="仿宋_GB2312"/>
          <w:sz w:val="32"/>
          <w:szCs w:val="32"/>
        </w:rPr>
      </w:pPr>
      <w:r>
        <w:rPr>
          <w:rFonts w:hint="eastAsia" w:ascii="仿宋_GB2312" w:hAnsi="微软雅黑" w:eastAsia="仿宋_GB2312"/>
          <w:sz w:val="32"/>
          <w:szCs w:val="32"/>
        </w:rPr>
        <w:t>7.负责省、市、区领导及省直、市直单位领导公开接访和包联案件的组织协调工作。</w:t>
      </w:r>
    </w:p>
    <w:p w14:paraId="7628AF92">
      <w:pPr>
        <w:pStyle w:val="7"/>
        <w:spacing w:before="0" w:beforeAutospacing="0" w:after="0" w:afterAutospacing="0" w:line="560" w:lineRule="exact"/>
        <w:ind w:firstLine="640" w:firstLineChars="200"/>
        <w:rPr>
          <w:rFonts w:ascii="仿宋_GB2312" w:hAnsi="微软雅黑" w:eastAsia="仿宋_GB2312"/>
          <w:sz w:val="32"/>
          <w:szCs w:val="32"/>
        </w:rPr>
      </w:pPr>
      <w:r>
        <w:rPr>
          <w:rFonts w:hint="eastAsia" w:ascii="仿宋_GB2312" w:hAnsi="微软雅黑" w:eastAsia="仿宋_GB2312"/>
          <w:sz w:val="32"/>
          <w:szCs w:val="32"/>
        </w:rPr>
        <w:t>8.承担藁城区信访工作联席会议的日常工作，督促落实联席会议决定的事项。</w:t>
      </w:r>
    </w:p>
    <w:p w14:paraId="19DCE13F">
      <w:pPr>
        <w:pStyle w:val="7"/>
        <w:spacing w:before="0" w:beforeAutospacing="0" w:after="0" w:afterAutospacing="0" w:line="560" w:lineRule="exact"/>
        <w:ind w:firstLine="640" w:firstLineChars="200"/>
        <w:rPr>
          <w:rFonts w:ascii="仿宋_GB2312" w:hAnsi="微软雅黑" w:eastAsia="仿宋_GB2312"/>
          <w:sz w:val="32"/>
          <w:szCs w:val="32"/>
        </w:rPr>
      </w:pPr>
      <w:r>
        <w:rPr>
          <w:rFonts w:hint="eastAsia" w:ascii="仿宋_GB2312" w:hAnsi="微软雅黑" w:eastAsia="仿宋_GB2312"/>
          <w:sz w:val="32"/>
          <w:szCs w:val="32"/>
        </w:rPr>
        <w:t>9.完成区委、区政府以及上级交办的其他任务。</w:t>
      </w:r>
    </w:p>
    <w:p w14:paraId="2E88CC3A">
      <w:pPr>
        <w:pStyle w:val="7"/>
        <w:spacing w:before="0" w:beforeAutospacing="0" w:after="0" w:afterAutospacing="0" w:line="560" w:lineRule="exact"/>
        <w:ind w:firstLine="643" w:firstLineChars="200"/>
        <w:rPr>
          <w:rFonts w:ascii="仿宋_GB2312" w:hAnsi="微软雅黑" w:eastAsia="仿宋_GB2312"/>
          <w:b/>
          <w:sz w:val="32"/>
          <w:szCs w:val="32"/>
        </w:rPr>
      </w:pPr>
      <w:r>
        <w:rPr>
          <w:rFonts w:hint="eastAsia" w:ascii="仿宋_GB2312" w:hAnsi="微软雅黑" w:eastAsia="仿宋_GB2312"/>
          <w:b/>
          <w:sz w:val="32"/>
          <w:szCs w:val="32"/>
        </w:rPr>
        <w:t>组织机构</w:t>
      </w:r>
      <w:r>
        <w:rPr>
          <w:rFonts w:hint="eastAsia" w:ascii="仿宋_GB2312" w:hAnsi="微软雅黑" w:eastAsia="仿宋_GB2312"/>
          <w:b/>
          <w:sz w:val="32"/>
          <w:szCs w:val="32"/>
          <w:lang w:eastAsia="zh-CN"/>
        </w:rPr>
        <w:t>及人员</w:t>
      </w:r>
      <w:r>
        <w:rPr>
          <w:rFonts w:hint="eastAsia" w:ascii="仿宋_GB2312" w:hAnsi="微软雅黑" w:eastAsia="仿宋_GB2312"/>
          <w:b/>
          <w:sz w:val="32"/>
          <w:szCs w:val="32"/>
        </w:rPr>
        <w:t>情况</w:t>
      </w:r>
    </w:p>
    <w:p w14:paraId="425513C0">
      <w:pPr>
        <w:adjustRightInd w:val="0"/>
        <w:snapToGrid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shd w:val="clear" w:color="auto" w:fill="FFFFFF"/>
        </w:rPr>
        <w:t>石家庄市藁城区信访局为区委工作机关，机构规格正科级</w:t>
      </w:r>
      <w:r>
        <w:rPr>
          <w:rFonts w:hint="eastAsia" w:ascii="仿宋_GB2312" w:hAnsi="微软雅黑" w:eastAsia="仿宋_GB2312"/>
          <w:sz w:val="32"/>
          <w:szCs w:val="32"/>
        </w:rPr>
        <w:t>，行政编制15名；下属一个事业单位藁城区信访接待中心，事业编制5名。</w:t>
      </w:r>
    </w:p>
    <w:p w14:paraId="7EE05842">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1A7BE9A5">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rPr>
        <w:t>1、收入说明</w:t>
      </w:r>
    </w:p>
    <w:p w14:paraId="6FA4B2D4">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rPr>
        <w:t>2024年预算收入451.231564万元，其中：一般公共预算收入451.231564万元，基金预算收入0万元，财政专户核拨收入0万元，其他来源收入0万元。</w:t>
      </w:r>
    </w:p>
    <w:p w14:paraId="5F5B9E54">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rPr>
        <w:t>2、支出说明</w:t>
      </w:r>
    </w:p>
    <w:p w14:paraId="0C2A4444">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rPr>
        <w:t>2024年部门支出预算为451.231564万元，其中基本支出373.631562万元，包括人员经费343.091562万元和日常公用经费30.54万元；项目支出77.6万元，主要为信访信息系统运行与维护支出3.6万元，信访局综治中心公车平台综合办公楼运行支出9万元，信访工作经费支出50万元，化解疑难信访问题资金15万元；其他支出0万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436D8233">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rPr>
        <w:t>坚持以习近平总书记关于加强和改进人民信访工作重要思想为指导，全面落实中央和省、市、区关于信访工作决策部署，立足首都政治“护城河”定位，聚焦“北京不去、河北不聚”要求，坚持以人民为中心，突出“事要解决”根本目标，持续深化信访制度改革，落实信访工作责任，不断提升信访工作质量效能。202</w:t>
      </w:r>
      <w:r>
        <w:rPr>
          <w:rFonts w:hint="eastAsia" w:ascii="仿宋_GB2312" w:hAnsi="微软雅黑" w:eastAsia="仿宋_GB2312"/>
          <w:sz w:val="32"/>
          <w:szCs w:val="32"/>
          <w:lang w:val="en-US" w:eastAsia="zh-CN"/>
        </w:rPr>
        <w:t>4</w:t>
      </w:r>
      <w:r>
        <w:rPr>
          <w:rFonts w:hint="eastAsia" w:ascii="仿宋_GB2312" w:hAnsi="微软雅黑" w:eastAsia="仿宋_GB2312"/>
          <w:sz w:val="32"/>
          <w:szCs w:val="32"/>
        </w:rPr>
        <w:t>年，及时受理办理群众来信、来访和网上投诉，扎实推进集中治理重复信访、化解信访积案专项工作，切实维护群众合法权益，有效维护敏感期国家和省内社会和谐稳定</w:t>
      </w:r>
      <w:r>
        <w:rPr>
          <w:rFonts w:hint="eastAsia" w:ascii="仿宋_GB2312" w:hAnsi="微软雅黑" w:eastAsia="仿宋_GB2312"/>
          <w:color w:val="auto"/>
          <w:sz w:val="32"/>
          <w:szCs w:val="32"/>
        </w:rPr>
        <w:t>，全年信访事项及时受理率、按期答复率达到90%以上，群众满意率逐年上升</w:t>
      </w:r>
      <w:r>
        <w:rPr>
          <w:rFonts w:hint="eastAsia" w:ascii="仿宋_GB2312" w:hAnsi="微软雅黑" w:eastAsia="仿宋_GB2312"/>
          <w:sz w:val="32"/>
          <w:szCs w:val="32"/>
        </w:rPr>
        <w:t>。</w:t>
      </w:r>
    </w:p>
    <w:p w14:paraId="6428DC04">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4E559087">
      <w:pPr>
        <w:adjustRightInd w:val="0"/>
        <w:snapToGrid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微软雅黑" w:eastAsia="仿宋_GB2312"/>
          <w:sz w:val="32"/>
          <w:szCs w:val="32"/>
        </w:rPr>
        <w:t>按照《藁城区财政局关于开展202</w:t>
      </w:r>
      <w:r>
        <w:rPr>
          <w:rFonts w:hint="eastAsia" w:ascii="仿宋_GB2312" w:hAnsi="微软雅黑" w:eastAsia="仿宋_GB2312"/>
          <w:sz w:val="32"/>
          <w:szCs w:val="32"/>
          <w:lang w:val="en-US" w:eastAsia="zh-CN"/>
        </w:rPr>
        <w:t>5</w:t>
      </w:r>
      <w:r>
        <w:rPr>
          <w:rFonts w:hint="eastAsia" w:ascii="仿宋_GB2312" w:hAnsi="微软雅黑" w:eastAsia="仿宋_GB2312"/>
          <w:sz w:val="32"/>
          <w:szCs w:val="32"/>
        </w:rPr>
        <w:t>年绩效自评工作的通知》要求，强化预算支出责任，提高财政资金支出绩效，严格对照预算文本中制定的部门整体绩效目标，提早部署、分解任务、压实责任、严肃考评。高度重视绩效自评工作，成立了由主要负责人为组长的绩效自评工作小组，评价小组严格按照区财政局关于绩效管理办法执行绩效目标自评工作，从深化预算改革和加强绩效管理的实际需要出发，对各项目资金进行客观公正的评分。</w:t>
      </w:r>
    </w:p>
    <w:p w14:paraId="416C2E9C">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6FA60505">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rPr>
        <w:t>1、强化组织推动。成立由局主要领导任组长的预算绩效工作领导小组，围绕年度总体绩效目标和分类绩效目标，统筹推进年度绩效工作，确保绩效目标如期高标准完成。</w:t>
      </w:r>
    </w:p>
    <w:p w14:paraId="4E2CD6EC">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lang w:val="en-US" w:eastAsia="zh-CN"/>
        </w:rPr>
        <w:t>2</w:t>
      </w:r>
      <w:r>
        <w:rPr>
          <w:rFonts w:hint="eastAsia" w:ascii="仿宋_GB2312" w:hAnsi="微软雅黑" w:eastAsia="仿宋_GB2312"/>
          <w:sz w:val="32"/>
          <w:szCs w:val="32"/>
        </w:rPr>
        <w:t>、加强支出管理。协调各业务科室</w:t>
      </w:r>
      <w:r>
        <w:rPr>
          <w:rFonts w:hint="eastAsia" w:ascii="仿宋_GB2312" w:hAnsi="微软雅黑" w:eastAsia="仿宋_GB2312"/>
          <w:sz w:val="32"/>
          <w:szCs w:val="32"/>
          <w:lang w:eastAsia="zh-CN"/>
        </w:rPr>
        <w:t>结合工作实际</w:t>
      </w:r>
      <w:r>
        <w:rPr>
          <w:rFonts w:hint="eastAsia" w:ascii="仿宋_GB2312" w:hAnsi="微软雅黑" w:eastAsia="仿宋_GB2312"/>
          <w:sz w:val="32"/>
          <w:szCs w:val="32"/>
        </w:rPr>
        <w:t>，及时支付资金，确保每月支出进度达标。不断提升政府采购效率，在预算批复后提早进入政府采购程序。</w:t>
      </w:r>
    </w:p>
    <w:p w14:paraId="62D3529D">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lang w:val="en-US" w:eastAsia="zh-CN"/>
        </w:rPr>
        <w:t>3</w:t>
      </w:r>
      <w:r>
        <w:rPr>
          <w:rFonts w:hint="eastAsia" w:ascii="仿宋_GB2312" w:hAnsi="微软雅黑" w:eastAsia="仿宋_GB2312"/>
          <w:sz w:val="32"/>
          <w:szCs w:val="32"/>
        </w:rPr>
        <w:t>、压实工作责任。按照“谁花钱、谁负责，谁牵头、谁主责”的原则，明确各科室预算绩效管理职责，压实其主要负责人“第一责任人”的责任，按照领导小组指示要求，配合领导小组办公室开展分管项目及内容的预算绩效管理工作。</w:t>
      </w:r>
    </w:p>
    <w:p w14:paraId="15FBBE74">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仿宋_GB2312" w:hAnsi="微软雅黑" w:eastAsia="仿宋_GB2312"/>
          <w:sz w:val="32"/>
          <w:szCs w:val="32"/>
          <w:lang w:val="en-US" w:eastAsia="zh-CN"/>
        </w:rPr>
        <w:t>4</w:t>
      </w:r>
      <w:r>
        <w:rPr>
          <w:rFonts w:hint="eastAsia" w:ascii="仿宋_GB2312" w:hAnsi="微软雅黑" w:eastAsia="仿宋_GB2312"/>
          <w:sz w:val="32"/>
          <w:szCs w:val="32"/>
        </w:rPr>
        <w:t>、强化过程跟踪。加大协调力度和督促指导，及时跟进各科室绩效工作进度，破解工作中的难题，力促预算绩效工作取得扎实成效。</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72A0A3F2">
      <w:pPr>
        <w:adjustRightInd w:val="0"/>
        <w:snapToGrid w:val="0"/>
        <w:spacing w:line="560" w:lineRule="exact"/>
        <w:ind w:firstLine="640" w:firstLineChars="200"/>
        <w:rPr>
          <w:rFonts w:hint="eastAsia" w:ascii="仿宋_GB2312" w:hAnsi="微软雅黑" w:eastAsia="仿宋_GB2312"/>
          <w:sz w:val="32"/>
          <w:szCs w:val="32"/>
          <w:lang w:eastAsia="zh-CN"/>
        </w:rPr>
      </w:pPr>
      <w:r>
        <w:rPr>
          <w:rFonts w:hint="eastAsia" w:ascii="仿宋_GB2312" w:hAnsi="微软雅黑" w:eastAsia="仿宋_GB2312"/>
          <w:sz w:val="32"/>
          <w:szCs w:val="32"/>
        </w:rPr>
        <w:t>坚持以习近平总书记关于加强和改进人民信访工作重要思想为指导，全面落实中央和省、市、区关于信访工作决策部署，立足首都政治“护城河”定位，聚焦“北京不去、河北不聚”要求，坚持以人民为中心，突出“事要解决”根本目标，持续深化信访制度改革，落实信访工作责任，不断提升信访工作质量效能。2024年，及时受理办理群众来信、来访和网上投诉，扎实推进集中治理重复信访、化解信访积案专项工作，切实维护群众合法权益，有效维护敏感期国家和省内社会和谐稳定，全年信访事项及时受理率、按期答复率达到90%以上，群众满意率逐年上升。</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44E576F4">
      <w:pPr>
        <w:adjustRightInd w:val="0"/>
        <w:snapToGrid w:val="0"/>
        <w:spacing w:line="560" w:lineRule="exact"/>
        <w:ind w:firstLine="640" w:firstLineChars="200"/>
        <w:rPr>
          <w:rFonts w:hint="eastAsia" w:ascii="仿宋_GB2312" w:hAnsi="仿宋" w:eastAsia="仿宋_GB2312" w:cs="Times New Roman"/>
          <w:sz w:val="32"/>
          <w:szCs w:val="32"/>
        </w:rPr>
      </w:pPr>
      <w:r>
        <w:rPr>
          <w:rFonts w:hint="eastAsia" w:ascii="仿宋_GB2312" w:hAnsi="微软雅黑" w:eastAsia="仿宋_GB2312"/>
          <w:sz w:val="32"/>
          <w:szCs w:val="32"/>
        </w:rPr>
        <w:t>1、</w:t>
      </w:r>
      <w:r>
        <w:rPr>
          <w:rFonts w:hint="eastAsia" w:ascii="仿宋_GB2312" w:hAnsi="仿宋" w:eastAsia="仿宋_GB2312" w:cs="Times New Roman"/>
          <w:sz w:val="32"/>
          <w:szCs w:val="32"/>
        </w:rPr>
        <w:t>坚持源头治理，</w:t>
      </w:r>
      <w:r>
        <w:rPr>
          <w:rFonts w:hint="eastAsia" w:ascii="仿宋_GB2312" w:hAnsi="仿宋" w:eastAsia="仿宋_GB2312" w:cs="Times New Roman"/>
          <w:sz w:val="32"/>
          <w:szCs w:val="32"/>
          <w:lang w:val="en-US" w:eastAsia="zh-CN"/>
        </w:rPr>
        <w:t>加强进京访治理</w:t>
      </w:r>
      <w:r>
        <w:rPr>
          <w:rFonts w:hint="eastAsia" w:ascii="仿宋_GB2312" w:hAnsi="仿宋" w:eastAsia="仿宋_GB2312" w:cs="Times New Roman"/>
          <w:sz w:val="32"/>
          <w:szCs w:val="32"/>
        </w:rPr>
        <w:t>。立足抓早抓小抓源头，把问题隐患发现在初始、解决在当地，切实从源头上遏制信访增量、有效防范信访风险。</w:t>
      </w:r>
      <w:r>
        <w:rPr>
          <w:rFonts w:hint="eastAsia" w:ascii="仿宋_GB2312" w:hAnsi="仿宋_GB2312" w:eastAsia="仿宋_GB2312" w:cs="仿宋_GB2312"/>
          <w:sz w:val="32"/>
          <w:szCs w:val="32"/>
        </w:rPr>
        <w:t>立足于事要解决、不再反复，坚持把工作重心放在源头防范化解上，同时在北京前端疏导上持续用力，形成工作闭环，努力做到“工作在藁城、成效在北京”。</w:t>
      </w:r>
    </w:p>
    <w:p w14:paraId="62AF6B0C">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微软雅黑" w:eastAsia="仿宋_GB2312"/>
          <w:sz w:val="32"/>
          <w:szCs w:val="32"/>
        </w:rPr>
        <w:t>2、</w:t>
      </w:r>
      <w:r>
        <w:rPr>
          <w:rFonts w:hint="eastAsia" w:ascii="仿宋_GB2312" w:hAnsi="仿宋_GB2312" w:eastAsia="仿宋_GB2312" w:cs="仿宋_GB2312"/>
          <w:sz w:val="32"/>
          <w:szCs w:val="32"/>
          <w:lang w:val="en-US" w:eastAsia="zh-CN"/>
        </w:rPr>
        <w:t>坚持敏感期保障机制，强化信访安全保障</w:t>
      </w:r>
      <w:r>
        <w:rPr>
          <w:rFonts w:hint="eastAsia" w:ascii="仿宋_GB2312" w:hAnsi="仿宋_GB2312" w:eastAsia="仿宋_GB2312" w:cs="仿宋_GB2312"/>
          <w:sz w:val="32"/>
          <w:szCs w:val="32"/>
          <w:lang w:eastAsia="zh-CN"/>
        </w:rPr>
        <w:t>。</w:t>
      </w:r>
      <w:r>
        <w:rPr>
          <w:rFonts w:hint="eastAsia" w:ascii="仿宋_GB2312" w:hAnsi="微软雅黑" w:eastAsia="仿宋_GB2312"/>
          <w:sz w:val="32"/>
          <w:szCs w:val="32"/>
        </w:rPr>
        <w:t>进一步提高政治站位，坚持“一盘棋”思维，在重大政治活动和重要敏感节点期间，</w:t>
      </w:r>
      <w:r>
        <w:rPr>
          <w:rFonts w:hint="eastAsia" w:ascii="仿宋_GB2312" w:hAnsi="仿宋_GB2312" w:eastAsia="仿宋_GB2312" w:cs="仿宋_GB2312"/>
          <w:sz w:val="32"/>
          <w:szCs w:val="32"/>
        </w:rPr>
        <w:t>统筹全区力量，整合全区资源，</w:t>
      </w:r>
      <w:r>
        <w:rPr>
          <w:rFonts w:hint="eastAsia" w:ascii="仿宋_GB2312" w:hAnsi="微软雅黑" w:eastAsia="仿宋_GB2312"/>
          <w:sz w:val="32"/>
          <w:szCs w:val="32"/>
        </w:rPr>
        <w:t>协助保障国家和省、市、区重大政治活动顺利进行。</w:t>
      </w:r>
    </w:p>
    <w:p w14:paraId="732BA000">
      <w:pPr>
        <w:adjustRightInd w:val="0"/>
        <w:snapToGrid w:val="0"/>
        <w:spacing w:line="560" w:lineRule="exact"/>
        <w:ind w:firstLine="640" w:firstLineChars="200"/>
        <w:rPr>
          <w:rFonts w:hint="eastAsia" w:ascii="仿宋_GB2312" w:hAnsi="微软雅黑" w:eastAsia="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b w:val="0"/>
          <w:bCs w:val="0"/>
          <w:color w:val="auto"/>
          <w:sz w:val="32"/>
          <w:szCs w:val="32"/>
          <w:lang w:val="en-US" w:eastAsia="zh-CN"/>
        </w:rPr>
        <w:t>坚持改革思维，全面推进信访工作法治化</w:t>
      </w:r>
      <w:r>
        <w:rPr>
          <w:rFonts w:hint="eastAsia" w:ascii="仿宋_GB2312" w:hAnsi="仿宋_GB2312" w:eastAsia="仿宋_GB2312" w:cs="仿宋_GB2312"/>
          <w:sz w:val="32"/>
          <w:szCs w:val="32"/>
          <w:lang w:eastAsia="zh-CN"/>
        </w:rPr>
        <w:t>。</w:t>
      </w:r>
      <w:r>
        <w:rPr>
          <w:rFonts w:hint="eastAsia" w:ascii="仿宋_GB2312" w:hAnsi="微软雅黑" w:eastAsia="仿宋_GB2312"/>
          <w:sz w:val="32"/>
          <w:szCs w:val="32"/>
        </w:rPr>
        <w:t>持续做好《信访工作条例》的学习宣传、释法宣传工作。进一步完善《条例》配套措施、优化业务流程，构建系统、完备、有效的工作运行机制。聚焦聚力“五化”“四到位”要求，努力实现“群众的每一项诉求都有人办理，群众的每一项诉求都依法推进，实现权责明、底数清、依法办、秩序好、群众满意”的目标。</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627D79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根据部门职责定位和各项工作履职情况进行综合评价，最后得分</w:t>
      </w:r>
      <w:r>
        <w:rPr>
          <w:rFonts w:hint="eastAsia" w:ascii="仿宋_GB2312" w:hAnsi="仿宋_GB2312" w:eastAsia="仿宋_GB2312" w:cs="仿宋_GB2312"/>
          <w:sz w:val="32"/>
          <w:szCs w:val="32"/>
          <w:highlight w:val="none"/>
          <w:lang w:val="en-US" w:eastAsia="zh-CN"/>
        </w:rPr>
        <w:t>90</w:t>
      </w:r>
      <w:r>
        <w:rPr>
          <w:rFonts w:hint="eastAsia" w:ascii="仿宋_GB2312" w:hAnsi="仿宋_GB2312" w:eastAsia="仿宋_GB2312" w:cs="仿宋_GB2312"/>
          <w:sz w:val="32"/>
          <w:szCs w:val="32"/>
          <w:highlight w:val="none"/>
          <w:lang w:eastAsia="zh-CN"/>
        </w:rPr>
        <w:t>，等级为优秀。</w:t>
      </w:r>
    </w:p>
    <w:p w14:paraId="37744A88">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795ACCC6">
      <w:pPr>
        <w:keepNext w:val="0"/>
        <w:keepLines w:val="0"/>
        <w:pageBreakBefore w:val="0"/>
        <w:widowControl w:val="0"/>
        <w:numPr>
          <w:ilvl w:val="0"/>
          <w:numId w:val="0"/>
        </w:numPr>
        <w:kinsoku/>
        <w:wordWrap/>
        <w:overflowPunct/>
        <w:topLinePunct w:val="0"/>
        <w:autoSpaceDE/>
        <w:autoSpaceDN/>
        <w:bidi w:val="0"/>
        <w:spacing w:line="560" w:lineRule="exact"/>
        <w:ind w:firstLine="960" w:firstLineChars="300"/>
        <w:textAlignment w:val="auto"/>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lang w:eastAsia="zh-CN"/>
        </w:rPr>
        <w:t>无</w:t>
      </w:r>
    </w:p>
    <w:p w14:paraId="6E19DF33">
      <w:pPr>
        <w:keepNext w:val="0"/>
        <w:keepLines w:val="0"/>
        <w:pageBreakBefore w:val="0"/>
        <w:widowControl w:val="0"/>
        <w:numPr>
          <w:ilvl w:val="0"/>
          <w:numId w:val="5"/>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056C947F">
      <w:pPr>
        <w:keepNext w:val="0"/>
        <w:keepLines w:val="0"/>
        <w:pageBreakBefore w:val="0"/>
        <w:widowControl w:val="0"/>
        <w:numPr>
          <w:ilvl w:val="0"/>
          <w:numId w:val="0"/>
        </w:numPr>
        <w:kinsoku/>
        <w:wordWrap/>
        <w:overflowPunct/>
        <w:topLinePunct w:val="0"/>
        <w:autoSpaceDE/>
        <w:autoSpaceDN/>
        <w:bidi w:val="0"/>
        <w:spacing w:line="560" w:lineRule="exact"/>
        <w:ind w:firstLine="960" w:firstLineChars="300"/>
        <w:textAlignment w:val="auto"/>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lang w:eastAsia="zh-CN"/>
        </w:rPr>
        <w:t>无</w:t>
      </w:r>
    </w:p>
    <w:p w14:paraId="176B9214">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p w14:paraId="39161DF8">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p w14:paraId="089E11A4">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bookmarkStart w:id="0" w:name="_GoBack"/>
      <w:bookmarkEnd w:id="0"/>
    </w:p>
    <w:p w14:paraId="34AAB1E8">
      <w:pPr>
        <w:keepNext w:val="0"/>
        <w:keepLines w:val="0"/>
        <w:pageBreakBefore w:val="0"/>
        <w:widowControl w:val="0"/>
        <w:kinsoku/>
        <w:wordWrap/>
        <w:overflowPunct/>
        <w:topLinePunct w:val="0"/>
        <w:autoSpaceDE/>
        <w:autoSpaceDN/>
        <w:bidi w:val="0"/>
        <w:adjustRightInd/>
        <w:snapToGrid w:val="0"/>
        <w:spacing w:line="560" w:lineRule="exact"/>
        <w:ind w:right="0" w:firstLine="5120" w:firstLineChars="16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藁城区信访局</w:t>
      </w:r>
    </w:p>
    <w:p w14:paraId="1C8B97FE">
      <w:pPr>
        <w:keepNext w:val="0"/>
        <w:keepLines w:val="0"/>
        <w:pageBreakBefore w:val="0"/>
        <w:widowControl w:val="0"/>
        <w:kinsoku/>
        <w:wordWrap/>
        <w:overflowPunct/>
        <w:topLinePunct w:val="0"/>
        <w:autoSpaceDE/>
        <w:autoSpaceDN/>
        <w:bidi w:val="0"/>
        <w:adjustRightInd/>
        <w:snapToGrid w:val="0"/>
        <w:spacing w:line="560" w:lineRule="exact"/>
        <w:ind w:right="0" w:firstLine="4800" w:firstLineChars="15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2025年4月22日</w:t>
      </w: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4C9F8E08-2276-459A-A281-B67C4660FE7C}"/>
  </w:font>
  <w:font w:name="黑体">
    <w:panose1 w:val="02010609060101010101"/>
    <w:charset w:val="86"/>
    <w:family w:val="auto"/>
    <w:pitch w:val="default"/>
    <w:sig w:usb0="800002BF" w:usb1="38CF7CFA" w:usb2="00000016" w:usb3="00000000" w:csb0="00040001" w:csb1="00000000"/>
    <w:embedRegular r:id="rId2" w:fontKey="{B326AB60-E383-44CD-9899-292F839C169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embedRegular r:id="rId3" w:fontKey="{1DD7DC7E-AF38-43CB-B743-C3A7BEC5B106}"/>
  </w:font>
  <w:font w:name="仿宋_GB2312">
    <w:panose1 w:val="02010609030101010101"/>
    <w:charset w:val="86"/>
    <w:family w:val="auto"/>
    <w:pitch w:val="default"/>
    <w:sig w:usb0="00000001" w:usb1="080E0000" w:usb2="00000000" w:usb3="00000000" w:csb0="00040000" w:csb1="00000000"/>
    <w:embedRegular r:id="rId4" w:fontKey="{ADD347CC-AFE7-477B-805E-F07048EB6D90}"/>
  </w:font>
  <w:font w:name="楷体_GB2312">
    <w:panose1 w:val="02010609030101010101"/>
    <w:charset w:val="86"/>
    <w:family w:val="auto"/>
    <w:pitch w:val="default"/>
    <w:sig w:usb0="00000001" w:usb1="080E0000" w:usb2="00000000" w:usb3="00000000" w:csb0="00040000" w:csb1="00000000"/>
    <w:embedRegular r:id="rId5" w:fontKey="{9CB74D68-E35A-4F40-89DC-F1B9D53E6323}"/>
  </w:font>
  <w:font w:name="楷体">
    <w:panose1 w:val="02010609060101010101"/>
    <w:charset w:val="86"/>
    <w:family w:val="modern"/>
    <w:pitch w:val="default"/>
    <w:sig w:usb0="800002BF" w:usb1="38CF7CFA" w:usb2="00000016" w:usb3="00000000" w:csb0="00040001" w:csb1="00000000"/>
    <w:embedRegular r:id="rId6" w:fontKey="{F6FCF260-F384-4287-9DDE-0DDDF878DD1C}"/>
  </w:font>
  <w:font w:name="仿宋">
    <w:panose1 w:val="02010609060101010101"/>
    <w:charset w:val="86"/>
    <w:family w:val="auto"/>
    <w:pitch w:val="default"/>
    <w:sig w:usb0="800002BF" w:usb1="38CF7CFA" w:usb2="00000016" w:usb3="00000000" w:csb0="00040001" w:csb1="00000000"/>
    <w:embedRegular r:id="rId7" w:fontKey="{4B234BC9-99E4-43FE-9150-E5EA15B86DB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8A4C90"/>
    <w:multiLevelType w:val="singleLevel"/>
    <w:tmpl w:val="8D8A4C90"/>
    <w:lvl w:ilvl="0" w:tentative="0">
      <w:start w:val="2"/>
      <w:numFmt w:val="chineseCounting"/>
      <w:suff w:val="nothing"/>
      <w:lvlText w:val="（%1）"/>
      <w:lvlJc w:val="left"/>
      <w:rPr>
        <w:rFonts w:hint="eastAsia"/>
      </w:r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48D0C5FF"/>
    <w:multiLevelType w:val="singleLevel"/>
    <w:tmpl w:val="48D0C5FF"/>
    <w:lvl w:ilvl="0" w:tentative="0">
      <w:start w:val="2"/>
      <w:numFmt w:val="chineseCounting"/>
      <w:suff w:val="nothing"/>
      <w:lvlText w:val="（%1）"/>
      <w:lvlJc w:val="left"/>
      <w:rPr>
        <w:rFonts w:hint="eastAsia"/>
      </w:rPr>
    </w:lvl>
  </w:abstractNum>
  <w:abstractNum w:abstractNumId="4">
    <w:nsid w:val="5947A235"/>
    <w:multiLevelType w:val="singleLevel"/>
    <w:tmpl w:val="5947A235"/>
    <w:lvl w:ilvl="0" w:tentative="0">
      <w:start w:val="1"/>
      <w:numFmt w:val="chineseCounting"/>
      <w:suff w:val="nothing"/>
      <w:lvlText w:val="（%1）"/>
      <w:lvlJc w:val="left"/>
      <w:rPr>
        <w:rFonts w:hint="eastAsia"/>
      </w:r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0E38117F"/>
    <w:rsid w:val="134F6B82"/>
    <w:rsid w:val="13955CCA"/>
    <w:rsid w:val="190344AE"/>
    <w:rsid w:val="3DDE37D0"/>
    <w:rsid w:val="56D7393C"/>
    <w:rsid w:val="58B8456C"/>
    <w:rsid w:val="59377ED9"/>
    <w:rsid w:val="5E5A6C8B"/>
    <w:rsid w:val="69206851"/>
    <w:rsid w:val="75C829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10">
    <w:name w:val="heading 1 Char"/>
    <w:basedOn w:val="9"/>
    <w:link w:val="2"/>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3"/>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4"/>
    <w:qFormat/>
    <w:uiPriority w:val="0"/>
    <w:rPr>
      <w:rFonts w:ascii="Times New Roman" w:hAnsi="Times New Roman" w:eastAsia="宋体" w:cs="Times New Roman"/>
      <w:b/>
      <w:bCs/>
      <w:kern w:val="2"/>
      <w:sz w:val="32"/>
      <w:szCs w:val="32"/>
      <w:lang w:val="en-US" w:eastAsia="zh-CN" w:bidi="ar-SA"/>
    </w:rPr>
  </w:style>
  <w:style w:type="paragraph" w:customStyle="1" w:styleId="13">
    <w:name w:val="插入文本样式-插入实现年度发展规划目标的保障措施文件"/>
    <w:basedOn w:val="1"/>
    <w:qFormat/>
    <w:uiPriority w:val="0"/>
    <w:pPr>
      <w:widowControl/>
      <w:spacing w:line="500" w:lineRule="exact"/>
      <w:ind w:firstLine="560"/>
      <w:jc w:val="left"/>
    </w:pPr>
    <w:rPr>
      <w:rFonts w:eastAsia="方正仿宋_GBK"/>
      <w:kern w:val="0"/>
      <w:sz w:val="28"/>
      <w:lang w:eastAsia="uk-UA"/>
    </w:rPr>
  </w:style>
  <w:style w:type="paragraph" w:customStyle="1" w:styleId="1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6</Pages>
  <Words>2517</Words>
  <Characters>2616</Characters>
  <Lines>0</Lines>
  <Paragraphs>31</Paragraphs>
  <TotalTime>1</TotalTime>
  <ScaleCrop>false</ScaleCrop>
  <LinksUpToDate>false</LinksUpToDate>
  <CharactersWithSpaces>2616</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Miss～Y❤️</cp:lastModifiedBy>
  <cp:lastPrinted>2021-02-24T05:43:00Z</cp:lastPrinted>
  <dcterms:modified xsi:type="dcterms:W3CDTF">2026-01-01T04:29:22Z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F198CE91156C4AFE8DA5430582457E4D_13</vt:lpwstr>
  </property>
  <property fmtid="{D5CDD505-2E9C-101B-9397-08002B2CF9AE}" pid="4" name="KSOTemplateDocerSaveRecord">
    <vt:lpwstr>eyJoZGlkIjoiOWYyMDMyYmQ3NjU3OTA1ODEyYTM2YTcyNzQ2YjIwNjMiLCJ1c2VySWQiOiIyODQwMjYyMzMifQ==</vt:lpwstr>
  </property>
</Properties>
</file>