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6122F0">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5391BF88">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7AAA5039">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藁城区妇联</w:t>
      </w:r>
    </w:p>
    <w:p w14:paraId="4EB3C2D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747E028B">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01C5BA5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hint="eastAsia" w:ascii="仿宋_GB2312" w:hAnsi="仿宋_GB2312" w:eastAsia="仿宋_GB2312" w:cs="仿宋_GB2312"/>
          <w:sz w:val="32"/>
          <w:szCs w:val="32"/>
          <w:lang w:eastAsia="zh-CN"/>
        </w:rPr>
        <w:t>藁城区妇联202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年度整体支出情况实施了财政支出绩效自评价，形成本评价报告</w:t>
      </w:r>
      <w:r>
        <w:rPr>
          <w:rFonts w:hint="eastAsia" w:ascii="仿宋_GB2312" w:hAnsi="仿宋_GB2312" w:eastAsia="仿宋_GB2312" w:cs="仿宋_GB2312"/>
          <w:sz w:val="32"/>
          <w:szCs w:val="32"/>
          <w:highlight w:val="none"/>
          <w:lang w:eastAsia="zh-CN"/>
        </w:rPr>
        <w:t>。</w:t>
      </w:r>
    </w:p>
    <w:p w14:paraId="2C07E35B">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5414A8F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3B237D16">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1</w:t>
      </w:r>
      <w:r>
        <w:rPr>
          <w:rFonts w:hint="eastAsia" w:ascii="仿宋" w:hAnsi="仿宋" w:eastAsia="仿宋" w:cs="仿宋"/>
          <w:sz w:val="32"/>
          <w:szCs w:val="32"/>
          <w:lang w:val="en-US" w:eastAsia="zh-CN"/>
        </w:rPr>
        <w:t>、</w:t>
      </w:r>
      <w:r>
        <w:rPr>
          <w:rFonts w:hint="eastAsia" w:ascii="仿宋_GB2312" w:hAnsi="仿宋" w:eastAsia="仿宋_GB2312"/>
          <w:sz w:val="32"/>
          <w:szCs w:val="32"/>
        </w:rPr>
        <w:t>主要职</w:t>
      </w:r>
      <w:r>
        <w:rPr>
          <w:rFonts w:hint="eastAsia" w:ascii="仿宋_GB2312" w:hAnsi="仿宋" w:eastAsia="仿宋_GB2312"/>
          <w:sz w:val="32"/>
          <w:szCs w:val="32"/>
          <w:lang w:eastAsia="zh-CN"/>
        </w:rPr>
        <w:t>责</w:t>
      </w:r>
      <w:r>
        <w:rPr>
          <w:rFonts w:hint="eastAsia" w:ascii="仿宋_GB2312" w:hAnsi="仿宋" w:eastAsia="仿宋_GB2312"/>
          <w:sz w:val="32"/>
          <w:szCs w:val="32"/>
        </w:rPr>
        <w:t>。</w:t>
      </w:r>
    </w:p>
    <w:p w14:paraId="0B31BD3F">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按照上级妇联安排部署，围绕区委、区政府中心工作，找准、社会、文化和生态建设；培育挖掘优秀妇女组织和优秀妇女典型。</w:t>
      </w:r>
    </w:p>
    <w:p w14:paraId="59DB6B6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 xml:space="preserve"> 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w:t>
      </w:r>
    </w:p>
    <w:p w14:paraId="4297922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960" w:firstLineChars="3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积极开展各种教育培训活动，增强妇女儿童维权意识，提高妇女自身素质和创业就业能力，促进妇女进步与发展。</w:t>
      </w:r>
    </w:p>
    <w:p w14:paraId="72439127">
      <w:pPr>
        <w:pStyle w:val="16"/>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2、部门组织机构情况</w:t>
      </w:r>
    </w:p>
    <w:p w14:paraId="4FDDB0E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藁城区妇联规格为正科级，1个区妇联本级单位，一级预算单位，无下属单位。领导职数1正2副，核定全额事业编制8名。设内设机构综合办公室，核定股级领导职数1名。单位性质为群众团体，资金保障形式为财政拨款。年末总人数7人，全部是全额事业编制。</w:t>
      </w:r>
    </w:p>
    <w:p w14:paraId="3FE9893F">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70077A4E">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2024年预算收入185.67万元，其中：一般公共预算收入185.67万元，基金预算收入0万元，财政专户核拨收入0万元，其他来源收入0万元。2024年部门支出预算为185.67万元，其中基本支出185.67万元，包括人员经费156.54万元和日常公用经费12.43万元；项目支出16.7万元，主要为妇女代表大会经费3.7万元、贫困妇女儿童救助经费4.5万元、石财行[2023]44号关于提前下达2024年省级妇女之家建设专项资金的通知经费8.5万元。2024年度决算收入合计160.44万元，其中：财政拨款收入170.44元，占100%；事业收入0万元，占0%；经营收入0万元，占0%；其他收入0万元，占0%。2024年度决算支出合计160.44万元，其中：基本支出 143.74 万元，占89.59%；项目支出16.7万元，占10.41%；经营支出0万元，占0%。</w:t>
      </w:r>
    </w:p>
    <w:p w14:paraId="4D29CFF2">
      <w:pPr>
        <w:snapToGrid w:val="0"/>
        <w:spacing w:line="520" w:lineRule="exact"/>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2024年收入160.44万元，支出160.44万元。上年度收入万170.47元，支出170.47万元。比上年度减少 10.03万元，主要是减少了本级项目、有人员退休。</w:t>
      </w:r>
    </w:p>
    <w:p w14:paraId="5F997174">
      <w:pPr>
        <w:pStyle w:val="2"/>
        <w:numPr>
          <w:ilvl w:val="0"/>
          <w:numId w:val="0"/>
        </w:numPr>
        <w:ind w:leftChars="400"/>
        <w:rPr>
          <w:rFonts w:hint="eastAsia"/>
        </w:rPr>
      </w:pPr>
    </w:p>
    <w:p w14:paraId="34490BD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14ED48AF">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hint="eastAsia"/>
          <w:lang w:eastAsia="zh-CN"/>
        </w:rPr>
      </w:pPr>
      <w:r>
        <w:rPr>
          <w:rFonts w:hint="eastAsia" w:ascii="仿宋" w:hAnsi="仿宋" w:eastAsia="仿宋" w:cs="仿宋"/>
          <w:kern w:val="2"/>
          <w:sz w:val="32"/>
          <w:szCs w:val="32"/>
          <w:lang w:val="en-US" w:eastAsia="zh-CN" w:bidi="ar-SA"/>
        </w:rPr>
        <w:t>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 积极开展各种教育培训活动，增强妇女儿童维权意识，提高妇女自身素质和创业就业能力，促进妇女进步与发展。</w:t>
      </w:r>
    </w:p>
    <w:p w14:paraId="70976BD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E5967F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50FF402D">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为深入贯彻落实中共中央、国务院《关于全面实施预算绩效管理的意见》文件精神,根据石家庄市财政局《石家庄市市级部门预算绩效管理工作考核办法（试行）》的通知精神，强化预算支出责任，提高财政资金支出绩效，我部门严格对照预算文本中制定的部门整体绩效目标，提早部署、分解任务、压实责任、严肃考评。按照《藁城区财政局关于开展2025年绩效自评工作的通知》要求，我部门高度重视绩效自评工作，成立了绩效评估工作小组，由区妇联书记主席唐改燕同志任组长，副主席丁月霞</w:t>
      </w:r>
      <w:r>
        <w:rPr>
          <w:rFonts w:hint="eastAsia" w:ascii="仿宋" w:hAnsi="仿宋" w:eastAsia="仿宋" w:cs="仿宋"/>
          <w:sz w:val="32"/>
          <w:szCs w:val="32"/>
          <w:lang w:eastAsia="zh-CN"/>
        </w:rPr>
        <w:t>（主抓业务工作）担任副组长，财务人员何玉华、审计人员赵特为小组成员，</w:t>
      </w:r>
      <w:r>
        <w:rPr>
          <w:rFonts w:hint="eastAsia" w:ascii="仿宋" w:hAnsi="仿宋" w:eastAsia="仿宋" w:cs="仿宋"/>
          <w:sz w:val="32"/>
          <w:szCs w:val="32"/>
          <w:lang w:val="en-US" w:eastAsia="zh-CN"/>
        </w:rPr>
        <w:t>对2024年我部门妇女代表大会经费、贫困妇女儿童救助经费、石财行[2023]44号关于提前下达2024年省级妇女之家建设专项资金的通知经费项目进行绩效自评。</w:t>
      </w:r>
    </w:p>
    <w:p w14:paraId="6665ADD8">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自评的方法和过程</w:t>
      </w:r>
    </w:p>
    <w:p w14:paraId="53F43B8C">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eastAsia"/>
        </w:rPr>
      </w:pPr>
      <w:r>
        <w:rPr>
          <w:rFonts w:hint="eastAsia" w:ascii="仿宋" w:hAnsi="仿宋" w:eastAsia="仿宋" w:cs="仿宋"/>
          <w:sz w:val="32"/>
          <w:szCs w:val="32"/>
          <w:lang w:eastAsia="zh-CN"/>
        </w:rPr>
        <w:t>我部门自评小组在</w:t>
      </w:r>
      <w:r>
        <w:rPr>
          <w:rFonts w:hint="eastAsia" w:ascii="仿宋" w:hAnsi="仿宋" w:eastAsia="仿宋" w:cs="仿宋"/>
          <w:sz w:val="32"/>
          <w:szCs w:val="32"/>
          <w:lang w:val="en-US" w:eastAsia="zh-CN"/>
        </w:rPr>
        <w:t>自评工作开展过程中多次召开专题会议，认真学习，掌握评价内容及方法，对照各实施项目的内容逐条逐项自评，将年度绩效指标分解到具体完成的工作中进行评价。</w:t>
      </w:r>
      <w:r>
        <w:rPr>
          <w:rFonts w:hint="eastAsia" w:ascii="仿宋" w:hAnsi="仿宋" w:eastAsia="仿宋" w:cs="仿宋"/>
          <w:sz w:val="32"/>
          <w:szCs w:val="32"/>
          <w:lang w:eastAsia="zh-CN"/>
        </w:rPr>
        <w:t>通过对收集、整理项目实施材料，财务提交的真实、准确的各种报表</w:t>
      </w:r>
      <w:r>
        <w:rPr>
          <w:rFonts w:hint="eastAsia" w:ascii="仿宋" w:hAnsi="仿宋" w:eastAsia="仿宋" w:cs="仿宋"/>
          <w:sz w:val="32"/>
          <w:szCs w:val="32"/>
          <w:lang w:val="en-US" w:eastAsia="zh-CN"/>
        </w:rPr>
        <w:t>，</w:t>
      </w:r>
      <w:r>
        <w:rPr>
          <w:rFonts w:hint="eastAsia" w:ascii="仿宋" w:hAnsi="仿宋" w:eastAsia="仿宋" w:cs="仿宋"/>
          <w:sz w:val="32"/>
          <w:szCs w:val="32"/>
          <w:lang w:eastAsia="zh-CN"/>
        </w:rPr>
        <w:t>由项目负责人介绍项目预期绩效目标及具体实施取得的实际效果，评价小组成员集中实地检查、核实佐证材料进行评价，</w:t>
      </w:r>
      <w:r>
        <w:rPr>
          <w:rFonts w:hint="eastAsia" w:ascii="仿宋" w:hAnsi="仿宋" w:eastAsia="仿宋" w:cs="仿宋"/>
          <w:sz w:val="32"/>
          <w:szCs w:val="32"/>
          <w:lang w:val="en-US" w:eastAsia="zh-CN"/>
        </w:rPr>
        <w:t>绩效自评覆盖率达到了100% 。在评价过程中科学制定指标体系，</w:t>
      </w:r>
      <w:r>
        <w:rPr>
          <w:rFonts w:hint="eastAsia" w:ascii="仿宋" w:hAnsi="仿宋" w:eastAsia="仿宋" w:cs="仿宋"/>
          <w:sz w:val="32"/>
          <w:szCs w:val="32"/>
          <w:lang w:eastAsia="zh-CN"/>
        </w:rPr>
        <w:t>绩效指标权重按照各个评价对象的实际情况确定，总分设定为100分。原则上一级指标权重统一设置为:产出指标40分（包含数量、质量、时效、成本)、预算执行率指标10分、效益指标40分（包含经济效益、社会效益、生态效益、可持续影响)、满意度指标10 分，</w:t>
      </w:r>
      <w:r>
        <w:rPr>
          <w:rFonts w:hint="eastAsia" w:ascii="仿宋" w:hAnsi="仿宋" w:eastAsia="仿宋" w:cs="仿宋"/>
          <w:sz w:val="32"/>
          <w:szCs w:val="32"/>
        </w:rPr>
        <w:t>通过部门项目绩效自评小组集中评审，</w:t>
      </w:r>
      <w:r>
        <w:rPr>
          <w:rFonts w:hint="eastAsia" w:ascii="仿宋" w:hAnsi="仿宋" w:eastAsia="仿宋" w:cs="仿宋"/>
          <w:sz w:val="32"/>
          <w:szCs w:val="32"/>
          <w:lang w:eastAsia="zh-CN"/>
        </w:rPr>
        <w:t>我</w:t>
      </w:r>
      <w:r>
        <w:rPr>
          <w:rFonts w:hint="eastAsia" w:ascii="仿宋" w:hAnsi="仿宋" w:eastAsia="仿宋" w:cs="仿宋"/>
          <w:sz w:val="32"/>
          <w:szCs w:val="32"/>
        </w:rPr>
        <w:t>部门开展的项目评价等级均达到优。</w:t>
      </w:r>
    </w:p>
    <w:p w14:paraId="45DE72C1">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5D28614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4F7B840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Times New Roman"/>
          <w:sz w:val="32"/>
          <w:szCs w:val="32"/>
        </w:rPr>
      </w:pPr>
      <w:r>
        <w:rPr>
          <w:rFonts w:hint="eastAsia" w:ascii="仿宋" w:hAnsi="仿宋" w:eastAsia="仿宋" w:cs="仿宋"/>
          <w:sz w:val="32"/>
          <w:szCs w:val="32"/>
          <w:lang w:val="en-US" w:eastAsia="zh-CN"/>
        </w:rPr>
        <w:t>我单位项目绩效目标完成情况优秀，共计有3个项目：贫困妇女儿童救助经费、妇女代表大会经费、石财行[2022]26号关于提前下达2023年省级妇女之家建设专项资金的通知。我单位各部门项目工作开展情况良好，2023年，</w:t>
      </w:r>
      <w:r>
        <w:rPr>
          <w:rFonts w:hint="default" w:ascii="仿宋" w:hAnsi="仿宋" w:eastAsia="仿宋" w:cs="仿宋"/>
          <w:sz w:val="32"/>
          <w:szCs w:val="32"/>
          <w:lang w:val="en-US" w:eastAsia="zh-CN"/>
        </w:rPr>
        <w:t>区妇联在区委、区政府和市妇联的领导下，坚持以习近平新时代中国特色社会主义思想和党的二十大精神为指导，紧紧围绕市委、区委中心发展任务，坚持稳中求进工作总基调，积极履行组织妇女、引导妇女、服务妇女和维护妇女儿童合法权益的职责，突出特色，真抓实干，在推进藁城经济和社会各项事业的发展中充分发挥桥梁纽带作用，妇女儿童工作实现了新发展。</w:t>
      </w:r>
      <w:r>
        <w:rPr>
          <w:rFonts w:hint="eastAsia" w:ascii="仿宋" w:hAnsi="仿宋" w:eastAsia="仿宋" w:cs="仿宋"/>
          <w:sz w:val="32"/>
          <w:szCs w:val="32"/>
          <w:lang w:val="en-US" w:eastAsia="zh-CN"/>
        </w:rPr>
        <w:t>很好地完成了年初设定的工作目标</w:t>
      </w:r>
      <w:r>
        <w:rPr>
          <w:rFonts w:hint="eastAsia" w:ascii="仿宋" w:hAnsi="仿宋" w:eastAsia="仿宋" w:cs="Times New Roman"/>
          <w:sz w:val="32"/>
          <w:szCs w:val="32"/>
        </w:rPr>
        <w:t>。</w:t>
      </w:r>
    </w:p>
    <w:p w14:paraId="24A151D6">
      <w:pPr>
        <w:pStyle w:val="2"/>
        <w:rPr>
          <w:rFonts w:hint="eastAsia"/>
        </w:rPr>
      </w:pPr>
    </w:p>
    <w:p w14:paraId="455DF13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40B5FB5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仿宋_GB2312"/>
          <w:b w:val="0"/>
          <w:bCs w:val="0"/>
          <w:kern w:val="0"/>
          <w:sz w:val="32"/>
          <w:szCs w:val="32"/>
          <w:lang w:val="en-US" w:eastAsia="zh-CN"/>
        </w:rPr>
        <w:t>1、</w:t>
      </w:r>
      <w:r>
        <w:rPr>
          <w:rFonts w:hint="eastAsia" w:ascii="仿宋" w:hAnsi="仿宋" w:eastAsia="仿宋" w:cs="仿宋"/>
          <w:sz w:val="32"/>
          <w:szCs w:val="32"/>
          <w:lang w:val="en-US" w:eastAsia="zh-CN"/>
        </w:rPr>
        <w:t>贫困妇女儿童救助费项目</w:t>
      </w:r>
      <w:r>
        <w:rPr>
          <w:rFonts w:hint="eastAsia" w:ascii="仿宋_GB2312" w:hAnsi="仿宋_GB2312" w:eastAsia="仿宋_GB2312" w:cs="仿宋_GB2312"/>
          <w:b w:val="0"/>
          <w:bCs w:val="0"/>
          <w:kern w:val="0"/>
          <w:sz w:val="32"/>
          <w:szCs w:val="32"/>
          <w:lang w:val="en-US" w:eastAsia="zh-CN"/>
        </w:rPr>
        <w:t>：</w:t>
      </w:r>
      <w:r>
        <w:rPr>
          <w:rFonts w:hint="eastAsia" w:ascii="仿宋" w:hAnsi="仿宋" w:eastAsia="仿宋" w:cs="仿宋"/>
          <w:sz w:val="32"/>
          <w:szCs w:val="32"/>
          <w:lang w:val="en-US" w:eastAsia="zh-CN"/>
        </w:rPr>
        <w:t>工作目标倾听妇女意见，及时向区委、区政府反映妇女诉求；</w:t>
      </w:r>
      <w:r>
        <w:rPr>
          <w:rFonts w:hint="default" w:ascii="仿宋" w:hAnsi="仿宋" w:eastAsia="仿宋" w:cs="仿宋"/>
          <w:sz w:val="32"/>
          <w:szCs w:val="32"/>
          <w:lang w:val="en-US" w:eastAsia="zh-CN"/>
        </w:rPr>
        <w:t>贯彻基本国策，维护妇女权益，</w:t>
      </w:r>
      <w:r>
        <w:rPr>
          <w:rFonts w:hint="eastAsia" w:ascii="仿宋" w:hAnsi="仿宋" w:eastAsia="仿宋" w:cs="仿宋"/>
          <w:sz w:val="32"/>
          <w:szCs w:val="32"/>
          <w:lang w:val="en-US" w:eastAsia="zh-CN"/>
        </w:rPr>
        <w:t>关爱妇女儿童弱势群体，积极为其提供帮助；认真做好妇女信访维稳工作，促进社会和谐。</w:t>
      </w:r>
      <w:r>
        <w:rPr>
          <w:rFonts w:hint="eastAsia" w:ascii="仿宋" w:hAnsi="仿宋" w:eastAsia="仿宋" w:cs="仿宋"/>
          <w:b/>
          <w:bCs/>
          <w:sz w:val="32"/>
          <w:szCs w:val="32"/>
          <w:lang w:val="en-US" w:eastAsia="zh-CN"/>
        </w:rPr>
        <w:t>一是</w:t>
      </w:r>
      <w:r>
        <w:rPr>
          <w:rFonts w:hint="eastAsia" w:ascii="仿宋" w:hAnsi="仿宋" w:eastAsia="仿宋" w:cs="仿宋"/>
          <w:sz w:val="32"/>
          <w:szCs w:val="32"/>
          <w:lang w:val="en-US" w:eastAsia="zh-CN"/>
        </w:rPr>
        <w:t>开展“99公益”春蕾女童救助活动，共筹款10800元，救助3名小学生、2名初中生、1名高中生。</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开展“寒冬送温暖”“六一慰问”“暑期关爱”“把爱带回家”等关爱活动，关爱儿童200余人次，妇女50余人次。</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努力打造“‘藁’爱童行、守护成长”爱心爸妈巾帼志愿关爱活动品牌，</w:t>
      </w:r>
      <w:r>
        <w:rPr>
          <w:rFonts w:hint="default" w:ascii="仿宋" w:hAnsi="仿宋" w:eastAsia="仿宋" w:cs="仿宋"/>
          <w:sz w:val="32"/>
          <w:szCs w:val="32"/>
          <w:lang w:val="en-US" w:eastAsia="zh-CN"/>
        </w:rPr>
        <w:t>组织“爱心爸妈”与127名困境儿童结成“一对一”“多对一”帮扶对子，</w:t>
      </w:r>
      <w:r>
        <w:rPr>
          <w:rFonts w:hint="eastAsia" w:ascii="仿宋" w:hAnsi="仿宋" w:eastAsia="仿宋" w:cs="仿宋"/>
          <w:sz w:val="32"/>
          <w:szCs w:val="32"/>
          <w:lang w:val="en-US" w:eastAsia="zh-CN"/>
        </w:rPr>
        <w:t>定期开展关爱帮扶活动。在藁城慈善总会星火分会、心羽分会、女企业家商会3个女性社会组织建立“爱心爸妈”联盟，在“传承宫面公司、宫灯博览馆、酷吧机器人培训学校、图书馆、消防大队”等组织建立爱心驿站4个，免费提供亲子阅读、作业吧、科普益智、非遗传承、消防安全、健康义诊”等爱心服务。组织家庭教育专家、心理咨询老师、女法官、女律师对“爱心爸妈”进行赋能培训3场，对困境留守儿童进行“跟踪式”心理疏导、感情抚慰。</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14:paraId="64C430C9">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 w:hAnsi="仿宋" w:eastAsia="仿宋" w:cs="仿宋"/>
          <w:sz w:val="32"/>
          <w:szCs w:val="32"/>
          <w:lang w:val="en-US" w:eastAsia="zh-CN"/>
        </w:rPr>
      </w:pPr>
      <w:r>
        <w:rPr>
          <w:rFonts w:hint="eastAsia" w:ascii="仿宋_GB2312" w:hAnsi="仿宋_GB2312" w:eastAsia="仿宋_GB2312" w:cs="仿宋_GB2312"/>
          <w:b w:val="0"/>
          <w:bCs w:val="0"/>
          <w:kern w:val="0"/>
          <w:sz w:val="32"/>
          <w:szCs w:val="32"/>
          <w:lang w:val="en-US" w:eastAsia="zh-CN"/>
        </w:rPr>
        <w:t>2、</w:t>
      </w:r>
      <w:r>
        <w:rPr>
          <w:rFonts w:hint="eastAsia" w:ascii="仿宋" w:hAnsi="仿宋" w:eastAsia="仿宋" w:cs="仿宋"/>
          <w:sz w:val="32"/>
          <w:szCs w:val="32"/>
          <w:lang w:val="en-US" w:eastAsia="zh-CN"/>
        </w:rPr>
        <w:t>妇女代表大会项目：工作目标是团结、教育全区妇女及各类妇女组织同党中央在思想上、政治上、行动上保持高度一致，投身改革开放和社会主义经济、政治、文化和生态文明建设，提升广大妇女素质和创业就业能力。</w:t>
      </w:r>
      <w:r>
        <w:rPr>
          <w:rFonts w:hint="eastAsia" w:ascii="仿宋" w:hAnsi="仿宋" w:eastAsia="仿宋" w:cs="仿宋"/>
          <w:b/>
          <w:bCs/>
          <w:sz w:val="32"/>
          <w:szCs w:val="32"/>
          <w:lang w:val="en-US" w:eastAsia="zh-CN"/>
        </w:rPr>
        <w:t>一是</w:t>
      </w:r>
      <w:r>
        <w:rPr>
          <w:rFonts w:hint="default" w:ascii="仿宋" w:hAnsi="仿宋" w:eastAsia="仿宋" w:cs="仿宋"/>
          <w:sz w:val="32"/>
          <w:szCs w:val="32"/>
          <w:lang w:val="en-US" w:eastAsia="zh-CN"/>
        </w:rPr>
        <w:t>区妇联举办庆“三八”总结交流暨文艺展演活动，集体观看202</w:t>
      </w:r>
      <w:r>
        <w:rPr>
          <w:rFonts w:hint="eastAsia" w:ascii="仿宋" w:hAnsi="仿宋" w:eastAsia="仿宋" w:cs="仿宋"/>
          <w:sz w:val="32"/>
          <w:szCs w:val="32"/>
          <w:lang w:val="en-US" w:eastAsia="zh-CN"/>
        </w:rPr>
        <w:t>4</w:t>
      </w:r>
      <w:r>
        <w:rPr>
          <w:rFonts w:hint="default" w:ascii="仿宋" w:hAnsi="仿宋" w:eastAsia="仿宋" w:cs="仿宋"/>
          <w:sz w:val="32"/>
          <w:szCs w:val="32"/>
          <w:lang w:val="en-US" w:eastAsia="zh-CN"/>
        </w:rPr>
        <w:t>年度妇女工作专题片，对三八红旗集体、巾帼文明岗、优秀巾帼志愿服务团队以及三八红旗手、最美家庭等先进集体、个人进行了表彰，</w:t>
      </w:r>
      <w:r>
        <w:rPr>
          <w:rFonts w:hint="eastAsia" w:ascii="仿宋" w:hAnsi="仿宋" w:eastAsia="仿宋" w:cs="仿宋"/>
          <w:b/>
          <w:bCs/>
          <w:sz w:val="32"/>
          <w:szCs w:val="32"/>
          <w:lang w:val="en-US" w:eastAsia="zh-CN"/>
        </w:rPr>
        <w:t>二是</w:t>
      </w:r>
      <w:r>
        <w:rPr>
          <w:rFonts w:hint="eastAsia" w:ascii="仿宋" w:hAnsi="仿宋" w:eastAsia="仿宋" w:cs="仿宋"/>
          <w:sz w:val="32"/>
          <w:szCs w:val="32"/>
          <w:lang w:val="en-US" w:eastAsia="zh-CN"/>
        </w:rPr>
        <w:t>结合产业发展、非遗文化，推进美丽庭院创建提质扩面，努力打造宫灯、手工传承、电商直播、耿村故事、刘海庄刘海文化等特色庭院。重点做好滹沱河沿岸村美丽庭院创建工作，在区妇联微信公众号以乡镇为单位开展美丽庭院创建成果“接力晒”活动，截止目前，完成全年创建美丽庭院8768户，精品庭院2506户创建任务。7个庭院被评为石家庄市百优美丽庭院，全国农业农村部观摩团观摩了南董镇河西营村美丽庭院一条街，并深入美丽庭院查看了改厕情况，石家庄市美丽庭院创建专题片录制了南董镇河西营村美丽庭院示范街创建工作。</w:t>
      </w:r>
      <w:r>
        <w:rPr>
          <w:rFonts w:hint="eastAsia" w:ascii="仿宋" w:hAnsi="仿宋" w:eastAsia="仿宋" w:cs="仿宋"/>
          <w:b/>
          <w:bCs/>
          <w:sz w:val="32"/>
          <w:szCs w:val="32"/>
          <w:lang w:val="en-US" w:eastAsia="zh-CN"/>
        </w:rPr>
        <w:t>三是</w:t>
      </w:r>
      <w:r>
        <w:rPr>
          <w:rFonts w:hint="eastAsia" w:ascii="仿宋" w:hAnsi="仿宋" w:eastAsia="仿宋" w:cs="仿宋"/>
          <w:sz w:val="32"/>
          <w:szCs w:val="32"/>
          <w:lang w:val="en-US" w:eastAsia="zh-CN"/>
        </w:rPr>
        <w:t>开展“执委进万家、巾帼送温暖”“我是执委大家评”“爱心敲门、情暖万家”等</w:t>
      </w:r>
      <w:r>
        <w:rPr>
          <w:rFonts w:hint="default" w:ascii="仿宋" w:hAnsi="仿宋" w:eastAsia="仿宋" w:cs="仿宋"/>
          <w:sz w:val="32"/>
          <w:szCs w:val="32"/>
          <w:lang w:val="en-US" w:eastAsia="zh-CN"/>
        </w:rPr>
        <w:t>活动</w:t>
      </w:r>
      <w:r>
        <w:rPr>
          <w:rFonts w:hint="eastAsia" w:ascii="仿宋" w:hAnsi="仿宋" w:eastAsia="仿宋" w:cs="仿宋"/>
          <w:sz w:val="32"/>
          <w:szCs w:val="32"/>
          <w:lang w:val="en-US" w:eastAsia="zh-CN"/>
        </w:rPr>
        <w:t>40</w:t>
      </w:r>
      <w:r>
        <w:rPr>
          <w:rFonts w:hint="default" w:ascii="仿宋" w:hAnsi="仿宋" w:eastAsia="仿宋" w:cs="仿宋"/>
          <w:sz w:val="32"/>
          <w:szCs w:val="32"/>
          <w:lang w:val="en-US" w:eastAsia="zh-CN"/>
        </w:rPr>
        <w:t>余场，</w:t>
      </w:r>
      <w:r>
        <w:rPr>
          <w:rFonts w:hint="eastAsia" w:ascii="仿宋" w:hAnsi="仿宋" w:eastAsia="仿宋" w:cs="仿宋"/>
          <w:sz w:val="32"/>
          <w:szCs w:val="32"/>
          <w:lang w:val="en-US" w:eastAsia="zh-CN"/>
        </w:rPr>
        <w:t>举办</w:t>
      </w:r>
      <w:r>
        <w:rPr>
          <w:rFonts w:hint="default" w:ascii="仿宋" w:hAnsi="仿宋" w:eastAsia="仿宋" w:cs="仿宋"/>
          <w:sz w:val="32"/>
          <w:szCs w:val="32"/>
          <w:lang w:val="en-US" w:eastAsia="zh-CN"/>
        </w:rPr>
        <w:t>基层妇联领头雁培训</w:t>
      </w:r>
      <w:r>
        <w:rPr>
          <w:rFonts w:hint="eastAsia" w:ascii="仿宋" w:hAnsi="仿宋" w:eastAsia="仿宋" w:cs="仿宋"/>
          <w:sz w:val="32"/>
          <w:szCs w:val="32"/>
          <w:lang w:val="en-US" w:eastAsia="zh-CN"/>
        </w:rPr>
        <w:t>24</w:t>
      </w:r>
      <w:r>
        <w:rPr>
          <w:rFonts w:hint="default" w:ascii="仿宋" w:hAnsi="仿宋" w:eastAsia="仿宋" w:cs="仿宋"/>
          <w:sz w:val="32"/>
          <w:szCs w:val="32"/>
          <w:lang w:val="en-US" w:eastAsia="zh-CN"/>
        </w:rPr>
        <w:t>场</w:t>
      </w:r>
      <w:r>
        <w:rPr>
          <w:rFonts w:hint="eastAsia" w:ascii="仿宋" w:hAnsi="仿宋" w:eastAsia="仿宋" w:cs="仿宋"/>
          <w:sz w:val="32"/>
          <w:szCs w:val="32"/>
          <w:lang w:val="en-US" w:eastAsia="zh-CN"/>
        </w:rPr>
        <w:t>。六是结合儿童友好城市创建，紧紧围绕“社会政策友好、公共服务友好、权利保障友好、成长空间友好、发展环境友好”五大友好开展系列儿童友好主题活动75场。我区在省、市工作推进会上作3次典型发言。人民日报、中国妇女报、冀时办、无线石家庄等多家权威媒体报道我区特色工作10余次，我区巾帼网格员助力基层社会治理做法在全省推广。</w:t>
      </w:r>
      <w:r>
        <w:rPr>
          <w:rFonts w:hint="eastAsia" w:ascii="仿宋" w:hAnsi="仿宋" w:eastAsia="仿宋" w:cs="仿宋"/>
          <w:b/>
          <w:bCs/>
          <w:sz w:val="32"/>
          <w:szCs w:val="32"/>
          <w:lang w:val="en-US" w:eastAsia="zh-CN"/>
        </w:rPr>
        <w:t>四是</w:t>
      </w:r>
      <w:r>
        <w:rPr>
          <w:rFonts w:hint="eastAsia" w:ascii="仿宋" w:hAnsi="仿宋" w:eastAsia="仿宋" w:cs="仿宋"/>
          <w:sz w:val="32"/>
          <w:szCs w:val="32"/>
          <w:lang w:val="en-US" w:eastAsia="zh-CN"/>
        </w:rPr>
        <w:t>荣获多项荣誉：藁城区妇联被评为河北省“五星妇联”；“石家庄市强基增效行动五星妇联”；国税局第一税务分局被评为“河北省三八红旗集体”；赵静同志被评为河北省百名优秀妇联执委典型；石家庄易爱家政服务有限公司被评为“河北省五星级巾帼家政基地”；尹雪涛、李小丽被评为“2024年河北省五星级河北福嫂”；尹雪涛荣获石家庄市“河北福嫂·燕赵家政”职业技能擂台赛母婴护理组一等奖、河北省“河北福嫂·燕赵家政”职业技能擂台赛母婴护理员三等奖。</w:t>
      </w:r>
      <w:r>
        <w:rPr>
          <w:rFonts w:hint="eastAsia" w:ascii="仿宋" w:hAnsi="仿宋" w:eastAsia="仿宋" w:cs="宋体"/>
          <w:sz w:val="32"/>
          <w:szCs w:val="32"/>
          <w:lang w:val="en-US" w:eastAsia="zh-CN"/>
        </w:rPr>
        <w:t>项目绩效目标全部完成，</w:t>
      </w:r>
      <w:r>
        <w:rPr>
          <w:rFonts w:hint="eastAsia" w:ascii="仿宋_GB2312" w:hAnsi="仿宋_GB2312" w:eastAsia="仿宋_GB2312" w:cs="仿宋_GB2312"/>
          <w:b w:val="0"/>
          <w:bCs w:val="0"/>
          <w:kern w:val="0"/>
          <w:sz w:val="32"/>
          <w:szCs w:val="32"/>
          <w:lang w:val="en-US" w:eastAsia="zh-CN"/>
        </w:rPr>
        <w:t>自评得分95分。</w:t>
      </w:r>
    </w:p>
    <w:p w14:paraId="46583A9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sz w:val="32"/>
          <w:szCs w:val="32"/>
          <w:lang w:val="en-US" w:eastAsia="zh-CN"/>
        </w:rPr>
      </w:pPr>
      <w:r>
        <w:rPr>
          <w:rFonts w:hint="eastAsia" w:ascii="仿宋_GB2312" w:hAnsi="仿宋_GB2312" w:eastAsia="仿宋_GB2312" w:cs="仿宋_GB2312"/>
          <w:b w:val="0"/>
          <w:bCs w:val="0"/>
          <w:kern w:val="0"/>
          <w:sz w:val="32"/>
          <w:szCs w:val="32"/>
          <w:lang w:val="en-US" w:eastAsia="zh-CN"/>
        </w:rPr>
        <w:t>3、</w:t>
      </w:r>
      <w:r>
        <w:rPr>
          <w:rFonts w:hint="eastAsia" w:ascii="仿宋" w:hAnsi="仿宋" w:eastAsia="仿宋" w:cs="仿宋"/>
          <w:b w:val="0"/>
          <w:bCs w:val="0"/>
          <w:sz w:val="32"/>
          <w:szCs w:val="32"/>
          <w:lang w:val="en-US" w:eastAsia="zh-CN"/>
        </w:rPr>
        <w:t>石财行[2023]44号关于提前下达2024年省级妇女之家建设专项资金的通知项目，该项目的工作目标是在石家庄市藁城区</w:t>
      </w:r>
      <w:r>
        <w:rPr>
          <w:rFonts w:hint="default" w:ascii="仿宋" w:hAnsi="仿宋" w:eastAsia="仿宋" w:cs="仿宋"/>
          <w:b w:val="0"/>
          <w:bCs w:val="0"/>
          <w:sz w:val="32"/>
          <w:szCs w:val="32"/>
          <w:lang w:val="en-US" w:eastAsia="zh-CN"/>
        </w:rPr>
        <w:t>九门乡只照村</w:t>
      </w:r>
      <w:r>
        <w:rPr>
          <w:rFonts w:hint="eastAsia" w:ascii="仿宋" w:hAnsi="仿宋" w:eastAsia="仿宋" w:cs="仿宋"/>
          <w:b w:val="0"/>
          <w:bCs w:val="0"/>
          <w:sz w:val="32"/>
          <w:szCs w:val="32"/>
          <w:lang w:val="en-US" w:eastAsia="zh-CN"/>
        </w:rPr>
        <w:t>建成2024年度省级“示范妇女之家 ”。我区妇联积极</w:t>
      </w:r>
      <w:r>
        <w:rPr>
          <w:rFonts w:hint="default" w:ascii="仿宋" w:hAnsi="仿宋" w:eastAsia="仿宋" w:cs="仿宋"/>
          <w:b w:val="0"/>
          <w:bCs w:val="0"/>
          <w:sz w:val="32"/>
          <w:szCs w:val="32"/>
          <w:lang w:val="en-US" w:eastAsia="zh-CN"/>
        </w:rPr>
        <w:t>争取省妇联8.5万元资金，建成九门乡只照村省级示范妇女儿童之家，配备了电脑、桌椅、沙发、儿童玩具等设施设备</w:t>
      </w:r>
      <w:r>
        <w:rPr>
          <w:rFonts w:hint="eastAsia" w:ascii="仿宋" w:hAnsi="仿宋" w:eastAsia="仿宋" w:cs="仿宋"/>
          <w:b w:val="0"/>
          <w:bCs w:val="0"/>
          <w:sz w:val="32"/>
          <w:szCs w:val="32"/>
          <w:lang w:val="en-US" w:eastAsia="zh-CN"/>
        </w:rPr>
        <w:t>；该妇女之家充分利用“妇女之家”活动阵地，在妇女讲习所有针对性的开展妇女宣传教育活动，宣传党的路线方针政策，宣传普及有关妇幼保健、家庭教育、法律法规等相关知识。面向妇女儿童和家庭，积极开展面对面的维权服务，做好解疑释惑、化解矛盾、维护稳定、增进和谐的工作，在关键时间节点开展普法讲座、法律咨询服务，宣传普及《妇女权益保障法》、《婚姻法》、《反家庭暴力法》等法律法规。由村妇联主席建立妇女维权群，为社区妇女儿童提供了维权服务；开展信访接待咨询，做到记录详细、联系及时、协调到位、结果明确。引导妇女和家庭成员积极参与“好媳妇好婆婆”、“最美家庭”、“美丽庭院”等评比活动；组织开展形式多样的文化、体育、娱乐活动，满足妇女和家庭成员的精神文化需求。在春节、三八节、六一儿童节等节日期间，整合社会资源，开展对困难留守妇女儿童关爱帮扶活动。组织巾帼志愿者在节日期间走进留守妇女儿童、空巢老人家中为他们送去温暖。该村活动主题鲜明，妇女参与热情高涨，活动成效明显，受到妇女儿童的一致好评。项目绩效目标全部完成，自评得分96分。</w:t>
      </w:r>
    </w:p>
    <w:p w14:paraId="14B414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b w:val="0"/>
          <w:bCs w:val="0"/>
          <w:sz w:val="32"/>
          <w:szCs w:val="32"/>
          <w:lang w:val="en-US" w:eastAsia="zh-CN"/>
        </w:rPr>
      </w:pPr>
    </w:p>
    <w:p w14:paraId="1528605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tbl>
      <w:tblPr>
        <w:tblStyle w:val="10"/>
        <w:tblpPr w:leftFromText="180" w:rightFromText="180" w:vertAnchor="text" w:horzAnchor="page" w:tblpX="1408" w:tblpY="584"/>
        <w:tblOverlap w:val="never"/>
        <w:tblW w:w="934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665"/>
        <w:gridCol w:w="1395"/>
        <w:gridCol w:w="1335"/>
        <w:gridCol w:w="1560"/>
        <w:gridCol w:w="1485"/>
        <w:gridCol w:w="900"/>
      </w:tblGrid>
      <w:tr w14:paraId="2405A9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0F54E952">
            <w:pPr>
              <w:snapToGrid w:val="0"/>
              <w:spacing w:line="360" w:lineRule="auto"/>
              <w:ind w:firstLine="720" w:firstLineChars="300"/>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项目名称</w:t>
            </w:r>
          </w:p>
        </w:tc>
        <w:tc>
          <w:tcPr>
            <w:tcW w:w="1395" w:type="dxa"/>
          </w:tcPr>
          <w:p w14:paraId="2A7EBAA4">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产出</w:t>
            </w:r>
            <w:r>
              <w:rPr>
                <w:rFonts w:hint="eastAsia" w:ascii="仿宋" w:hAnsi="仿宋" w:eastAsia="仿宋" w:cs="黑体"/>
                <w:sz w:val="24"/>
                <w:highlight w:val="none"/>
              </w:rPr>
              <w:t>指标</w:t>
            </w:r>
            <w:r>
              <w:rPr>
                <w:rFonts w:hint="eastAsia" w:ascii="仿宋" w:hAnsi="仿宋" w:eastAsia="仿宋" w:cs="黑体"/>
                <w:sz w:val="24"/>
                <w:highlight w:val="none"/>
                <w:lang w:eastAsia="zh-CN"/>
              </w:rPr>
              <w:t>完成得分情况</w:t>
            </w:r>
          </w:p>
        </w:tc>
        <w:tc>
          <w:tcPr>
            <w:tcW w:w="1335" w:type="dxa"/>
          </w:tcPr>
          <w:p w14:paraId="45958DA4">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预算执行率指标完成得分情况</w:t>
            </w:r>
          </w:p>
        </w:tc>
        <w:tc>
          <w:tcPr>
            <w:tcW w:w="1560" w:type="dxa"/>
          </w:tcPr>
          <w:p w14:paraId="2CC62D5D">
            <w:pPr>
              <w:snapToGrid w:val="0"/>
              <w:spacing w:line="360" w:lineRule="auto"/>
              <w:rPr>
                <w:rFonts w:ascii="仿宋" w:hAnsi="仿宋" w:eastAsia="仿宋" w:cs="黑体"/>
                <w:sz w:val="24"/>
                <w:highlight w:val="none"/>
              </w:rPr>
            </w:pPr>
            <w:r>
              <w:rPr>
                <w:rFonts w:hint="eastAsia" w:ascii="仿宋" w:hAnsi="仿宋" w:eastAsia="仿宋" w:cs="黑体"/>
                <w:sz w:val="24"/>
                <w:highlight w:val="none"/>
                <w:lang w:eastAsia="zh-CN"/>
              </w:rPr>
              <w:t>效益指标完成得分情况</w:t>
            </w:r>
          </w:p>
        </w:tc>
        <w:tc>
          <w:tcPr>
            <w:tcW w:w="1485" w:type="dxa"/>
          </w:tcPr>
          <w:p w14:paraId="50CFF09D">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满意度指标完成得分情况</w:t>
            </w:r>
          </w:p>
        </w:tc>
        <w:tc>
          <w:tcPr>
            <w:tcW w:w="900" w:type="dxa"/>
          </w:tcPr>
          <w:p w14:paraId="5B274927">
            <w:pPr>
              <w:snapToGrid w:val="0"/>
              <w:spacing w:line="360" w:lineRule="auto"/>
              <w:rPr>
                <w:rFonts w:hint="eastAsia" w:ascii="仿宋" w:hAnsi="仿宋" w:eastAsia="仿宋" w:cs="黑体"/>
                <w:sz w:val="24"/>
                <w:highlight w:val="none"/>
                <w:lang w:eastAsia="zh-CN"/>
              </w:rPr>
            </w:pPr>
            <w:r>
              <w:rPr>
                <w:rFonts w:hint="eastAsia" w:ascii="仿宋" w:hAnsi="仿宋" w:eastAsia="仿宋" w:cs="黑体"/>
                <w:sz w:val="24"/>
                <w:highlight w:val="none"/>
                <w:lang w:eastAsia="zh-CN"/>
              </w:rPr>
              <w:t>自评得分</w:t>
            </w:r>
          </w:p>
        </w:tc>
      </w:tr>
      <w:tr w14:paraId="2E30C1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6AD51EBA">
            <w:pPr>
              <w:snapToGrid w:val="0"/>
              <w:spacing w:line="360" w:lineRule="auto"/>
              <w:jc w:val="center"/>
              <w:rPr>
                <w:rFonts w:hint="eastAsia" w:ascii="仿宋" w:hAnsi="仿宋" w:eastAsia="仿宋" w:cs="黑体"/>
                <w:sz w:val="24"/>
                <w:highlight w:val="none"/>
                <w:lang w:val="en-US" w:eastAsia="zh-CN"/>
              </w:rPr>
            </w:pPr>
            <w:r>
              <w:rPr>
                <w:rFonts w:hint="eastAsia" w:ascii="仿宋" w:hAnsi="仿宋" w:eastAsia="仿宋" w:cs="黑体"/>
                <w:sz w:val="24"/>
                <w:highlight w:val="none"/>
              </w:rPr>
              <w:t>1、</w:t>
            </w:r>
            <w:r>
              <w:rPr>
                <w:rFonts w:hint="eastAsia" w:ascii="仿宋" w:hAnsi="仿宋" w:eastAsia="仿宋" w:cs="黑体"/>
                <w:sz w:val="24"/>
                <w:highlight w:val="none"/>
                <w:lang w:val="en-US" w:eastAsia="zh-CN"/>
              </w:rPr>
              <w:t>贫困妇女儿童救助费</w:t>
            </w:r>
          </w:p>
        </w:tc>
        <w:tc>
          <w:tcPr>
            <w:tcW w:w="1395" w:type="dxa"/>
            <w:vAlign w:val="center"/>
          </w:tcPr>
          <w:p w14:paraId="4503660A">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5E04BE2C">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51EAE39A">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14:paraId="76CE438B">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74C9ABA3">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14:paraId="0D4305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2C95354C">
            <w:pPr>
              <w:snapToGrid w:val="0"/>
              <w:spacing w:line="360" w:lineRule="auto"/>
              <w:jc w:val="center"/>
              <w:rPr>
                <w:rFonts w:hint="eastAsia" w:ascii="仿宋" w:hAnsi="仿宋" w:eastAsia="仿宋" w:cs="黑体"/>
                <w:sz w:val="24"/>
                <w:highlight w:val="none"/>
              </w:rPr>
            </w:pPr>
            <w:r>
              <w:rPr>
                <w:rFonts w:hint="eastAsia" w:ascii="仿宋" w:hAnsi="仿宋" w:eastAsia="仿宋" w:cs="黑体"/>
                <w:sz w:val="24"/>
                <w:highlight w:val="none"/>
                <w:lang w:val="en-US" w:eastAsia="zh-CN"/>
              </w:rPr>
              <w:t>2、妇女代表大会经费</w:t>
            </w:r>
          </w:p>
        </w:tc>
        <w:tc>
          <w:tcPr>
            <w:tcW w:w="1395" w:type="dxa"/>
            <w:vAlign w:val="center"/>
          </w:tcPr>
          <w:p w14:paraId="4F8734EE">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7EB733C2">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2F7D165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35</w:t>
            </w:r>
          </w:p>
        </w:tc>
        <w:tc>
          <w:tcPr>
            <w:tcW w:w="1485" w:type="dxa"/>
            <w:vAlign w:val="center"/>
          </w:tcPr>
          <w:p w14:paraId="473A0D47">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131F1392">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w:t>
            </w:r>
          </w:p>
        </w:tc>
      </w:tr>
      <w:tr w14:paraId="047CBA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vAlign w:val="center"/>
          </w:tcPr>
          <w:p w14:paraId="0292A0EC">
            <w:pPr>
              <w:snapToGrid w:val="0"/>
              <w:spacing w:line="360" w:lineRule="auto"/>
              <w:jc w:val="left"/>
              <w:rPr>
                <w:rFonts w:hint="eastAsia" w:ascii="仿宋" w:hAnsi="仿宋" w:eastAsia="仿宋" w:cs="黑体"/>
                <w:sz w:val="24"/>
                <w:highlight w:val="none"/>
                <w:lang w:eastAsia="zh-CN"/>
              </w:rPr>
            </w:pPr>
            <w:r>
              <w:rPr>
                <w:rFonts w:hint="eastAsia" w:ascii="仿宋" w:hAnsi="仿宋" w:eastAsia="仿宋" w:cs="黑体"/>
                <w:sz w:val="24"/>
                <w:highlight w:val="none"/>
                <w:lang w:val="en-US" w:eastAsia="zh-CN"/>
              </w:rPr>
              <w:t>3、石财行[2023]44号关于提前下达2024年省级妇女之家建设专项资金的通知</w:t>
            </w:r>
          </w:p>
        </w:tc>
        <w:tc>
          <w:tcPr>
            <w:tcW w:w="1395" w:type="dxa"/>
            <w:vAlign w:val="center"/>
          </w:tcPr>
          <w:p w14:paraId="1D3B9C1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40</w:t>
            </w:r>
          </w:p>
        </w:tc>
        <w:tc>
          <w:tcPr>
            <w:tcW w:w="1335" w:type="dxa"/>
            <w:vAlign w:val="center"/>
          </w:tcPr>
          <w:p w14:paraId="07585E18">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1560" w:type="dxa"/>
            <w:vAlign w:val="center"/>
          </w:tcPr>
          <w:p w14:paraId="650B8D9E">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36</w:t>
            </w:r>
          </w:p>
        </w:tc>
        <w:tc>
          <w:tcPr>
            <w:tcW w:w="1485" w:type="dxa"/>
            <w:vAlign w:val="center"/>
          </w:tcPr>
          <w:p w14:paraId="5D45B314">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10</w:t>
            </w:r>
          </w:p>
        </w:tc>
        <w:tc>
          <w:tcPr>
            <w:tcW w:w="900" w:type="dxa"/>
            <w:vAlign w:val="center"/>
          </w:tcPr>
          <w:p w14:paraId="0F64C343">
            <w:pPr>
              <w:snapToGrid w:val="0"/>
              <w:spacing w:line="360" w:lineRule="auto"/>
              <w:jc w:val="center"/>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96</w:t>
            </w:r>
          </w:p>
        </w:tc>
      </w:tr>
      <w:tr w14:paraId="12A2C6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2665" w:type="dxa"/>
          </w:tcPr>
          <w:p w14:paraId="0966FDC6">
            <w:pPr>
              <w:snapToGrid w:val="0"/>
              <w:spacing w:line="360" w:lineRule="auto"/>
              <w:rPr>
                <w:rFonts w:hint="eastAsia" w:ascii="仿宋" w:hAnsi="仿宋" w:eastAsia="仿宋" w:cs="黑体"/>
                <w:sz w:val="24"/>
                <w:highlight w:val="none"/>
                <w:lang w:val="en-US" w:eastAsia="zh-CN"/>
              </w:rPr>
            </w:pPr>
            <w:r>
              <w:rPr>
                <w:rFonts w:hint="eastAsia" w:ascii="仿宋" w:hAnsi="仿宋" w:eastAsia="仿宋" w:cs="黑体"/>
                <w:sz w:val="24"/>
                <w:highlight w:val="none"/>
                <w:lang w:val="en-US" w:eastAsia="zh-CN"/>
              </w:rPr>
              <w:t>平均得分</w:t>
            </w:r>
          </w:p>
        </w:tc>
        <w:tc>
          <w:tcPr>
            <w:tcW w:w="1395" w:type="dxa"/>
          </w:tcPr>
          <w:p w14:paraId="4FCBB27C">
            <w:pPr>
              <w:snapToGrid w:val="0"/>
              <w:spacing w:line="360" w:lineRule="auto"/>
              <w:ind w:firstLine="240" w:firstLineChars="100"/>
              <w:rPr>
                <w:rFonts w:hint="eastAsia" w:ascii="仿宋" w:hAnsi="仿宋" w:eastAsia="仿宋" w:cs="黑体"/>
                <w:sz w:val="24"/>
                <w:highlight w:val="none"/>
              </w:rPr>
            </w:pPr>
          </w:p>
        </w:tc>
        <w:tc>
          <w:tcPr>
            <w:tcW w:w="1335" w:type="dxa"/>
          </w:tcPr>
          <w:p w14:paraId="3A2ABA04">
            <w:pPr>
              <w:snapToGrid w:val="0"/>
              <w:spacing w:line="360" w:lineRule="auto"/>
              <w:rPr>
                <w:rFonts w:hint="eastAsia" w:ascii="仿宋" w:hAnsi="仿宋" w:eastAsia="仿宋" w:cs="黑体"/>
                <w:sz w:val="24"/>
                <w:highlight w:val="none"/>
              </w:rPr>
            </w:pPr>
          </w:p>
        </w:tc>
        <w:tc>
          <w:tcPr>
            <w:tcW w:w="1560" w:type="dxa"/>
          </w:tcPr>
          <w:p w14:paraId="74689524">
            <w:pPr>
              <w:snapToGrid w:val="0"/>
              <w:spacing w:line="360" w:lineRule="auto"/>
              <w:rPr>
                <w:rFonts w:hint="eastAsia" w:ascii="仿宋" w:hAnsi="仿宋" w:eastAsia="仿宋" w:cs="黑体"/>
                <w:sz w:val="24"/>
                <w:highlight w:val="none"/>
              </w:rPr>
            </w:pPr>
          </w:p>
        </w:tc>
        <w:tc>
          <w:tcPr>
            <w:tcW w:w="1485" w:type="dxa"/>
          </w:tcPr>
          <w:p w14:paraId="12F7F64B">
            <w:pPr>
              <w:snapToGrid w:val="0"/>
              <w:spacing w:line="360" w:lineRule="auto"/>
              <w:rPr>
                <w:rFonts w:hint="eastAsia" w:ascii="仿宋" w:hAnsi="仿宋" w:eastAsia="仿宋" w:cs="黑体"/>
                <w:sz w:val="24"/>
                <w:highlight w:val="none"/>
              </w:rPr>
            </w:pPr>
          </w:p>
        </w:tc>
        <w:tc>
          <w:tcPr>
            <w:tcW w:w="900" w:type="dxa"/>
          </w:tcPr>
          <w:p w14:paraId="4EB33CB3">
            <w:pPr>
              <w:snapToGrid w:val="0"/>
              <w:spacing w:line="360" w:lineRule="auto"/>
              <w:rPr>
                <w:rFonts w:hint="default" w:ascii="仿宋" w:hAnsi="仿宋" w:eastAsia="仿宋" w:cs="黑体"/>
                <w:sz w:val="24"/>
                <w:highlight w:val="none"/>
                <w:lang w:val="en-US" w:eastAsia="zh-CN"/>
              </w:rPr>
            </w:pPr>
            <w:r>
              <w:rPr>
                <w:rFonts w:hint="eastAsia" w:ascii="仿宋" w:hAnsi="仿宋" w:eastAsia="仿宋" w:cs="黑体"/>
                <w:sz w:val="24"/>
                <w:highlight w:val="none"/>
                <w:lang w:val="en-US" w:eastAsia="zh-CN"/>
              </w:rPr>
              <w:t>95.3</w:t>
            </w:r>
          </w:p>
        </w:tc>
      </w:tr>
    </w:tbl>
    <w:p w14:paraId="276C13F9">
      <w:pPr>
        <w:pStyle w:val="2"/>
        <w:numPr>
          <w:ilvl w:val="0"/>
          <w:numId w:val="0"/>
        </w:numPr>
        <w:ind w:leftChars="200"/>
        <w:rPr>
          <w:rFonts w:hint="eastAsia"/>
          <w:lang w:eastAsia="zh-CN"/>
        </w:rPr>
      </w:pPr>
    </w:p>
    <w:p w14:paraId="19F13EF9">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sz w:val="32"/>
          <w:szCs w:val="32"/>
          <w:lang w:eastAsia="zh-CN"/>
        </w:rPr>
        <w:t>，并</w:t>
      </w:r>
      <w:r>
        <w:rPr>
          <w:rFonts w:hint="eastAsia" w:ascii="仿宋" w:hAnsi="仿宋" w:eastAsia="仿宋"/>
          <w:sz w:val="32"/>
          <w:szCs w:val="32"/>
        </w:rPr>
        <w:t>得出综合绩效评价等级。</w:t>
      </w:r>
      <w:r>
        <w:rPr>
          <w:rFonts w:hint="eastAsia" w:ascii="仿宋" w:hAnsi="仿宋" w:eastAsia="仿宋"/>
          <w:sz w:val="32"/>
          <w:szCs w:val="32"/>
          <w:lang w:eastAsia="zh-CN"/>
        </w:rPr>
        <w:t>我部门整体支出</w:t>
      </w:r>
      <w:r>
        <w:rPr>
          <w:rFonts w:hint="eastAsia" w:ascii="仿宋" w:hAnsi="仿宋" w:eastAsia="仿宋"/>
          <w:sz w:val="32"/>
          <w:szCs w:val="32"/>
        </w:rPr>
        <w:t>综合绩效评价</w:t>
      </w:r>
      <w:r>
        <w:rPr>
          <w:rFonts w:hint="eastAsia" w:ascii="仿宋" w:hAnsi="仿宋" w:eastAsia="仿宋"/>
          <w:sz w:val="32"/>
          <w:szCs w:val="32"/>
          <w:lang w:eastAsia="zh-CN"/>
        </w:rPr>
        <w:t>平均得分</w:t>
      </w:r>
      <w:r>
        <w:rPr>
          <w:rFonts w:hint="eastAsia" w:ascii="仿宋" w:hAnsi="仿宋" w:eastAsia="仿宋"/>
          <w:sz w:val="32"/>
          <w:szCs w:val="32"/>
          <w:lang w:val="en-US" w:eastAsia="zh-CN"/>
        </w:rPr>
        <w:t>95.3分，</w:t>
      </w:r>
      <w:r>
        <w:rPr>
          <w:rFonts w:hint="eastAsia" w:ascii="仿宋" w:hAnsi="仿宋" w:eastAsia="仿宋"/>
          <w:sz w:val="32"/>
          <w:szCs w:val="32"/>
        </w:rPr>
        <w:t>绩效评价等级</w:t>
      </w:r>
      <w:r>
        <w:rPr>
          <w:rFonts w:hint="eastAsia" w:ascii="仿宋" w:hAnsi="仿宋" w:eastAsia="仿宋"/>
          <w:sz w:val="32"/>
          <w:szCs w:val="32"/>
          <w:lang w:eastAsia="zh-CN"/>
        </w:rPr>
        <w:t>为</w:t>
      </w:r>
      <w:r>
        <w:rPr>
          <w:rFonts w:hint="eastAsia" w:ascii="仿宋" w:hAnsi="仿宋" w:eastAsia="仿宋"/>
          <w:sz w:val="32"/>
          <w:szCs w:val="32"/>
          <w:lang w:val="en-US" w:eastAsia="zh-CN"/>
        </w:rPr>
        <w:t>优秀。</w:t>
      </w:r>
    </w:p>
    <w:p w14:paraId="31F6EEFB">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cs="Times New Roman"/>
          <w:sz w:val="32"/>
          <w:szCs w:val="32"/>
          <w:lang w:val="en-US" w:eastAsia="zh-CN"/>
        </w:rPr>
        <w:t>五、</w:t>
      </w:r>
      <w:r>
        <w:rPr>
          <w:rFonts w:hint="eastAsia" w:ascii="黑体" w:hAnsi="黑体" w:eastAsia="黑体"/>
          <w:sz w:val="32"/>
          <w:szCs w:val="32"/>
        </w:rPr>
        <w:t>存在的问题及改进措施</w:t>
      </w:r>
    </w:p>
    <w:p w14:paraId="19E8648F">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53238B7D">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仿宋" w:hAnsi="仿宋" w:eastAsia="仿宋" w:cs="Times New Roman"/>
          <w:sz w:val="32"/>
          <w:szCs w:val="32"/>
          <w:lang w:val="en-US" w:eastAsia="zh-CN"/>
        </w:rPr>
      </w:pPr>
      <w:r>
        <w:rPr>
          <w:rFonts w:hint="eastAsia" w:ascii="仿宋" w:hAnsi="仿宋" w:eastAsia="仿宋" w:cs="Times New Roman"/>
          <w:sz w:val="32"/>
          <w:szCs w:val="32"/>
          <w:lang w:val="en-US" w:eastAsia="zh-CN"/>
        </w:rPr>
        <w:t>我部门2024年度绩效目标全部按时完成，在绩效评价工作过程中，我部门预算绩效管理评价工作小组发现，石财行[2023]44号关于提前下达2024年省级妇女之家建设专项资金的通知项目经费项目项目在中期评估时曾经存在1个问题：</w:t>
      </w:r>
    </w:p>
    <w:p w14:paraId="3DEBBE50">
      <w:pPr>
        <w:pStyle w:val="2"/>
        <w:rPr>
          <w:rFonts w:hint="eastAsia"/>
        </w:rPr>
      </w:pPr>
      <w:r>
        <w:rPr>
          <w:rFonts w:hint="default" w:ascii="仿宋" w:hAnsi="仿宋" w:eastAsia="仿宋" w:cs="仿宋"/>
          <w:b w:val="0"/>
          <w:bCs w:val="0"/>
          <w:sz w:val="32"/>
          <w:szCs w:val="32"/>
          <w:lang w:val="en-US" w:eastAsia="zh-CN"/>
        </w:rPr>
        <w:t>九门乡只照村省级示范妇女儿童之家</w:t>
      </w:r>
      <w:r>
        <w:rPr>
          <w:rFonts w:hint="eastAsia" w:ascii="仿宋" w:hAnsi="仿宋" w:eastAsia="仿宋" w:cs="仿宋"/>
          <w:b w:val="0"/>
          <w:bCs w:val="0"/>
          <w:sz w:val="32"/>
          <w:szCs w:val="32"/>
          <w:lang w:val="en-US" w:eastAsia="zh-CN"/>
        </w:rPr>
        <w:t>在项目执行过程中个别合同无骑缝章。</w:t>
      </w:r>
    </w:p>
    <w:p w14:paraId="1731FC55">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针对问题提出具体的改进措施或建议</w:t>
      </w:r>
    </w:p>
    <w:p w14:paraId="5D8D7A81">
      <w:pPr>
        <w:keepNext w:val="0"/>
        <w:keepLines w:val="0"/>
        <w:pageBreakBefore w:val="0"/>
        <w:widowControl w:val="0"/>
        <w:numPr>
          <w:ilvl w:val="0"/>
          <w:numId w:val="0"/>
        </w:numPr>
        <w:kinsoku/>
        <w:wordWrap/>
        <w:overflowPunct/>
        <w:topLinePunct w:val="0"/>
        <w:autoSpaceDE/>
        <w:autoSpaceDN/>
        <w:bidi w:val="0"/>
        <w:spacing w:line="560" w:lineRule="exact"/>
        <w:ind w:firstLine="420" w:firstLineChars="200"/>
        <w:textAlignment w:val="auto"/>
        <w:rPr>
          <w:rFonts w:hint="eastAsia"/>
        </w:rPr>
      </w:pPr>
      <w:r>
        <w:rPr>
          <w:rFonts w:hint="eastAsia"/>
          <w:lang w:val="en-US" w:eastAsia="zh-CN"/>
        </w:rPr>
        <w:t xml:space="preserve"> </w:t>
      </w:r>
      <w:r>
        <w:rPr>
          <w:rFonts w:hint="eastAsia" w:ascii="仿宋" w:hAnsi="仿宋" w:eastAsia="仿宋" w:cs="仿宋"/>
          <w:sz w:val="32"/>
          <w:szCs w:val="32"/>
          <w:lang w:val="en-US" w:eastAsia="zh-CN"/>
        </w:rPr>
        <w:t>我们按照省市妇联要求，对照中期评估整改意见，坚持问题导向，对发现的问题进行整改，在规定时间内已全部整改完毕，该妇女之家已于9月底前按时按质按量完成创建工作。</w:t>
      </w:r>
    </w:p>
    <w:p w14:paraId="2CFCCC5D">
      <w:pPr>
        <w:pStyle w:val="2"/>
        <w:numPr>
          <w:ilvl w:val="0"/>
          <w:numId w:val="0"/>
        </w:numPr>
        <w:ind w:leftChars="400"/>
        <w:rPr>
          <w:rFonts w:hint="eastAsia"/>
        </w:rPr>
      </w:pPr>
    </w:p>
    <w:p w14:paraId="67D4754E">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bookmarkStart w:id="0" w:name="_GoBack"/>
      <w:bookmarkEnd w:id="0"/>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0C75874-FF11-49BB-B87B-AD2916B6FCBD}"/>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2" w:fontKey="{DBB38E18-4E7C-43E9-B267-F6E8F36C965D}"/>
  </w:font>
  <w:font w:name="方正小标宋_GBK">
    <w:panose1 w:val="02000000000000000000"/>
    <w:charset w:val="86"/>
    <w:family w:val="auto"/>
    <w:pitch w:val="default"/>
    <w:sig w:usb0="A00002BF" w:usb1="38CF7CFA" w:usb2="00082016" w:usb3="00000000" w:csb0="00040001" w:csb1="00000000"/>
    <w:embedRegular r:id="rId3" w:fontKey="{A5543201-119E-4EC2-AA5E-569657573E82}"/>
  </w:font>
  <w:font w:name="方正小标宋简体">
    <w:panose1 w:val="02000000000000000000"/>
    <w:charset w:val="86"/>
    <w:family w:val="auto"/>
    <w:pitch w:val="default"/>
    <w:sig w:usb0="00000001" w:usb1="08000000" w:usb2="00000000" w:usb3="00000000" w:csb0="00040000" w:csb1="00000000"/>
    <w:embedRegular r:id="rId4" w:fontKey="{7972B7C2-5C30-4098-871A-12F11C3B19B4}"/>
  </w:font>
  <w:font w:name="楷体_GB2312">
    <w:panose1 w:val="02010609030101010101"/>
    <w:charset w:val="86"/>
    <w:family w:val="auto"/>
    <w:pitch w:val="default"/>
    <w:sig w:usb0="00000001" w:usb1="080E0000" w:usb2="00000000" w:usb3="00000000" w:csb0="00040000" w:csb1="00000000"/>
    <w:embedRegular r:id="rId5" w:fontKey="{03160367-101F-4018-A60E-014ADF1CC835}"/>
  </w:font>
  <w:font w:name="仿宋">
    <w:panose1 w:val="02010609060101010101"/>
    <w:charset w:val="86"/>
    <w:family w:val="auto"/>
    <w:pitch w:val="default"/>
    <w:sig w:usb0="800002BF" w:usb1="38CF7CFA" w:usb2="00000016" w:usb3="00000000" w:csb0="00040001" w:csb1="00000000"/>
    <w:embedRegular r:id="rId6" w:fontKey="{1A911F4B-28BE-4B95-88A4-F10CE869190D}"/>
  </w:font>
  <w:font w:name="楷体">
    <w:panose1 w:val="02010609060101010101"/>
    <w:charset w:val="86"/>
    <w:family w:val="modern"/>
    <w:pitch w:val="default"/>
    <w:sig w:usb0="800002BF" w:usb1="38CF7CFA" w:usb2="00000016" w:usb3="00000000" w:csb0="00040001" w:csb1="00000000"/>
    <w:embedRegular r:id="rId7" w:fontKey="{F0DBDE78-A13D-41FD-A9F5-875F46F9E46F}"/>
  </w:font>
  <w:font w:name="WPSEMBED7">
    <w:panose1 w:val="02000000000000000000"/>
    <w:charset w:val="86"/>
    <w:family w:val="auto"/>
    <w:pitch w:val="default"/>
    <w:sig w:usb0="00000001" w:usb1="08000000" w:usb2="00000000" w:usb3="00000000" w:csb0="00040000" w:csb1="00000000"/>
  </w:font>
  <w:font w:name="WPSEMBED6">
    <w:panose1 w:val="02000000000000000000"/>
    <w:charset w:val="86"/>
    <w:family w:val="auto"/>
    <w:pitch w:val="default"/>
    <w:sig w:usb0="A00002BF" w:usb1="38CF7CFA" w:usb2="00082016" w:usb3="00000000" w:csb0="00040001" w:csb1="00000000"/>
  </w:font>
  <w:font w:name="WPSEMBED5">
    <w:panose1 w:val="02010609030101010101"/>
    <w:charset w:val="86"/>
    <w:family w:val="auto"/>
    <w:pitch w:val="default"/>
    <w:sig w:usb0="00000001" w:usb1="080E0000" w:usb2="00000000" w:usb3="00000000" w:csb0="00040000" w:csb1="00000000"/>
  </w:font>
  <w:font w:name="WPSEMBED8">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447017">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163" cy="153339"/>
                      </a:xfrm>
                      <a:prstGeom prst="rect">
                        <a:avLst/>
                      </a:prstGeom>
                      <a:noFill/>
                      <a:ln cap="flat" cmpd="sng">
                        <a:noFill/>
                        <a:prstDash val="solid"/>
                        <a:round/>
                      </a:ln>
                    </wps:spPr>
                    <wps:txbx>
                      <w:txbxContent>
                        <w:p w14:paraId="2656C3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9hets9EAAAADAQAADwAAAAAAAAABACAAAAAiAAAAZHJzL2Rvd25yZXYueG1sUEsBAhQAFAAAAAgA&#10;h07iQCh/6hzzAQAA7wMAAA4AAAAAAAAAAQAgAAAAIAEAAGRycy9lMm9Eb2MueG1sUEsFBgAAAAAG&#10;AAYAWQEAAIUFAAAAAA==&#10;">
              <v:fill on="f" focussize="0,0"/>
              <v:stroke on="f" joinstyle="round"/>
              <v:imagedata o:title=""/>
              <o:lock v:ext="edit" aspectratio="f"/>
              <v:textbox inset="0mm,0mm,0mm,0mm" style="mso-fit-shape-to-text:t;">
                <w:txbxContent>
                  <w:p w14:paraId="2656C304">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B18CE0">
    <w:pPr>
      <w:pStyle w:val="9"/>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DDC816A1"/>
    <w:multiLevelType w:val="singleLevel"/>
    <w:tmpl w:val="DDC816A1"/>
    <w:lvl w:ilvl="0" w:tentative="0">
      <w:start w:val="2"/>
      <w:numFmt w:val="chineseCounting"/>
      <w:suff w:val="nothing"/>
      <w:lvlText w:val="（%1）"/>
      <w:lvlJc w:val="left"/>
      <w:rPr>
        <w:rFonts w:hint="eastAsia"/>
      </w:rPr>
    </w:lvl>
  </w:abstractNum>
  <w:abstractNum w:abstractNumId="2">
    <w:nsid w:val="E9B68164"/>
    <w:multiLevelType w:val="singleLevel"/>
    <w:tmpl w:val="E9B68164"/>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06873A1"/>
    <w:rsid w:val="02B1196D"/>
    <w:rsid w:val="04654FC3"/>
    <w:rsid w:val="066A6488"/>
    <w:rsid w:val="08AF5250"/>
    <w:rsid w:val="0D5A2CED"/>
    <w:rsid w:val="0E83367D"/>
    <w:rsid w:val="0F0064BC"/>
    <w:rsid w:val="0F5F3886"/>
    <w:rsid w:val="134F6B82"/>
    <w:rsid w:val="13955CCA"/>
    <w:rsid w:val="16366E39"/>
    <w:rsid w:val="18F94F54"/>
    <w:rsid w:val="1A482078"/>
    <w:rsid w:val="1C014067"/>
    <w:rsid w:val="1EDC7910"/>
    <w:rsid w:val="20367A8E"/>
    <w:rsid w:val="22DE3820"/>
    <w:rsid w:val="24BE1F92"/>
    <w:rsid w:val="261925AF"/>
    <w:rsid w:val="29111B3C"/>
    <w:rsid w:val="2CD87BE0"/>
    <w:rsid w:val="310E19D0"/>
    <w:rsid w:val="35713DB9"/>
    <w:rsid w:val="370B4C8F"/>
    <w:rsid w:val="37BD15DE"/>
    <w:rsid w:val="37F62DCF"/>
    <w:rsid w:val="39466A33"/>
    <w:rsid w:val="3A5A2BCD"/>
    <w:rsid w:val="3C2C6DBD"/>
    <w:rsid w:val="3D8C51F5"/>
    <w:rsid w:val="3DDE37D0"/>
    <w:rsid w:val="3E582A79"/>
    <w:rsid w:val="41D85B35"/>
    <w:rsid w:val="44902B6B"/>
    <w:rsid w:val="459511C2"/>
    <w:rsid w:val="45DF6225"/>
    <w:rsid w:val="4BCC6C0E"/>
    <w:rsid w:val="4F8D576F"/>
    <w:rsid w:val="55EF5A54"/>
    <w:rsid w:val="58B8456C"/>
    <w:rsid w:val="5BFE596D"/>
    <w:rsid w:val="5E020A5A"/>
    <w:rsid w:val="5E105073"/>
    <w:rsid w:val="5F831D01"/>
    <w:rsid w:val="607658E5"/>
    <w:rsid w:val="63C71C44"/>
    <w:rsid w:val="644E47EB"/>
    <w:rsid w:val="6474743E"/>
    <w:rsid w:val="666704E6"/>
    <w:rsid w:val="673127BB"/>
    <w:rsid w:val="69206851"/>
    <w:rsid w:val="6F883152"/>
    <w:rsid w:val="73C06B2E"/>
    <w:rsid w:val="75024418"/>
    <w:rsid w:val="7A9C2B35"/>
    <w:rsid w:val="7BB942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link w:val="12"/>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13"/>
    <w:qFormat/>
    <w:uiPriority w:val="0"/>
    <w:pPr>
      <w:keepNext/>
      <w:keepLines/>
      <w:spacing w:before="260" w:after="260" w:line="415" w:lineRule="auto"/>
      <w:outlineLvl w:val="1"/>
    </w:pPr>
    <w:rPr>
      <w:rFonts w:ascii="Times New Roman" w:hAnsi="Times New Roman" w:eastAsia="黑体"/>
      <w:b/>
      <w:bCs/>
      <w:sz w:val="32"/>
      <w:szCs w:val="32"/>
    </w:rPr>
  </w:style>
  <w:style w:type="paragraph" w:styleId="6">
    <w:name w:val="heading 3"/>
    <w:basedOn w:val="1"/>
    <w:next w:val="1"/>
    <w:link w:val="14"/>
    <w:qFormat/>
    <w:uiPriority w:val="0"/>
    <w:pPr>
      <w:keepNext/>
      <w:keepLines/>
      <w:spacing w:before="260" w:after="260" w:line="415" w:lineRule="auto"/>
      <w:outlineLvl w:val="2"/>
    </w:pPr>
    <w:rPr>
      <w:b/>
      <w:bCs/>
      <w:sz w:val="32"/>
      <w:szCs w:val="32"/>
    </w:rPr>
  </w:style>
  <w:style w:type="character" w:default="1" w:styleId="11">
    <w:name w:val="Default Paragraph Font"/>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1"/>
    <w:qFormat/>
    <w:uiPriority w:val="0"/>
    <w:pPr>
      <w:ind w:firstLine="200" w:firstLineChars="200"/>
    </w:pPr>
  </w:style>
  <w:style w:type="paragraph" w:styleId="3">
    <w:name w:val="Body Text Indent"/>
    <w:basedOn w:val="1"/>
    <w:next w:val="1"/>
    <w:qFormat/>
    <w:uiPriority w:val="0"/>
    <w:pPr>
      <w:ind w:left="200" w:leftChars="200"/>
    </w:pPr>
  </w:style>
  <w:style w:type="paragraph" w:styleId="7">
    <w:name w:val="Body Text"/>
    <w:basedOn w:val="1"/>
    <w:qFormat/>
    <w:uiPriority w:val="0"/>
    <w:rPr>
      <w:rFonts w:ascii="仿宋_GB2312" w:hAnsi="仿宋_GB2312" w:eastAsia="仿宋_GB2312" w:cs="仿宋_GB2312"/>
      <w:sz w:val="32"/>
      <w:szCs w:val="32"/>
      <w:lang w:val="zh-CN"/>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12">
    <w:name w:val="heading 1 Char"/>
    <w:basedOn w:val="11"/>
    <w:link w:val="4"/>
    <w:qFormat/>
    <w:uiPriority w:val="0"/>
    <w:rPr>
      <w:rFonts w:ascii="Times New Roman" w:hAnsi="Times New Roman" w:eastAsia="宋体" w:cs="Times New Roman"/>
      <w:b/>
      <w:bCs/>
      <w:kern w:val="44"/>
      <w:sz w:val="44"/>
      <w:szCs w:val="44"/>
      <w:lang w:val="en-US" w:eastAsia="zh-CN" w:bidi="ar-SA"/>
    </w:rPr>
  </w:style>
  <w:style w:type="character" w:customStyle="1" w:styleId="13">
    <w:name w:val="heading 2 Char"/>
    <w:basedOn w:val="11"/>
    <w:link w:val="5"/>
    <w:qFormat/>
    <w:uiPriority w:val="0"/>
    <w:rPr>
      <w:rFonts w:ascii="Times New Roman" w:hAnsi="Times New Roman" w:eastAsia="黑体" w:cs="Times New Roman"/>
      <w:b/>
      <w:bCs/>
      <w:kern w:val="2"/>
      <w:sz w:val="32"/>
      <w:szCs w:val="32"/>
      <w:lang w:val="en-US" w:eastAsia="zh-CN" w:bidi="ar-SA"/>
    </w:rPr>
  </w:style>
  <w:style w:type="character" w:customStyle="1" w:styleId="14">
    <w:name w:val="heading 3 Char"/>
    <w:basedOn w:val="11"/>
    <w:link w:val="6"/>
    <w:qFormat/>
    <w:uiPriority w:val="0"/>
    <w:rPr>
      <w:rFonts w:ascii="Times New Roman" w:hAnsi="Times New Roman" w:eastAsia="宋体" w:cs="Times New Roman"/>
      <w:b/>
      <w:bCs/>
      <w:kern w:val="2"/>
      <w:sz w:val="32"/>
      <w:szCs w:val="32"/>
      <w:lang w:val="en-US" w:eastAsia="zh-CN" w:bidi="ar-SA"/>
    </w:rPr>
  </w:style>
  <w:style w:type="paragraph" w:customStyle="1" w:styleId="15">
    <w:name w:val="[Normal]"/>
    <w:qFormat/>
    <w:uiPriority w:val="0"/>
    <w:rPr>
      <w:rFonts w:ascii="宋体" w:hAnsi="宋体" w:eastAsia="宋体" w:cs="Times New Roman"/>
      <w:sz w:val="24"/>
      <w:szCs w:val="22"/>
      <w:lang w:val="en-US" w:eastAsia="en-US" w:bidi="ar-SA"/>
    </w:rPr>
  </w:style>
  <w:style w:type="paragraph" w:customStyle="1" w:styleId="16">
    <w:name w:val="Normal Indent1"/>
    <w:basedOn w:val="1"/>
    <w:qFormat/>
    <w:uiPriority w:val="0"/>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9</Pages>
  <Words>4462</Words>
  <Characters>4724</Characters>
  <Lines>0</Lines>
  <Paragraphs>31</Paragraphs>
  <TotalTime>1</TotalTime>
  <ScaleCrop>false</ScaleCrop>
  <LinksUpToDate>false</LinksUpToDate>
  <CharactersWithSpaces>4733</CharactersWithSpaces>
  <Application>WPS Office_12.1.0.24031_F1E327BC-269C-435d-A152-05C5408002CA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百荷</cp:lastModifiedBy>
  <cp:lastPrinted>2021-02-24T05:43:00Z</cp:lastPrinted>
  <dcterms:modified xsi:type="dcterms:W3CDTF">2025-12-31T03:35:58Z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28C64EFCB758481798A31117B3E7B5E3</vt:lpwstr>
  </property>
  <property fmtid="{D5CDD505-2E9C-101B-9397-08002B2CF9AE}" pid="4" name="KSOTemplateDocerSaveRecord">
    <vt:lpwstr>eyJoZGlkIjoiMDkzM2ZiMGU3NzgzOTNjNDljMzQ4MjM4ZjZlNTg1OTAiLCJ1c2VySWQiOiI0NDUyOTE5MzIifQ==</vt:lpwstr>
  </property>
</Properties>
</file>