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5F6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2C92C8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共青团藁城区委</w:t>
      </w:r>
    </w:p>
    <w:p w14:paraId="3253D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 w14:paraId="5DBEE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共青团藁城区委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0BF24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1FA23806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1.</w:t>
      </w:r>
      <w:r>
        <w:rPr>
          <w:rFonts w:hint="eastAsia" w:ascii="仿宋_GB2312" w:hAnsi="仿宋" w:eastAsia="仿宋_GB2312"/>
          <w:sz w:val="32"/>
          <w:szCs w:val="32"/>
        </w:rPr>
        <w:t>主要职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责</w:t>
      </w:r>
    </w:p>
    <w:p w14:paraId="66CC93E7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（1）行使共青团藁城区委赋予的领导全区共青团工作、指导全区少先队工作的职权，对全区青年社团组织进行指导和管理。</w:t>
      </w:r>
    </w:p>
    <w:p w14:paraId="259EBA33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（2）加强团的基层组织建设，扩大团组织的覆盖面，加强青年中心、非公经济团组织、自组织等外围组织建设。</w:t>
      </w:r>
    </w:p>
    <w:p w14:paraId="7194D54E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bookmarkStart w:id="0" w:name="_GoBack"/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（3）参与本区的有关青少年事务的法律、地方性法规的制</w:t>
      </w:r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定和实施，协助区委和区政府处理、协调与青少年利益相关的事务。</w:t>
      </w:r>
    </w:p>
    <w:p w14:paraId="641F6542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4）调查青年思想动态和青年工作状况，研究青少年运动、青少年工作理论和思想教育问题，提出相应对策，开展各种活动；对全区团员青年进行团员意识教育，教育和带领团员青年坚定理想信念，继承和发扬党的优良传统，积极践行社会主义核心价值观，从小树立远大理想，为实现“中国梦”而奋斗。</w:t>
      </w:r>
    </w:p>
    <w:p w14:paraId="206F2D47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（5）协助区政府教育部门做好大、中、小学生的教育管理工作，维护学校稳定和社会安定团结。</w:t>
      </w:r>
    </w:p>
    <w:p w14:paraId="4BD90999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（6）在全区经济建设中，组织和带领青年发挥生力军和突击队作用。</w:t>
      </w:r>
    </w:p>
    <w:p w14:paraId="5599244E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（7）通过全面推进改革举措落地，力争让机构设置更合理、让团干队伍更优化、让基层力量更充实、让基层组织覆盖更广、让团与青年走得更近、让青年工作保障更强。</w:t>
      </w:r>
    </w:p>
    <w:p w14:paraId="3D1EBB5C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（8）承担区委、区政府和团市委交办的有关事项。</w:t>
      </w:r>
    </w:p>
    <w:p w14:paraId="26811616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（9）会同有关部门做好未成年人保护工作。</w:t>
      </w:r>
    </w:p>
    <w:p w14:paraId="6A568436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2.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部门组织机构情况</w:t>
      </w:r>
    </w:p>
    <w:p w14:paraId="6E3AFCE9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共青团藁城区委规格为正科级，1个团区委本级单位，一级预算单位，无下属单位。领导职数1正2副，核定全额事业编制8名。设内设机构综合办公室，核定股级领导职数1名。单位性质为群众团体，资金保障形式为财政拨款。年末总人数6人，全部是全额事业编制。</w:t>
      </w:r>
    </w:p>
    <w:p w14:paraId="7EE0584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 w14:paraId="5F3627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420" w:firstLineChars="20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2024年预算收入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134.19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万元，其中：一般公共预算收入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134.19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万元，基金预算收入0万元，财政专户核拨收入0万元，其他来源收入0万元。2024年部门支出预算为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134.19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基本支出127.69万元，包括人员经费115万元和日常公用经费12.69万元；项目支出6.5万元，主要为党建带团建工作经费1.5万元；《青年力量》宣传经费5万元。团区委办公经费支出2.4万元，其他支出0万元。2024年度决算收入合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134.19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万元，其中：财政拨款收入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134.19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元，占100%；事业收入0万元，占0%；经营收入0万元，占0%；其他收入0万元，占0%。2024年度决算支出合计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134.19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万元，其中：基本支出127.69万元，占95%；项目支出6.5万元，占5%；经营支出0万元，占0%。</w:t>
      </w:r>
    </w:p>
    <w:p w14:paraId="5238DD6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</w:t>
      </w:r>
      <w:r>
        <w:rPr>
          <w:rFonts w:hint="eastAsia" w:hAnsi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年收入134.19万元，支出134.19万元。上年度收入</w:t>
      </w:r>
      <w:r>
        <w:rPr>
          <w:rFonts w:hint="eastAsia" w:hAnsi="仿宋"/>
          <w:sz w:val="32"/>
          <w:szCs w:val="32"/>
          <w:lang w:val="en-US" w:eastAsia="zh-CN"/>
        </w:rPr>
        <w:t>138.51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万元，支出</w:t>
      </w:r>
      <w:r>
        <w:rPr>
          <w:rFonts w:hint="eastAsia" w:hAnsi="仿宋"/>
          <w:sz w:val="32"/>
          <w:szCs w:val="32"/>
          <w:lang w:val="en-US" w:eastAsia="zh-CN"/>
        </w:rPr>
        <w:t>138.51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万元。</w:t>
      </w:r>
    </w:p>
    <w:p w14:paraId="3FF6F5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7EABD2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深入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学习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贯彻党的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二十大</w:t>
      </w:r>
      <w:r>
        <w:rPr>
          <w:rFonts w:hint="eastAsia" w:ascii="仿宋_GB2312" w:hAnsi="仿宋_GB2312" w:eastAsia="仿宋_GB2312" w:cs="仿宋_GB2312"/>
          <w:sz w:val="32"/>
          <w:szCs w:val="32"/>
        </w:rPr>
        <w:t>精神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习近平总书记关于青年工作的重要思想，认真落实中央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、省、市委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关于共青团改革的一系列要求部署，认真履行共青团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藁城区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委被赋予的领导全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共青团工作、指导全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少先队工作的职</w:t>
      </w:r>
      <w:r>
        <w:rPr>
          <w:rFonts w:hint="eastAsia" w:ascii="仿宋_GB2312" w:hAnsi="仿宋_GB2312" w:eastAsia="仿宋_GB2312" w:cs="仿宋_GB2312"/>
          <w:sz w:val="32"/>
          <w:szCs w:val="32"/>
        </w:rPr>
        <w:t>能，对全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青年社团组织进行指导和管理，持续深化青年大学习行动，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加强对全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青年的宣传教育；深化青少年社会主义核心价值观培育工作；积极投身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巩固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脱贫攻坚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成果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深化“乡村振兴·团青建功”行动；推动《河北省中长期青年发展规划（2018-2025）》10大领域发展目标实现。坚持“高举伟大旗帜、聚焦主责主业、继续改革攻坚、全面从严治团”，切实增强政治性、先进性、群众性，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坚持稳中求进工作总基调，树立新时代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藁城</w:t>
      </w:r>
      <w:r>
        <w:rPr>
          <w:rFonts w:hint="eastAsia" w:ascii="仿宋_GB2312" w:hAnsi="仿宋_GB2312" w:eastAsia="仿宋_GB2312" w:cs="仿宋_GB2312"/>
          <w:sz w:val="32"/>
          <w:szCs w:val="32"/>
        </w:rPr>
        <w:t>共青团良好形象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</w:p>
    <w:p w14:paraId="6428DC04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2494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68F5FD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照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Times New Roman"/>
          <w:sz w:val="32"/>
          <w:szCs w:val="32"/>
        </w:rPr>
        <w:t>部署要求，我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成立了绩效自评工作组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组织</w:t>
      </w:r>
      <w:r>
        <w:rPr>
          <w:rFonts w:hint="eastAsia" w:ascii="仿宋" w:hAnsi="仿宋" w:eastAsia="仿宋" w:cs="Times New Roman"/>
          <w:sz w:val="32"/>
          <w:szCs w:val="32"/>
        </w:rPr>
        <w:t>各相关部门召开会议，认真研究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Times New Roman"/>
          <w:sz w:val="32"/>
          <w:szCs w:val="32"/>
        </w:rPr>
        <w:t>年度预算项目支出绩效评价工作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明确责任分工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</w:p>
    <w:p w14:paraId="416C2E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7D6B9B85">
      <w:pPr>
        <w:pStyle w:val="2"/>
        <w:numPr>
          <w:ilvl w:val="0"/>
          <w:numId w:val="0"/>
        </w:numPr>
        <w:ind w:firstLine="640" w:firstLineChars="200"/>
        <w:rPr>
          <w:rFonts w:hint="eastAsia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自</w:t>
      </w:r>
      <w:r>
        <w:rPr>
          <w:rFonts w:hint="eastAsia" w:ascii="仿宋" w:hAnsi="仿宋" w:eastAsia="仿宋" w:cs="Times New Roman"/>
          <w:sz w:val="32"/>
          <w:szCs w:val="32"/>
        </w:rPr>
        <w:t>评工作中，每位自评组成员严格按照年初设立的项目绩效目标和指标，对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党建带团建和《青年力量》宣传工作</w:t>
      </w:r>
      <w:r>
        <w:rPr>
          <w:rFonts w:hint="eastAsia" w:ascii="仿宋" w:hAnsi="仿宋" w:eastAsia="仿宋" w:cs="Times New Roman"/>
          <w:sz w:val="32"/>
          <w:szCs w:val="32"/>
        </w:rPr>
        <w:t>年初预算项目指标进行分析研究，得出此次自评结果。并按照通知要求，对我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重点考核项目“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《青年力量》宣传经费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Times New Roman"/>
          <w:sz w:val="32"/>
          <w:szCs w:val="32"/>
        </w:rPr>
        <w:t>金额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Times New Roman"/>
          <w:sz w:val="32"/>
          <w:szCs w:val="32"/>
        </w:rPr>
        <w:t>万元)”进行重点核査，并撰写自评报告。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1A8EC0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</w:rPr>
        <w:t>从整体看，我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各部门项目工作开展情况良好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保障了我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各项工作的正常开展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很好地完成了年初设定的工作目标。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具体绩效目标完成情况如下：</w:t>
      </w:r>
    </w:p>
    <w:p w14:paraId="4B7B7936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党建带团建工作</w:t>
      </w:r>
    </w:p>
    <w:p w14:paraId="76EF12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Times New Roman"/>
          <w:sz w:val="32"/>
          <w:szCs w:val="32"/>
        </w:rPr>
        <w:t>预算执行情况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。该项目年初预算经费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1.5万元，执行数1.5万元，完成率100%。项目完成情况良好，达到年初设立的目标。</w:t>
      </w:r>
    </w:p>
    <w:p w14:paraId="59DB99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Times New Roman"/>
          <w:sz w:val="32"/>
          <w:szCs w:val="32"/>
        </w:rPr>
        <w:t>项目产出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。本年度计划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规范化组织建设或平台阵地建设5个，开展青少年思想引领活动参与青少年人数10000人，开展法制宣传教育活动参与人数5000人，完成率100%。各项活动都在规定的时间内完成，完成及时率100%。各项活动均高质量完成，达标率100%。</w:t>
      </w:r>
    </w:p>
    <w:p w14:paraId="2F6AC1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Times New Roman"/>
          <w:sz w:val="32"/>
          <w:szCs w:val="32"/>
        </w:rPr>
        <w:t>项目效益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</w:rPr>
        <w:t>团组织的覆盖面扩大、工作能力进一步增强，团组织的引领作用、青少年思想道德建设、法制观念进一步增强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完成率100%。</w:t>
      </w:r>
    </w:p>
    <w:p w14:paraId="12C36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Times New Roman"/>
          <w:sz w:val="32"/>
          <w:szCs w:val="32"/>
        </w:rPr>
        <w:t>满意度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群众满意度90%，评价结果为优。</w:t>
      </w:r>
    </w:p>
    <w:p w14:paraId="484BFB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党建带团建</w:t>
      </w:r>
      <w:r>
        <w:rPr>
          <w:rFonts w:hint="eastAsia" w:ascii="仿宋" w:hAnsi="仿宋" w:eastAsia="仿宋" w:cs="Times New Roman"/>
          <w:sz w:val="32"/>
          <w:szCs w:val="32"/>
        </w:rPr>
        <w:t>项目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绩效评价得分为98分</w:t>
      </w:r>
      <w:r>
        <w:rPr>
          <w:rFonts w:hint="eastAsia" w:ascii="仿宋" w:hAnsi="仿宋" w:eastAsia="仿宋"/>
          <w:sz w:val="32"/>
          <w:szCs w:val="32"/>
        </w:rPr>
        <w:t>，综合评价结论和项目综合绩效评价等级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为优秀。</w:t>
      </w:r>
    </w:p>
    <w:p w14:paraId="3B700DEA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《青年力量》宣传经费</w:t>
      </w:r>
    </w:p>
    <w:p w14:paraId="372597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Times New Roman"/>
          <w:sz w:val="32"/>
          <w:szCs w:val="32"/>
        </w:rPr>
        <w:t>预算执行情况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。该项目年初预算经费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5万元，执行数5万元，完成率100%。项目完成情况良好，达到年初设立的目标。</w:t>
      </w:r>
    </w:p>
    <w:p w14:paraId="1974FF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Times New Roman"/>
          <w:sz w:val="32"/>
          <w:szCs w:val="32"/>
        </w:rPr>
        <w:t>项目产出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eastAsia="zh-CN"/>
        </w:rPr>
        <w:t>本年度计划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制作视频1个，宣传平台投放2个以上，视频内容覆盖各领域各行业青年工作状态，多角度展示了藁城青年在经济发展、优化营商环境、城市建设、乡村振兴、民生保障、志愿服务等方面释放的蓬勃力量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。该项目在规定的时间内完成，按期完成率100%。该项目单位资金成本控制在5万元内。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各项活动均高质量完成，达标率100%。</w:t>
      </w:r>
    </w:p>
    <w:p w14:paraId="0ADF2B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Times New Roman"/>
          <w:sz w:val="32"/>
          <w:szCs w:val="32"/>
        </w:rPr>
        <w:t>项目效益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共青团影响力进一步扩大，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生动展现当代青年的精神风貌与责任担当，激励广大青年传承五四精神，激发青年活力，增强团组织的凝聚力和影响力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。我区青年群体对《青年力量》的认知程度达到60%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完成率100%。</w:t>
      </w:r>
    </w:p>
    <w:p w14:paraId="4EAACB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Times New Roman"/>
          <w:sz w:val="32"/>
          <w:szCs w:val="32"/>
        </w:rPr>
        <w:t>满意度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群众满意度90%，评价结果为优。</w:t>
      </w:r>
    </w:p>
    <w:p w14:paraId="40C3A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《藁城青年口袋书》宣传推广</w:t>
      </w:r>
      <w:r>
        <w:rPr>
          <w:rFonts w:hint="eastAsia" w:ascii="仿宋" w:hAnsi="仿宋" w:eastAsia="仿宋" w:cs="Times New Roman"/>
          <w:sz w:val="32"/>
          <w:szCs w:val="32"/>
        </w:rPr>
        <w:t>项目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绩效评价得分为97分</w:t>
      </w:r>
      <w:r>
        <w:rPr>
          <w:rFonts w:hint="eastAsia" w:ascii="仿宋" w:hAnsi="仿宋" w:eastAsia="仿宋"/>
          <w:sz w:val="32"/>
          <w:szCs w:val="32"/>
        </w:rPr>
        <w:t>，综合评价结论和项目综合绩效评价等级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为优秀。</w:t>
      </w:r>
    </w:p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tbl>
      <w:tblPr>
        <w:tblStyle w:val="8"/>
        <w:tblpPr w:leftFromText="180" w:rightFromText="180" w:vertAnchor="text" w:horzAnchor="page" w:tblpX="1950" w:tblpY="27"/>
        <w:tblOverlap w:val="never"/>
        <w:tblW w:w="934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5"/>
        <w:gridCol w:w="1395"/>
        <w:gridCol w:w="1335"/>
        <w:gridCol w:w="1560"/>
        <w:gridCol w:w="1485"/>
        <w:gridCol w:w="900"/>
      </w:tblGrid>
      <w:tr w14:paraId="1ABBCE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65" w:type="dxa"/>
          </w:tcPr>
          <w:p w14:paraId="6AF00178">
            <w:pPr>
              <w:snapToGrid w:val="0"/>
              <w:spacing w:line="360" w:lineRule="auto"/>
              <w:ind w:firstLine="720" w:firstLineChars="300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项目名称</w:t>
            </w:r>
          </w:p>
        </w:tc>
        <w:tc>
          <w:tcPr>
            <w:tcW w:w="1395" w:type="dxa"/>
          </w:tcPr>
          <w:p w14:paraId="135F6F55"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产出</w:t>
            </w:r>
            <w:r>
              <w:rPr>
                <w:rFonts w:hint="eastAsia" w:ascii="仿宋" w:hAnsi="仿宋" w:eastAsia="仿宋" w:cs="黑体"/>
                <w:sz w:val="24"/>
                <w:highlight w:val="none"/>
              </w:rPr>
              <w:t>指标</w:t>
            </w: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完成得分情况</w:t>
            </w:r>
          </w:p>
        </w:tc>
        <w:tc>
          <w:tcPr>
            <w:tcW w:w="1335" w:type="dxa"/>
          </w:tcPr>
          <w:p w14:paraId="7595B17A"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预算执行率指标完成得分情况</w:t>
            </w:r>
          </w:p>
        </w:tc>
        <w:tc>
          <w:tcPr>
            <w:tcW w:w="1560" w:type="dxa"/>
          </w:tcPr>
          <w:p w14:paraId="2242E501">
            <w:pPr>
              <w:snapToGrid w:val="0"/>
              <w:spacing w:line="360" w:lineRule="auto"/>
              <w:rPr>
                <w:rFonts w:ascii="仿宋" w:hAnsi="仿宋" w:eastAsia="仿宋" w:cs="黑体"/>
                <w:sz w:val="24"/>
                <w:highlight w:val="none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效益指标完成得分情况</w:t>
            </w:r>
          </w:p>
        </w:tc>
        <w:tc>
          <w:tcPr>
            <w:tcW w:w="1485" w:type="dxa"/>
          </w:tcPr>
          <w:p w14:paraId="674A0EBD"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满意度指标完成得分情况</w:t>
            </w:r>
          </w:p>
        </w:tc>
        <w:tc>
          <w:tcPr>
            <w:tcW w:w="900" w:type="dxa"/>
          </w:tcPr>
          <w:p w14:paraId="13318A0E"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自评得分</w:t>
            </w:r>
          </w:p>
        </w:tc>
      </w:tr>
      <w:tr w14:paraId="61651E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2665" w:type="dxa"/>
            <w:vAlign w:val="center"/>
          </w:tcPr>
          <w:p w14:paraId="04435DCF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党建带团建</w:t>
            </w:r>
          </w:p>
        </w:tc>
        <w:tc>
          <w:tcPr>
            <w:tcW w:w="1395" w:type="dxa"/>
            <w:vAlign w:val="center"/>
          </w:tcPr>
          <w:p w14:paraId="5BE11B7F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40</w:t>
            </w:r>
          </w:p>
        </w:tc>
        <w:tc>
          <w:tcPr>
            <w:tcW w:w="1335" w:type="dxa"/>
            <w:vAlign w:val="center"/>
          </w:tcPr>
          <w:p w14:paraId="1D9EC4EA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10</w:t>
            </w:r>
          </w:p>
        </w:tc>
        <w:tc>
          <w:tcPr>
            <w:tcW w:w="1560" w:type="dxa"/>
            <w:vAlign w:val="center"/>
          </w:tcPr>
          <w:p w14:paraId="6C5CC0B2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39</w:t>
            </w:r>
          </w:p>
        </w:tc>
        <w:tc>
          <w:tcPr>
            <w:tcW w:w="1485" w:type="dxa"/>
            <w:vAlign w:val="center"/>
          </w:tcPr>
          <w:p w14:paraId="0F750BB8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9</w:t>
            </w:r>
          </w:p>
        </w:tc>
        <w:tc>
          <w:tcPr>
            <w:tcW w:w="900" w:type="dxa"/>
            <w:vAlign w:val="center"/>
          </w:tcPr>
          <w:p w14:paraId="62C77354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98</w:t>
            </w:r>
          </w:p>
        </w:tc>
      </w:tr>
      <w:tr w14:paraId="7B4236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65" w:type="dxa"/>
            <w:vAlign w:val="center"/>
          </w:tcPr>
          <w:p w14:paraId="33357FDC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《青年力量》宣传经费</w:t>
            </w:r>
          </w:p>
        </w:tc>
        <w:tc>
          <w:tcPr>
            <w:tcW w:w="1395" w:type="dxa"/>
            <w:vAlign w:val="center"/>
          </w:tcPr>
          <w:p w14:paraId="1FDC1B36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40</w:t>
            </w:r>
          </w:p>
        </w:tc>
        <w:tc>
          <w:tcPr>
            <w:tcW w:w="1335" w:type="dxa"/>
            <w:vAlign w:val="center"/>
          </w:tcPr>
          <w:p w14:paraId="3F0F0BC5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10</w:t>
            </w:r>
          </w:p>
        </w:tc>
        <w:tc>
          <w:tcPr>
            <w:tcW w:w="1560" w:type="dxa"/>
            <w:vAlign w:val="center"/>
          </w:tcPr>
          <w:p w14:paraId="4F0C6FD1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38</w:t>
            </w:r>
          </w:p>
        </w:tc>
        <w:tc>
          <w:tcPr>
            <w:tcW w:w="1485" w:type="dxa"/>
            <w:vAlign w:val="center"/>
          </w:tcPr>
          <w:p w14:paraId="19F7248D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9</w:t>
            </w:r>
          </w:p>
        </w:tc>
        <w:tc>
          <w:tcPr>
            <w:tcW w:w="900" w:type="dxa"/>
            <w:vAlign w:val="center"/>
          </w:tcPr>
          <w:p w14:paraId="36428361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97</w:t>
            </w:r>
          </w:p>
        </w:tc>
      </w:tr>
    </w:tbl>
    <w:p w14:paraId="627D79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</w:t>
      </w:r>
      <w:r>
        <w:rPr>
          <w:rFonts w:hint="eastAsia" w:ascii="仿宋" w:hAnsi="仿宋" w:eastAsia="仿宋"/>
          <w:sz w:val="32"/>
          <w:szCs w:val="32"/>
          <w:lang w:eastAsia="zh-CN"/>
        </w:rPr>
        <w:t>，并</w:t>
      </w:r>
      <w:r>
        <w:rPr>
          <w:rFonts w:hint="eastAsia" w:ascii="仿宋" w:hAnsi="仿宋" w:eastAsia="仿宋"/>
          <w:sz w:val="32"/>
          <w:szCs w:val="32"/>
        </w:rPr>
        <w:t>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我部门整体支出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sz w:val="32"/>
          <w:szCs w:val="32"/>
          <w:lang w:eastAsia="zh-CN"/>
        </w:rPr>
        <w:t>平均得分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97.5分，</w:t>
      </w:r>
      <w:r>
        <w:rPr>
          <w:rFonts w:hint="eastAsia" w:ascii="仿宋" w:hAnsi="仿宋" w:eastAsia="仿宋"/>
          <w:sz w:val="32"/>
          <w:szCs w:val="32"/>
        </w:rPr>
        <w:t>绩效评价等级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优秀。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2B7F23B6">
      <w:pPr>
        <w:pStyle w:val="2"/>
        <w:numPr>
          <w:ilvl w:val="0"/>
          <w:numId w:val="0"/>
        </w:numPr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共青团工作涉及的面广、点多，受经费数额的限制不能完全满足团员青年的需求。</w:t>
      </w:r>
    </w:p>
    <w:p w14:paraId="6E19DF33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0CB94A3C">
      <w:pPr>
        <w:pStyle w:val="2"/>
        <w:numPr>
          <w:ilvl w:val="0"/>
          <w:numId w:val="0"/>
        </w:numPr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我单位</w:t>
      </w:r>
      <w:r>
        <w:rPr>
          <w:rFonts w:hint="eastAsia" w:ascii="仿宋_GB2312" w:eastAsia="仿宋_GB2312"/>
          <w:sz w:val="32"/>
          <w:szCs w:val="32"/>
          <w:highlight w:val="none"/>
        </w:rPr>
        <w:t>将尽量做到科学、合理的分配资金，在财政资金按时到位的情况下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highlight w:val="none"/>
        </w:rPr>
        <w:t>有序进行各项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工作</w:t>
      </w:r>
      <w:r>
        <w:rPr>
          <w:rFonts w:hint="eastAsia" w:ascii="仿宋_GB2312" w:eastAsia="仿宋_GB2312"/>
          <w:sz w:val="32"/>
          <w:szCs w:val="32"/>
          <w:highlight w:val="none"/>
        </w:rPr>
        <w:t>，以确保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各项工作</w:t>
      </w:r>
      <w:r>
        <w:rPr>
          <w:rFonts w:hint="eastAsia" w:ascii="仿宋_GB2312" w:eastAsia="仿宋_GB2312"/>
          <w:sz w:val="32"/>
          <w:szCs w:val="32"/>
          <w:highlight w:val="none"/>
        </w:rPr>
        <w:t>保质完成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。</w:t>
      </w:r>
    </w:p>
    <w:p w14:paraId="38526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BCDF77FA-23C6-4151-BDF1-390AFF89D2B8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5F95D14-3C8C-4954-9827-1E9854563B1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879527EF-EAF3-4094-8348-CDF91DF307EC}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68073E2D-4099-4251-9D53-58039D4ECD5A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9B12EF34-26EC-4486-BB59-D48772A6C6D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7CAA74B2-B11F-4025-AAD7-FD6B83B94DB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38B406F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538B406F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7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F2AB04F"/>
    <w:multiLevelType w:val="singleLevel"/>
    <w:tmpl w:val="FF2AB04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6BDBE3B8"/>
    <w:multiLevelType w:val="singleLevel"/>
    <w:tmpl w:val="6BDBE3B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7FAEEBF5"/>
    <w:multiLevelType w:val="singleLevel"/>
    <w:tmpl w:val="7FAEEBF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1B053FD"/>
    <w:rsid w:val="02B1196D"/>
    <w:rsid w:val="134F6B82"/>
    <w:rsid w:val="13955CCA"/>
    <w:rsid w:val="3DDE37D0"/>
    <w:rsid w:val="47132DBE"/>
    <w:rsid w:val="58B8456C"/>
    <w:rsid w:val="6920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0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5">
    <w:name w:val="heading 3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_GB2312" w:hAnsi="仿宋_GB2312" w:eastAsia="仿宋_GB2312" w:cs="仿宋_GB2312"/>
      <w:sz w:val="32"/>
      <w:szCs w:val="32"/>
      <w:lang w:val="zh-C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heading 1 Char"/>
    <w:basedOn w:val="9"/>
    <w:link w:val="3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1">
    <w:name w:val="heading 2 Char"/>
    <w:basedOn w:val="9"/>
    <w:link w:val="4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2">
    <w:name w:val="heading 3 Char"/>
    <w:basedOn w:val="9"/>
    <w:link w:val="5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3">
    <w:name w:val="插入文本样式-插入预算公开部门职责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6</Pages>
  <Words>2726</Words>
  <Characters>2917</Characters>
  <Lines>0</Lines>
  <Paragraphs>31</Paragraphs>
  <TotalTime>3</TotalTime>
  <ScaleCrop>false</ScaleCrop>
  <LinksUpToDate>false</LinksUpToDate>
  <CharactersWithSpaces>2929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夏至</cp:lastModifiedBy>
  <cp:lastPrinted>2021-02-24T05:43:00Z</cp:lastPrinted>
  <dcterms:modified xsi:type="dcterms:W3CDTF">2025-12-31T06:17:55Z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eyJoZGlkIjoiMmQxNGNjZjg5MmUyMTQ1ZmViOTU4Njg2MDU5YjljODgiLCJ1c2VySWQiOiI3MzY2MzkwNjkifQ==</vt:lpwstr>
  </property>
</Properties>
</file>