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E6F9DA">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2CAB0165">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6C05C34A">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val="en-US" w:eastAsia="zh-CN"/>
        </w:rPr>
        <w:t>政协</w:t>
      </w:r>
      <w:r>
        <w:rPr>
          <w:rFonts w:hint="eastAsia" w:ascii="方正小标宋简体" w:hAnsi="方正小标宋简体" w:eastAsia="方正小标宋简体" w:cs="方正小标宋简体"/>
          <w:b w:val="0"/>
          <w:bCs w:val="0"/>
          <w:sz w:val="44"/>
          <w:szCs w:val="44"/>
          <w:lang w:eastAsia="zh-CN"/>
        </w:rPr>
        <w:t>石家庄市藁城区委员会办公室</w:t>
      </w:r>
    </w:p>
    <w:p w14:paraId="5DE1BB37">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eastAsia="zh-CN"/>
        </w:rPr>
        <w:t>2024</w:t>
      </w:r>
      <w:r>
        <w:rPr>
          <w:rFonts w:hint="eastAsia" w:ascii="方正小标宋简体" w:hAnsi="方正小标宋简体" w:eastAsia="方正小标宋简体" w:cs="方正小标宋简体"/>
          <w:b w:val="0"/>
          <w:bCs w:val="0"/>
          <w:sz w:val="44"/>
          <w:szCs w:val="44"/>
        </w:rPr>
        <w:t>年度整体支出绩效自评工作报告</w:t>
      </w:r>
    </w:p>
    <w:p w14:paraId="4BA94E5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仿宋_GB2312" w:hAnsi="仿宋_GB2312" w:eastAsia="仿宋_GB2312" w:cs="仿宋_GB2312"/>
          <w:sz w:val="32"/>
          <w:szCs w:val="32"/>
        </w:rPr>
      </w:pPr>
    </w:p>
    <w:p w14:paraId="3A8D9DD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则，对政协石家庄市藁城区委员会办公室2024年整体支出情况实施了财政支出绩效自评价，形成本评价报告。</w:t>
      </w:r>
    </w:p>
    <w:p w14:paraId="13883D7C">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9C00B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109A6BF9">
      <w:pPr>
        <w:keepNext w:val="0"/>
        <w:keepLines w:val="0"/>
        <w:widowControl/>
        <w:suppressLineNumbers w:val="0"/>
        <w:ind w:firstLine="643" w:firstLineChars="200"/>
        <w:jc w:val="left"/>
        <w:rPr>
          <w:rFonts w:ascii="仿宋" w:hAnsi="仿宋" w:eastAsia="仿宋" w:cs="仿宋"/>
          <w:b/>
          <w:bCs/>
          <w:color w:val="auto"/>
          <w:kern w:val="0"/>
          <w:sz w:val="32"/>
          <w:szCs w:val="32"/>
          <w:lang w:val="en-US" w:eastAsia="zh-CN" w:bidi="ar"/>
        </w:rPr>
      </w:pPr>
      <w:r>
        <w:rPr>
          <w:rFonts w:ascii="仿宋" w:hAnsi="仿宋" w:eastAsia="仿宋" w:cs="仿宋"/>
          <w:b/>
          <w:bCs/>
          <w:color w:val="auto"/>
          <w:kern w:val="0"/>
          <w:sz w:val="32"/>
          <w:szCs w:val="32"/>
          <w:lang w:val="en-US" w:eastAsia="zh-CN" w:bidi="ar"/>
        </w:rPr>
        <w:t>1．主要职能</w:t>
      </w:r>
    </w:p>
    <w:p w14:paraId="7B8A587E">
      <w:pPr>
        <w:keepNext w:val="0"/>
        <w:keepLines w:val="0"/>
        <w:widowControl/>
        <w:suppressLineNumbers w:val="0"/>
        <w:ind w:firstLine="640" w:firstLineChars="200"/>
        <w:jc w:val="left"/>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政治协商：就区大政方针以及政治、经济、文化、社会和生态文明中的重要问题在决策之前进行协商和就决策执行过程中的重要问题进行协商。</w:t>
      </w:r>
    </w:p>
    <w:p w14:paraId="26E77AAC">
      <w:pPr>
        <w:keepNext w:val="0"/>
        <w:keepLines w:val="0"/>
        <w:widowControl/>
        <w:suppressLineNumbers w:val="0"/>
        <w:ind w:firstLine="640" w:firstLineChars="200"/>
        <w:jc w:val="left"/>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5DB4F234">
      <w:pPr>
        <w:keepNext w:val="0"/>
        <w:keepLines w:val="0"/>
        <w:widowControl/>
        <w:suppressLineNumbers w:val="0"/>
        <w:ind w:firstLine="640" w:firstLineChars="200"/>
        <w:jc w:val="left"/>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0759AA41">
      <w:pPr>
        <w:keepNext w:val="0"/>
        <w:keepLines w:val="0"/>
        <w:widowControl/>
        <w:suppressLineNumbers w:val="0"/>
        <w:ind w:firstLine="640" w:firstLineChars="200"/>
        <w:jc w:val="left"/>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6E311C64">
      <w:pPr>
        <w:keepNext w:val="0"/>
        <w:keepLines w:val="0"/>
        <w:widowControl/>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2．机构情况</w:t>
      </w:r>
    </w:p>
    <w:p w14:paraId="7B452CB6">
      <w:pPr>
        <w:keepNext w:val="0"/>
        <w:keepLines w:val="0"/>
        <w:widowControl/>
        <w:suppressLineNumbers w:val="0"/>
        <w:ind w:firstLine="640" w:firstLineChars="200"/>
        <w:jc w:val="left"/>
        <w:rPr>
          <w:rFonts w:hint="eastAsia" w:ascii="仿宋" w:hAnsi="仿宋" w:eastAsia="仿宋" w:cs="仿宋"/>
          <w:b w:val="0"/>
          <w:bCs w:val="0"/>
          <w:color w:val="000000"/>
          <w:kern w:val="0"/>
          <w:sz w:val="32"/>
          <w:szCs w:val="32"/>
          <w:lang w:val="en-US" w:eastAsia="zh-CN" w:bidi="ar"/>
        </w:rPr>
      </w:pPr>
      <w:r>
        <w:rPr>
          <w:rFonts w:hint="eastAsia" w:ascii="仿宋" w:hAnsi="仿宋" w:eastAsia="仿宋" w:cs="仿宋"/>
          <w:b w:val="0"/>
          <w:bCs w:val="0"/>
          <w:color w:val="000000"/>
          <w:kern w:val="0"/>
          <w:sz w:val="32"/>
          <w:szCs w:val="32"/>
          <w:lang w:val="en-US" w:eastAsia="zh-CN" w:bidi="ar"/>
        </w:rPr>
        <w:t>2024年度，纳入本部门决算汇编范围的独立核算单位（以下简称“单位”）共1个：政协石家庄市藁城区委员会办公室。单位基本性质为行政单位，预算管理级次为本级预算单位。</w:t>
      </w:r>
    </w:p>
    <w:p w14:paraId="2FF61E69">
      <w:pPr>
        <w:keepNext w:val="0"/>
        <w:keepLines w:val="0"/>
        <w:widowControl/>
        <w:suppressLineNumbers w:val="0"/>
        <w:ind w:firstLine="643" w:firstLineChars="200"/>
        <w:jc w:val="left"/>
        <w:rPr>
          <w:rFonts w:hint="eastAsia" w:ascii="仿宋" w:hAnsi="仿宋" w:eastAsia="仿宋" w:cs="仿宋"/>
          <w:b/>
          <w:bCs/>
          <w:color w:val="000000"/>
          <w:kern w:val="0"/>
          <w:sz w:val="32"/>
          <w:szCs w:val="32"/>
          <w:lang w:val="en-US" w:eastAsia="zh-CN" w:bidi="ar"/>
        </w:rPr>
      </w:pPr>
      <w:r>
        <w:rPr>
          <w:rFonts w:hint="eastAsia" w:ascii="仿宋" w:hAnsi="仿宋" w:eastAsia="仿宋" w:cs="仿宋"/>
          <w:b/>
          <w:bCs/>
          <w:color w:val="000000"/>
          <w:kern w:val="0"/>
          <w:sz w:val="32"/>
          <w:szCs w:val="32"/>
          <w:lang w:val="en-US" w:eastAsia="zh-CN" w:bidi="ar"/>
        </w:rPr>
        <w:t>3．人员情况</w:t>
      </w:r>
    </w:p>
    <w:p w14:paraId="1606EAA1">
      <w:pPr>
        <w:keepNext w:val="0"/>
        <w:keepLines w:val="0"/>
        <w:widowControl/>
        <w:suppressLineNumbers w:val="0"/>
        <w:ind w:firstLine="640" w:firstLineChars="200"/>
        <w:jc w:val="left"/>
        <w:rPr>
          <w:rFonts w:hint="eastAsia" w:ascii="仿宋" w:hAnsi="仿宋" w:eastAsia="仿宋" w:cs="仿宋"/>
          <w:b w:val="0"/>
          <w:bCs w:val="0"/>
          <w:color w:val="auto"/>
          <w:kern w:val="0"/>
          <w:sz w:val="32"/>
          <w:szCs w:val="32"/>
          <w:lang w:val="en-US" w:eastAsia="zh-CN" w:bidi="ar"/>
        </w:rPr>
      </w:pPr>
      <w:r>
        <w:rPr>
          <w:rFonts w:hint="eastAsia" w:ascii="仿宋" w:hAnsi="仿宋" w:eastAsia="仿宋" w:cs="仿宋"/>
          <w:b w:val="0"/>
          <w:bCs w:val="0"/>
          <w:color w:val="auto"/>
          <w:kern w:val="0"/>
          <w:sz w:val="32"/>
          <w:szCs w:val="32"/>
          <w:lang w:val="en-US" w:eastAsia="zh-CN" w:bidi="ar"/>
        </w:rPr>
        <w:t>我单位2024年年末实有24人，其中：行政年末实有16人，事业年末实有8人。</w:t>
      </w:r>
      <w:bookmarkStart w:id="0" w:name="_GoBack"/>
      <w:bookmarkEnd w:id="0"/>
    </w:p>
    <w:p w14:paraId="74E0DAD3">
      <w:pPr>
        <w:keepNext w:val="0"/>
        <w:keepLines w:val="0"/>
        <w:widowControl/>
        <w:numPr>
          <w:ilvl w:val="0"/>
          <w:numId w:val="1"/>
        </w:numPr>
        <w:suppressLineNumbers w:val="0"/>
        <w:ind w:firstLine="640" w:firstLineChars="200"/>
        <w:jc w:val="left"/>
        <w:rPr>
          <w:rFonts w:hint="eastAsia" w:ascii="楷体" w:hAnsi="楷体" w:eastAsia="楷体" w:cs="楷体"/>
          <w:b w:val="0"/>
          <w:bCs w:val="0"/>
          <w:color w:val="000000"/>
          <w:kern w:val="0"/>
          <w:sz w:val="32"/>
          <w:szCs w:val="32"/>
          <w:lang w:val="en-US" w:eastAsia="zh-CN" w:bidi="ar"/>
        </w:rPr>
      </w:pPr>
      <w:r>
        <w:rPr>
          <w:rFonts w:hint="eastAsia" w:ascii="楷体" w:hAnsi="楷体" w:eastAsia="楷体" w:cs="楷体"/>
          <w:b w:val="0"/>
          <w:bCs w:val="0"/>
          <w:color w:val="000000"/>
          <w:kern w:val="0"/>
          <w:sz w:val="32"/>
          <w:szCs w:val="32"/>
          <w:lang w:val="en-US" w:eastAsia="zh-CN" w:bidi="ar"/>
        </w:rPr>
        <w:t>部门收支预决算情况</w:t>
      </w:r>
    </w:p>
    <w:p w14:paraId="0BE9BE9F">
      <w:pPr>
        <w:keepNext w:val="0"/>
        <w:keepLines w:val="0"/>
        <w:widowControl/>
        <w:numPr>
          <w:ilvl w:val="0"/>
          <w:numId w:val="0"/>
        </w:numPr>
        <w:suppressLineNumbers w:val="0"/>
        <w:ind w:firstLine="640" w:firstLineChars="200"/>
        <w:jc w:val="left"/>
        <w:rPr>
          <w:rFonts w:hint="default"/>
          <w:color w:val="auto"/>
          <w:highlight w:val="none"/>
          <w:lang w:val="en-US"/>
        </w:rPr>
      </w:pPr>
      <w:r>
        <w:rPr>
          <w:rFonts w:hint="eastAsia" w:ascii="仿宋" w:hAnsi="仿宋" w:eastAsia="仿宋" w:cs="仿宋"/>
          <w:b w:val="0"/>
          <w:bCs w:val="0"/>
          <w:color w:val="auto"/>
          <w:kern w:val="0"/>
          <w:sz w:val="32"/>
          <w:szCs w:val="32"/>
          <w:highlight w:val="none"/>
          <w:lang w:val="en-US" w:eastAsia="zh-CN" w:bidi="ar"/>
        </w:rPr>
        <w:t>2024年项目经费调整预算数89.49万元，共6个项目，实际支出合计88.53万元。</w:t>
      </w:r>
    </w:p>
    <w:p w14:paraId="1A7337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A5835BD">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b w:val="0"/>
          <w:bCs w:val="0"/>
          <w:color w:val="000000"/>
          <w:kern w:val="0"/>
          <w:sz w:val="32"/>
          <w:szCs w:val="32"/>
          <w:lang w:val="en-US" w:eastAsia="zh-CN" w:bidi="ar"/>
        </w:rPr>
        <w:t>参照部门预算绩效文本中绩效目标、指标。</w:t>
      </w:r>
    </w:p>
    <w:p w14:paraId="4A2A72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从整体情况看，我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严格按照年初预算进行部门整体支出，在支出过程中，严格遵守各项规章制度。项目经费做到专款专用，按项目实施计划进行资金拨付，执行先有预算后有执行的支付原则。</w:t>
      </w:r>
    </w:p>
    <w:p w14:paraId="0E4AFFFC">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7EF2E341">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7D01CDCE">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000000"/>
          <w:sz w:val="32"/>
          <w:szCs w:val="32"/>
        </w:rPr>
      </w:pPr>
      <w:r>
        <w:rPr>
          <w:rFonts w:hint="eastAsia" w:ascii="仿宋" w:hAnsi="仿宋" w:eastAsia="仿宋" w:cs="仿宋"/>
          <w:b w:val="0"/>
          <w:bCs w:val="0"/>
          <w:color w:val="000000"/>
          <w:sz w:val="32"/>
          <w:szCs w:val="32"/>
        </w:rPr>
        <w:t>成立了以办公室主任为组长，分管财务工作的副</w:t>
      </w:r>
      <w:r>
        <w:rPr>
          <w:rFonts w:hint="eastAsia" w:ascii="仿宋" w:hAnsi="仿宋" w:eastAsia="仿宋" w:cs="仿宋"/>
          <w:b w:val="0"/>
          <w:bCs w:val="0"/>
          <w:color w:val="000000"/>
          <w:sz w:val="32"/>
          <w:szCs w:val="32"/>
          <w:lang w:eastAsia="zh-CN"/>
        </w:rPr>
        <w:t>主任</w:t>
      </w:r>
      <w:r>
        <w:rPr>
          <w:rFonts w:hint="eastAsia" w:ascii="仿宋" w:hAnsi="仿宋" w:eastAsia="仿宋" w:cs="仿宋"/>
          <w:b w:val="0"/>
          <w:bCs w:val="0"/>
          <w:color w:val="000000"/>
          <w:sz w:val="32"/>
          <w:szCs w:val="32"/>
        </w:rPr>
        <w:t>为副组长的“财政专项资金绩效评价工作领导小组”，加强财政专项资金绩效自评工作的组织和领导，</w:t>
      </w:r>
      <w:r>
        <w:rPr>
          <w:rFonts w:hint="eastAsia" w:ascii="仿宋" w:hAnsi="仿宋" w:eastAsia="仿宋" w:cs="仿宋"/>
          <w:b w:val="0"/>
          <w:bCs w:val="0"/>
          <w:color w:val="000000"/>
          <w:sz w:val="32"/>
          <w:szCs w:val="32"/>
          <w:lang w:val="en-US" w:eastAsia="zh-CN"/>
        </w:rPr>
        <w:t>文史资料委</w:t>
      </w:r>
      <w:r>
        <w:rPr>
          <w:rFonts w:hint="eastAsia" w:ascii="仿宋" w:hAnsi="仿宋" w:eastAsia="仿宋" w:cs="仿宋"/>
          <w:b w:val="0"/>
          <w:bCs w:val="0"/>
          <w:color w:val="000000"/>
          <w:sz w:val="32"/>
          <w:szCs w:val="32"/>
          <w:lang w:eastAsia="zh-CN"/>
        </w:rPr>
        <w:t>主任</w:t>
      </w:r>
      <w:r>
        <w:rPr>
          <w:rFonts w:hint="eastAsia" w:ascii="仿宋" w:hAnsi="仿宋" w:eastAsia="仿宋" w:cs="仿宋"/>
          <w:b w:val="0"/>
          <w:bCs w:val="0"/>
          <w:color w:val="000000"/>
          <w:sz w:val="32"/>
          <w:szCs w:val="32"/>
        </w:rPr>
        <w:t>具体负责项目自评工作，确保绩效自评工作顺利进行。</w:t>
      </w:r>
    </w:p>
    <w:p w14:paraId="407FADA1">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42F8AA41">
      <w:pPr>
        <w:keepNext w:val="0"/>
        <w:keepLines w:val="0"/>
        <w:widowControl/>
        <w:suppressLineNumbers w:val="0"/>
        <w:ind w:firstLine="643" w:firstLineChars="200"/>
        <w:jc w:val="left"/>
        <w:rPr>
          <w:color w:val="auto"/>
        </w:rPr>
      </w:pPr>
      <w:r>
        <w:rPr>
          <w:rFonts w:hint="eastAsia" w:ascii="仿宋" w:hAnsi="仿宋" w:eastAsia="仿宋" w:cs="仿宋"/>
          <w:b/>
          <w:bCs/>
          <w:color w:val="000000"/>
          <w:kern w:val="0"/>
          <w:sz w:val="32"/>
          <w:szCs w:val="32"/>
          <w:lang w:val="en-US" w:eastAsia="zh-CN" w:bidi="ar"/>
        </w:rPr>
        <w:t>1</w:t>
      </w:r>
      <w:r>
        <w:rPr>
          <w:rFonts w:ascii="仿宋" w:hAnsi="仿宋" w:eastAsia="仿宋" w:cs="仿宋"/>
          <w:b/>
          <w:bCs/>
          <w:color w:val="000000"/>
          <w:kern w:val="0"/>
          <w:sz w:val="32"/>
          <w:szCs w:val="32"/>
          <w:lang w:val="en-US" w:eastAsia="zh-CN" w:bidi="ar"/>
        </w:rPr>
        <w:t>、组织实施。</w:t>
      </w:r>
      <w:r>
        <w:rPr>
          <w:rFonts w:hint="eastAsia" w:ascii="仿宋" w:hAnsi="仿宋" w:eastAsia="仿宋" w:cs="仿宋"/>
          <w:b w:val="0"/>
          <w:bCs w:val="0"/>
          <w:color w:val="000000"/>
          <w:kern w:val="0"/>
          <w:sz w:val="32"/>
          <w:szCs w:val="32"/>
          <w:lang w:val="en-US" w:eastAsia="zh-CN" w:bidi="ar"/>
        </w:rPr>
        <w:t>按照区政协绩效评价领导小组的工作安排，研究了2024年度项目绩效评价工作方案，从时间安排、程序步骤、评价方法、工作分工等方面进行了明确，遵循“客观、公正、科学、规范”的原则开展项目绩效评价工作</w:t>
      </w:r>
      <w:r>
        <w:rPr>
          <w:rFonts w:hint="eastAsia" w:ascii="仿宋" w:hAnsi="仿宋" w:eastAsia="仿宋" w:cs="仿宋"/>
          <w:b w:val="0"/>
          <w:bCs w:val="0"/>
          <w:color w:val="auto"/>
          <w:kern w:val="0"/>
          <w:sz w:val="32"/>
          <w:szCs w:val="32"/>
          <w:lang w:val="en-US" w:eastAsia="zh-CN" w:bidi="ar"/>
        </w:rPr>
        <w:t>，对机关6个专项项目进行了绩效综合评价。项目绩效自评率达100%。</w:t>
      </w:r>
    </w:p>
    <w:p w14:paraId="5F9624BE">
      <w:pPr>
        <w:keepNext w:val="0"/>
        <w:keepLines w:val="0"/>
        <w:widowControl/>
        <w:suppressLineNumbers w:val="0"/>
        <w:ind w:firstLine="643" w:firstLineChars="200"/>
        <w:jc w:val="left"/>
        <w:rPr>
          <w:rFonts w:hint="default" w:ascii="仿宋" w:hAnsi="仿宋" w:eastAsia="仿宋" w:cs="仿宋"/>
          <w:sz w:val="32"/>
          <w:szCs w:val="32"/>
          <w:lang w:val="en-US" w:eastAsia="zh-CN"/>
        </w:rPr>
      </w:pPr>
      <w:r>
        <w:rPr>
          <w:rFonts w:hint="eastAsia" w:ascii="仿宋" w:hAnsi="仿宋" w:eastAsia="仿宋" w:cs="仿宋"/>
          <w:b/>
          <w:bCs/>
          <w:color w:val="000000"/>
          <w:kern w:val="0"/>
          <w:sz w:val="32"/>
          <w:szCs w:val="32"/>
          <w:lang w:val="en-US" w:eastAsia="zh-CN" w:bidi="ar"/>
        </w:rPr>
        <w:t>2、分析评价。</w:t>
      </w:r>
      <w:r>
        <w:rPr>
          <w:rFonts w:hint="eastAsia" w:ascii="仿宋" w:hAnsi="仿宋" w:eastAsia="仿宋" w:cs="仿宋"/>
          <w:b w:val="0"/>
          <w:bCs w:val="0"/>
          <w:color w:val="000000"/>
          <w:kern w:val="0"/>
          <w:sz w:val="32"/>
          <w:szCs w:val="32"/>
          <w:lang w:val="en-US" w:eastAsia="zh-CN" w:bidi="ar"/>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14:paraId="1C190C40">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C759E3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4ADB1DA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 w:hAnsi="仿宋" w:eastAsia="仿宋" w:cs="仿宋"/>
          <w:b/>
          <w:bCs/>
          <w:color w:val="000000"/>
          <w:sz w:val="32"/>
          <w:szCs w:val="32"/>
        </w:rPr>
      </w:pPr>
      <w:r>
        <w:rPr>
          <w:rFonts w:ascii="仿宋" w:hAnsi="仿宋" w:eastAsia="仿宋" w:cs="仿宋"/>
          <w:b w:val="0"/>
          <w:bCs w:val="0"/>
          <w:color w:val="000000"/>
          <w:sz w:val="32"/>
          <w:szCs w:val="32"/>
        </w:rPr>
        <w:t>通过对</w:t>
      </w:r>
      <w:r>
        <w:rPr>
          <w:rFonts w:hint="eastAsia" w:ascii="仿宋" w:hAnsi="仿宋" w:eastAsia="仿宋" w:cs="仿宋"/>
          <w:b w:val="0"/>
          <w:bCs w:val="0"/>
          <w:color w:val="000000"/>
          <w:sz w:val="32"/>
          <w:szCs w:val="32"/>
          <w:lang w:eastAsia="zh-CN"/>
        </w:rPr>
        <w:t>2024</w:t>
      </w:r>
      <w:r>
        <w:rPr>
          <w:rFonts w:ascii="仿宋" w:hAnsi="仿宋" w:eastAsia="仿宋" w:cs="仿宋"/>
          <w:b w:val="0"/>
          <w:bCs w:val="0"/>
          <w:color w:val="000000"/>
          <w:sz w:val="32"/>
          <w:szCs w:val="32"/>
        </w:rPr>
        <w:t>年度专项项目进行绩效</w:t>
      </w:r>
      <w:r>
        <w:rPr>
          <w:rFonts w:ascii="仿宋" w:hAnsi="仿宋" w:eastAsia="仿宋" w:cs="仿宋"/>
          <w:b w:val="0"/>
          <w:bCs w:val="0"/>
          <w:color w:val="auto"/>
          <w:sz w:val="32"/>
          <w:szCs w:val="32"/>
        </w:rPr>
        <w:t>自评，</w:t>
      </w:r>
      <w:r>
        <w:rPr>
          <w:rFonts w:hint="eastAsia" w:ascii="仿宋" w:hAnsi="仿宋" w:eastAsia="仿宋" w:cs="仿宋"/>
          <w:b w:val="0"/>
          <w:bCs w:val="0"/>
          <w:color w:val="auto"/>
          <w:sz w:val="32"/>
          <w:szCs w:val="32"/>
          <w:lang w:val="en-US" w:eastAsia="zh-CN"/>
        </w:rPr>
        <w:t>6</w:t>
      </w:r>
      <w:r>
        <w:rPr>
          <w:rFonts w:ascii="仿宋" w:hAnsi="仿宋" w:eastAsia="仿宋" w:cs="仿宋"/>
          <w:b w:val="0"/>
          <w:bCs w:val="0"/>
          <w:color w:val="auto"/>
          <w:sz w:val="32"/>
          <w:szCs w:val="32"/>
        </w:rPr>
        <w:t>个项目的产出和效果指标都全部完成，自评得分全部为9</w:t>
      </w:r>
      <w:r>
        <w:rPr>
          <w:rFonts w:hint="eastAsia" w:ascii="仿宋" w:hAnsi="仿宋" w:eastAsia="仿宋" w:cs="仿宋"/>
          <w:b w:val="0"/>
          <w:bCs w:val="0"/>
          <w:color w:val="auto"/>
          <w:sz w:val="32"/>
          <w:szCs w:val="32"/>
          <w:lang w:val="en-US" w:eastAsia="zh-CN"/>
        </w:rPr>
        <w:t>5</w:t>
      </w:r>
      <w:r>
        <w:rPr>
          <w:rFonts w:ascii="仿宋" w:hAnsi="仿宋" w:eastAsia="仿宋" w:cs="仿宋"/>
          <w:b w:val="0"/>
          <w:bCs w:val="0"/>
          <w:color w:val="auto"/>
          <w:sz w:val="32"/>
          <w:szCs w:val="32"/>
        </w:rPr>
        <w:t>分以上，自评结果为优秀。虽然完成率较好，但也存在部分指标设置不科学</w:t>
      </w:r>
      <w:r>
        <w:rPr>
          <w:rFonts w:ascii="仿宋" w:hAnsi="仿宋" w:eastAsia="仿宋" w:cs="仿宋"/>
          <w:b w:val="0"/>
          <w:bCs w:val="0"/>
          <w:color w:val="000000"/>
          <w:sz w:val="32"/>
          <w:szCs w:val="32"/>
        </w:rPr>
        <w:t>、不合理的问题，下一步将进一步优化。</w:t>
      </w:r>
    </w:p>
    <w:p w14:paraId="359D432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24310059">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1.组织召开政协会议活动</w:t>
      </w:r>
    </w:p>
    <w:p w14:paraId="484DCA92">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绩效目标：完善各项会议制度，规范会议程序，提高会议质量，提高政治协商水平。</w:t>
      </w:r>
    </w:p>
    <w:p w14:paraId="5436D67B">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绩效指标：政协全体会议、政协常委会议等重要会议任务完成率达到100%。</w:t>
      </w:r>
    </w:p>
    <w:p w14:paraId="639B2D0C">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2.组织开展民主监督工作和提案办理</w:t>
      </w:r>
    </w:p>
    <w:p w14:paraId="2324AAF3">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紧扣区委、区政府决策部署和政策措施的贯彻落实民主监督，协助党委政府更好地解决问题、推动工作。完善提案审查、立案、办理、反馈和协商机制，做到提案程序更加规范，制度更加完善，委员提案质量和办理效果不断提高，政协委员履职作用更有成效。</w:t>
      </w:r>
    </w:p>
    <w:p w14:paraId="4C3756DD">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绩效指标：按照政协党组监督计划，组织委员开展监督活动。</w:t>
      </w:r>
    </w:p>
    <w:p w14:paraId="4AC2FE4A">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3.组织开展专题调研活动、做好社情民意信息反映工作</w:t>
      </w:r>
    </w:p>
    <w:p w14:paraId="1BEB8EFC">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围绕全区大局和政协工作，深入开展调查研究，打牢协商议政和咨政建言的基础。通过调研提出客观、有价值、有份量、有影响的意见和建议，促进党委决策民主化和科学化。通过界别群众渠道密切联系群众，反映神情民意，努力做到协商关系化解矛盾，理顺情绪，增进社会各阶层不同利益群众群体和谐稳定。</w:t>
      </w:r>
    </w:p>
    <w:p w14:paraId="1C9FD0DC">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绩效指标：按照政协党组调研计划，组织委员开展重点课题调研。协商调研视察报告和提案、大会发言等提交不少于100篇，重点采纳不少于10篇。</w:t>
      </w:r>
    </w:p>
    <w:p w14:paraId="35305A0D">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4.抓好机关建设，做好服务保障工作。</w:t>
      </w:r>
    </w:p>
    <w:p w14:paraId="00269380">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绩效目标：加强政协机关自身建设，理论研究、干部管理、信息和宣传工作，政协自身建设质量更加扎实，理论研究成果丰硕，宣传报道工作成效明显，后勤服务保障更加有力，信息化能力更加提升 。</w:t>
      </w:r>
    </w:p>
    <w:p w14:paraId="77A3EA9C">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绩效指标：分批组织机关干部培训，组织开展政协理论研讨会。</w:t>
      </w:r>
    </w:p>
    <w:p w14:paraId="0364A161">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w:t>
      </w:r>
    </w:p>
    <w:p w14:paraId="5396223A">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color w:val="auto"/>
        </w:rPr>
      </w:pPr>
      <w:r>
        <w:rPr>
          <w:rFonts w:ascii="仿宋" w:hAnsi="仿宋" w:eastAsia="仿宋" w:cs="仿宋"/>
          <w:b w:val="0"/>
          <w:bCs w:val="0"/>
          <w:color w:val="auto"/>
          <w:kern w:val="0"/>
          <w:sz w:val="32"/>
          <w:szCs w:val="32"/>
          <w:lang w:val="en-US" w:eastAsia="zh-CN" w:bidi="ar"/>
        </w:rPr>
        <w:t>参与本次评价的项目共计</w:t>
      </w:r>
      <w:r>
        <w:rPr>
          <w:rFonts w:hint="eastAsia" w:ascii="仿宋" w:hAnsi="仿宋" w:eastAsia="仿宋" w:cs="仿宋"/>
          <w:b w:val="0"/>
          <w:bCs w:val="0"/>
          <w:color w:val="auto"/>
          <w:kern w:val="0"/>
          <w:sz w:val="32"/>
          <w:szCs w:val="32"/>
          <w:lang w:val="en-US" w:eastAsia="zh-CN" w:bidi="ar"/>
        </w:rPr>
        <w:t>6</w:t>
      </w:r>
      <w:r>
        <w:rPr>
          <w:rFonts w:ascii="仿宋" w:hAnsi="仿宋" w:eastAsia="仿宋" w:cs="仿宋"/>
          <w:b w:val="0"/>
          <w:bCs w:val="0"/>
          <w:color w:val="auto"/>
          <w:kern w:val="0"/>
          <w:sz w:val="32"/>
          <w:szCs w:val="32"/>
          <w:lang w:val="en-US" w:eastAsia="zh-CN" w:bidi="ar"/>
        </w:rPr>
        <w:t>个，</w:t>
      </w:r>
      <w:r>
        <w:rPr>
          <w:rFonts w:hint="eastAsia" w:ascii="仿宋" w:hAnsi="仿宋" w:eastAsia="仿宋" w:cs="仿宋"/>
          <w:b w:val="0"/>
          <w:bCs w:val="0"/>
          <w:color w:val="auto"/>
          <w:kern w:val="0"/>
          <w:sz w:val="32"/>
          <w:szCs w:val="32"/>
          <w:lang w:val="en-US" w:eastAsia="zh-CN" w:bidi="ar"/>
        </w:rPr>
        <w:t>6</w:t>
      </w:r>
      <w:r>
        <w:rPr>
          <w:rFonts w:ascii="仿宋" w:hAnsi="仿宋" w:eastAsia="仿宋" w:cs="仿宋"/>
          <w:b w:val="0"/>
          <w:bCs w:val="0"/>
          <w:color w:val="auto"/>
          <w:kern w:val="0"/>
          <w:sz w:val="32"/>
          <w:szCs w:val="32"/>
          <w:lang w:val="en-US" w:eastAsia="zh-CN" w:bidi="ar"/>
        </w:rPr>
        <w:t>个项目评价等级均为</w:t>
      </w:r>
      <w:r>
        <w:rPr>
          <w:rFonts w:hint="eastAsia" w:ascii="仿宋" w:hAnsi="仿宋" w:eastAsia="仿宋" w:cs="仿宋"/>
          <w:b w:val="0"/>
          <w:bCs w:val="0"/>
          <w:color w:val="auto"/>
          <w:kern w:val="0"/>
          <w:sz w:val="32"/>
          <w:szCs w:val="32"/>
          <w:lang w:val="en-US" w:eastAsia="zh-CN" w:bidi="ar"/>
        </w:rPr>
        <w:t>“优秀”。</w:t>
      </w:r>
    </w:p>
    <w:p w14:paraId="63ADF0FC">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01E8BF6">
      <w:pPr>
        <w:keepNext w:val="0"/>
        <w:keepLines w:val="0"/>
        <w:pageBreakBefore w:val="0"/>
        <w:widowControl w:val="0"/>
        <w:numPr>
          <w:ilvl w:val="0"/>
          <w:numId w:val="4"/>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5C00AB8A">
      <w:pPr>
        <w:keepNext w:val="0"/>
        <w:keepLines w:val="0"/>
        <w:pageBreakBefore w:val="0"/>
        <w:widowControl w:val="0"/>
        <w:numPr>
          <w:ilvl w:val="0"/>
          <w:numId w:val="5"/>
        </w:numPr>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绩效评价指标可量化性不高。</w:t>
      </w:r>
    </w:p>
    <w:p w14:paraId="439170AF">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ascii="仿宋" w:hAnsi="仿宋" w:eastAsia="仿宋" w:cs="仿宋"/>
          <w:b w:val="0"/>
          <w:bCs w:val="0"/>
          <w:color w:val="000000"/>
          <w:sz w:val="32"/>
          <w:szCs w:val="32"/>
        </w:rPr>
        <w:t>2.结果应用不足。</w:t>
      </w:r>
    </w:p>
    <w:p w14:paraId="2751937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55697A9A">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1．进一步优化绩效目标进一步细化、量化预算绩指标设定，从时效、数量、质量等维度，建立可细化、可量化、可考评的的绩效指标体系，提高绩效评价指标体系的科学性、合理性。</w:t>
      </w:r>
    </w:p>
    <w:p w14:paraId="5F3E82F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 w:hAnsi="仿宋" w:eastAsia="仿宋" w:cs="仿宋"/>
          <w:b w:val="0"/>
          <w:bCs w:val="0"/>
          <w:color w:val="000000"/>
          <w:sz w:val="32"/>
          <w:szCs w:val="32"/>
        </w:rPr>
      </w:pPr>
      <w:r>
        <w:rPr>
          <w:rFonts w:ascii="仿宋" w:hAnsi="仿宋" w:eastAsia="仿宋" w:cs="仿宋"/>
          <w:b w:val="0"/>
          <w:bCs w:val="0"/>
          <w:color w:val="000000"/>
          <w:sz w:val="32"/>
          <w:szCs w:val="32"/>
        </w:rPr>
        <w:t>2．完善预算考核进一步加强各项目的预算资金管理，加大对预算编制与执行的监督管理力度，提高预算资金使用效率。</w:t>
      </w:r>
    </w:p>
    <w:p w14:paraId="06E8F9D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ascii="仿宋" w:hAnsi="仿宋" w:eastAsia="仿宋" w:cs="仿宋"/>
          <w:b w:val="0"/>
          <w:bCs w:val="0"/>
          <w:color w:val="000000"/>
          <w:sz w:val="32"/>
          <w:szCs w:val="32"/>
        </w:rPr>
        <w:t>3．重视结果应用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14:paraId="0A25CDE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13"/>
        <w:gridCol w:w="2265"/>
        <w:gridCol w:w="3046"/>
      </w:tblGrid>
      <w:tr w14:paraId="3BD2B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3" w:type="dxa"/>
          </w:tcPr>
          <w:p w14:paraId="4BFC8CD3">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Pr>
          <w:p w14:paraId="22C85183">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3046" w:type="dxa"/>
          </w:tcPr>
          <w:p w14:paraId="187D35A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0005C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3" w:type="dxa"/>
            <w:vMerge w:val="restart"/>
          </w:tcPr>
          <w:p w14:paraId="0C97001C">
            <w:pPr>
              <w:pBdr>
                <w:top w:val="none" w:color="auto" w:sz="0" w:space="0"/>
                <w:left w:val="none" w:color="auto" w:sz="0" w:space="0"/>
                <w:bottom w:val="none" w:color="auto" w:sz="0" w:space="0"/>
                <w:right w:val="none" w:color="auto" w:sz="0" w:space="0"/>
              </w:pBdr>
              <w:wordWrap/>
              <w:spacing w:line="560" w:lineRule="exact"/>
              <w:ind w:left="0"/>
              <w:jc w:val="center"/>
              <w:rPr>
                <w:rFonts w:ascii="仿宋_GB2312" w:hAnsi="仿宋" w:eastAsia="仿宋_GB2312" w:cs="仿宋_GB2312"/>
                <w:sz w:val="32"/>
                <w:szCs w:val="32"/>
              </w:rPr>
            </w:pPr>
          </w:p>
          <w:p w14:paraId="2199BD78">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eastAsia="zh-CN"/>
              </w:rPr>
            </w:pPr>
            <w:r>
              <w:rPr>
                <w:rFonts w:hint="eastAsia" w:ascii="仿宋_GB2312" w:hAnsi="仿宋" w:eastAsia="仿宋_GB2312" w:cs="仿宋_GB2312"/>
                <w:sz w:val="32"/>
                <w:szCs w:val="32"/>
                <w:lang w:val="en-US" w:eastAsia="zh-CN"/>
              </w:rPr>
              <w:t>政协办</w:t>
            </w:r>
          </w:p>
        </w:tc>
        <w:tc>
          <w:tcPr>
            <w:tcW w:w="2265" w:type="dxa"/>
            <w:tcBorders>
              <w:left w:val="single" w:color="auto" w:sz="4" w:space="0"/>
            </w:tcBorders>
            <w:vAlign w:val="top"/>
          </w:tcPr>
          <w:p w14:paraId="2E02AAB3">
            <w:pPr>
              <w:jc w:val="center"/>
              <w:rPr>
                <w:rFonts w:hint="eastAsia" w:ascii="仿宋_GB2312" w:hAnsi="仿宋" w:eastAsia="仿宋_GB2312" w:cs="仿宋_GB2312"/>
                <w:sz w:val="32"/>
                <w:szCs w:val="32"/>
              </w:rPr>
            </w:pPr>
            <w:r>
              <w:rPr>
                <w:rFonts w:hint="eastAsia" w:ascii="仿宋_GB2312" w:hAnsi="仿宋_GB2312" w:eastAsia="仿宋_GB2312" w:cs="仿宋_GB2312"/>
                <w:sz w:val="32"/>
                <w:szCs w:val="32"/>
              </w:rPr>
              <w:t>办公室主任</w:t>
            </w:r>
          </w:p>
        </w:tc>
        <w:tc>
          <w:tcPr>
            <w:tcW w:w="3046" w:type="dxa"/>
            <w:tcBorders>
              <w:left w:val="single" w:color="auto" w:sz="4" w:space="0"/>
            </w:tcBorders>
            <w:vAlign w:val="top"/>
          </w:tcPr>
          <w:p w14:paraId="44B5FA64">
            <w:pPr>
              <w:jc w:val="center"/>
              <w:rPr>
                <w:rFonts w:hint="eastAsia" w:ascii="仿宋_GB2312" w:hAnsi="仿宋" w:eastAsia="仿宋_GB2312" w:cs="仿宋_GB2312"/>
                <w:sz w:val="32"/>
                <w:szCs w:val="32"/>
                <w:lang w:eastAsia="zh-CN"/>
              </w:rPr>
            </w:pPr>
            <w:r>
              <w:rPr>
                <w:rFonts w:hint="eastAsia" w:ascii="仿宋_GB2312" w:hAnsi="仿宋_GB2312" w:eastAsia="仿宋_GB2312" w:cs="仿宋_GB2312"/>
                <w:sz w:val="32"/>
                <w:szCs w:val="32"/>
                <w:lang w:val="en-US" w:eastAsia="zh-CN"/>
              </w:rPr>
              <w:t>杨文平</w:t>
            </w:r>
          </w:p>
        </w:tc>
      </w:tr>
      <w:tr w14:paraId="435CB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3" w:type="dxa"/>
            <w:vMerge w:val="continue"/>
          </w:tcPr>
          <w:p w14:paraId="73875B56"/>
        </w:tc>
        <w:tc>
          <w:tcPr>
            <w:tcW w:w="2265" w:type="dxa"/>
            <w:tcBorders>
              <w:left w:val="single" w:color="auto" w:sz="4" w:space="0"/>
            </w:tcBorders>
            <w:vAlign w:val="top"/>
          </w:tcPr>
          <w:p w14:paraId="4E63DEE4">
            <w:pPr>
              <w:jc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文史资料委</w:t>
            </w:r>
          </w:p>
          <w:p w14:paraId="248E714C">
            <w:pPr>
              <w:jc w:val="center"/>
              <w:rPr>
                <w:rFonts w:hint="default" w:ascii="仿宋_GB2312" w:hAnsi="仿宋" w:eastAsia="仿宋_GB2312" w:cs="仿宋_GB2312"/>
                <w:sz w:val="32"/>
                <w:szCs w:val="32"/>
                <w:lang w:val="en-US"/>
              </w:rPr>
            </w:pPr>
            <w:r>
              <w:rPr>
                <w:rFonts w:hint="eastAsia" w:ascii="仿宋_GB2312" w:hAnsi="仿宋_GB2312" w:eastAsia="仿宋_GB2312" w:cs="仿宋_GB2312"/>
                <w:sz w:val="32"/>
                <w:szCs w:val="32"/>
                <w:lang w:val="en-US" w:eastAsia="zh-CN"/>
              </w:rPr>
              <w:t>主任</w:t>
            </w:r>
          </w:p>
        </w:tc>
        <w:tc>
          <w:tcPr>
            <w:tcW w:w="3046" w:type="dxa"/>
            <w:tcBorders>
              <w:left w:val="single" w:color="auto" w:sz="4" w:space="0"/>
            </w:tcBorders>
            <w:vAlign w:val="top"/>
          </w:tcPr>
          <w:p w14:paraId="4D7E75E7">
            <w:pPr>
              <w:jc w:val="center"/>
              <w:rPr>
                <w:rFonts w:hint="eastAsia" w:ascii="仿宋_GB2312" w:hAnsi="仿宋" w:eastAsia="仿宋_GB2312" w:cs="仿宋_GB2312"/>
                <w:sz w:val="32"/>
                <w:szCs w:val="32"/>
              </w:rPr>
            </w:pPr>
            <w:r>
              <w:rPr>
                <w:rFonts w:hint="eastAsia" w:ascii="仿宋_GB2312" w:hAnsi="仿宋_GB2312" w:eastAsia="仿宋_GB2312" w:cs="仿宋_GB2312"/>
                <w:sz w:val="32"/>
                <w:szCs w:val="32"/>
                <w:lang w:val="en-US" w:eastAsia="zh-CN"/>
              </w:rPr>
              <w:t>崇琳琳</w:t>
            </w:r>
          </w:p>
        </w:tc>
      </w:tr>
      <w:tr w14:paraId="6B868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13" w:type="dxa"/>
            <w:vMerge w:val="continue"/>
          </w:tcPr>
          <w:p w14:paraId="366DC0DF"/>
        </w:tc>
        <w:tc>
          <w:tcPr>
            <w:tcW w:w="2265" w:type="dxa"/>
            <w:tcBorders>
              <w:left w:val="single" w:color="auto" w:sz="4" w:space="0"/>
            </w:tcBorders>
            <w:vAlign w:val="top"/>
          </w:tcPr>
          <w:p w14:paraId="4691DDB8">
            <w:pPr>
              <w:jc w:val="center"/>
              <w:rPr>
                <w:rFonts w:ascii="仿宋_GB2312" w:hAnsi="仿宋" w:eastAsia="仿宋_GB2312" w:cs="仿宋_GB2312"/>
                <w:sz w:val="32"/>
                <w:szCs w:val="32"/>
              </w:rPr>
            </w:pPr>
            <w:r>
              <w:rPr>
                <w:rFonts w:hint="eastAsia" w:ascii="仿宋_GB2312" w:hAnsi="仿宋_GB2312" w:eastAsia="仿宋_GB2312" w:cs="仿宋_GB2312"/>
                <w:sz w:val="32"/>
                <w:szCs w:val="32"/>
              </w:rPr>
              <w:t>办公室副主任</w:t>
            </w:r>
          </w:p>
        </w:tc>
        <w:tc>
          <w:tcPr>
            <w:tcW w:w="3046" w:type="dxa"/>
            <w:tcBorders>
              <w:left w:val="single" w:color="auto" w:sz="4" w:space="0"/>
            </w:tcBorders>
            <w:vAlign w:val="top"/>
          </w:tcPr>
          <w:p w14:paraId="02760A35">
            <w:pPr>
              <w:jc w:val="center"/>
              <w:rPr>
                <w:rFonts w:hint="eastAsia" w:ascii="仿宋_GB2312" w:hAnsi="仿宋" w:eastAsia="仿宋_GB2312" w:cs="仿宋_GB2312"/>
                <w:sz w:val="32"/>
                <w:szCs w:val="32"/>
                <w:lang w:eastAsia="zh-CN"/>
              </w:rPr>
            </w:pPr>
            <w:r>
              <w:rPr>
                <w:rFonts w:hint="eastAsia" w:ascii="仿宋_GB2312" w:hAnsi="仿宋_GB2312" w:eastAsia="仿宋_GB2312" w:cs="仿宋_GB2312"/>
                <w:sz w:val="32"/>
                <w:szCs w:val="32"/>
                <w:lang w:val="en-US" w:eastAsia="zh-CN"/>
              </w:rPr>
              <w:t>李旋</w:t>
            </w:r>
          </w:p>
        </w:tc>
      </w:tr>
    </w:tbl>
    <w:p w14:paraId="362E4D06">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E4A154">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1F7E7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1E1F7E7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716A4">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1A3D307"/>
    <w:multiLevelType w:val="singleLevel"/>
    <w:tmpl w:val="D1A3D307"/>
    <w:lvl w:ilvl="0" w:tentative="0">
      <w:start w:val="1"/>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61347EB"/>
    <w:multiLevelType w:val="singleLevel"/>
    <w:tmpl w:val="461347EB"/>
    <w:lvl w:ilvl="0" w:tentative="0">
      <w:start w:val="1"/>
      <w:numFmt w:val="decimal"/>
      <w:suff w:val="nothing"/>
      <w:lvlText w:val="%1．"/>
      <w:lvlJc w:val="left"/>
    </w:lvl>
  </w:abstractNum>
  <w:abstractNum w:abstractNumId="4">
    <w:nsid w:val="4CD73947"/>
    <w:multiLevelType w:val="singleLevel"/>
    <w:tmpl w:val="4CD73947"/>
    <w:lvl w:ilvl="0" w:tentative="0">
      <w:start w:val="2"/>
      <w:numFmt w:val="chineseCounting"/>
      <w:suff w:val="nothing"/>
      <w:lvlText w:val="（%1）"/>
      <w:lvlJc w:val="left"/>
      <w:rPr>
        <w:rFonts w:hint="eastAsia"/>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4Y2ZhYzljNGY0MzA2ZDFiNjRlNDU2N2U5OTY3YzU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3F84131"/>
    <w:rsid w:val="055B525F"/>
    <w:rsid w:val="12442113"/>
    <w:rsid w:val="13B61930"/>
    <w:rsid w:val="1A3B21A2"/>
    <w:rsid w:val="1BAF1154"/>
    <w:rsid w:val="1C655171"/>
    <w:rsid w:val="20157574"/>
    <w:rsid w:val="20276775"/>
    <w:rsid w:val="26B75F6B"/>
    <w:rsid w:val="2F2C2A40"/>
    <w:rsid w:val="302526F6"/>
    <w:rsid w:val="344704E1"/>
    <w:rsid w:val="39744C0B"/>
    <w:rsid w:val="3AEF6FE7"/>
    <w:rsid w:val="44176C0D"/>
    <w:rsid w:val="441F3676"/>
    <w:rsid w:val="493B718D"/>
    <w:rsid w:val="4AC31255"/>
    <w:rsid w:val="4D605C0E"/>
    <w:rsid w:val="4D827922"/>
    <w:rsid w:val="53A42ADD"/>
    <w:rsid w:val="563B01B4"/>
    <w:rsid w:val="56604927"/>
    <w:rsid w:val="58BC5237"/>
    <w:rsid w:val="590F0BE0"/>
    <w:rsid w:val="5A257CB1"/>
    <w:rsid w:val="5C4A315B"/>
    <w:rsid w:val="5FC5782B"/>
    <w:rsid w:val="61596E2A"/>
    <w:rsid w:val="661D3074"/>
    <w:rsid w:val="69441D31"/>
    <w:rsid w:val="6B1C1E0E"/>
    <w:rsid w:val="6BDE7164"/>
    <w:rsid w:val="750D68EF"/>
    <w:rsid w:val="7F431725"/>
    <w:rsid w:val="7FA97E4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2207</Words>
  <Characters>2287</Characters>
  <Lines>3</Lines>
  <Paragraphs>1</Paragraphs>
  <TotalTime>11</TotalTime>
  <ScaleCrop>false</ScaleCrop>
  <LinksUpToDate>false</LinksUpToDate>
  <CharactersWithSpaces>2288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cp:lastModifiedBy>
  <cp:lastPrinted>2021-02-24T05:43:00Z</cp:lastPrinted>
  <dcterms:modified xsi:type="dcterms:W3CDTF">2025-05-14T06:36:02Z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28C64EFCB758481798A31117B3E7B5E3</vt:lpwstr>
  </property>
  <property fmtid="{D5CDD505-2E9C-101B-9397-08002B2CF9AE}" pid="4" name="KSOTemplateDocerSaveRecord">
    <vt:lpwstr>eyJoZGlkIjoiZjU4Y2ZhYzljNGY0MzA2ZDFiNjRlNDU2N2U5OTY3YzUiLCJ1c2VySWQiOiI0MzM0MzQ3NTQifQ==</vt:lpwstr>
  </property>
</Properties>
</file>