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黑体" w:eastAsia="黑体" w:cs="黑体" w:hAnsi="黑体" w:hint="eastAsia"/>
          <w:sz w:val="32"/>
          <w:szCs w:val="32"/>
          <w:lang w:val="en-US" w:eastAsia="zh-CN"/>
        </w:rPr>
      </w:pPr>
      <w:r>
        <w:rPr>
          <w:rFonts w:ascii="黑体" w:eastAsia="黑体" w:cs="黑体" w:hAnsi="黑体" w:hint="eastAsia"/>
          <w:sz w:val="32"/>
          <w:szCs w:val="32"/>
        </w:rPr>
        <w:t>附件</w:t>
      </w: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黑体" w:eastAsia="黑体" w:cs="黑体" w:hAnsi="黑体" w:hint="eastAsia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ascii="方正小标宋简体" w:eastAsia="方正小标宋简体" w:cs="方正小标宋简体" w:hAnsi="方正小标宋简体" w:hint="eastAsia"/>
          <w:b w:val="0"/>
          <w:bCs w:val="0"/>
          <w:sz w:val="44"/>
          <w:szCs w:val="44"/>
          <w:lang w:val="en-US"/>
        </w:rPr>
      </w:pPr>
      <w:r>
        <w:rPr>
          <w:rFonts w:ascii="方正小标宋简体" w:eastAsia="方正小标宋简体" w:cs="方正小标宋简体" w:hAnsi="方正小标宋简体" w:hint="eastAsia"/>
          <w:b w:val="0"/>
          <w:bCs w:val="0"/>
          <w:sz w:val="44"/>
          <w:szCs w:val="44"/>
          <w:lang w:val="en-US" w:eastAsia="zh-CN"/>
        </w:rPr>
        <w:t>民政部门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ascii="方正小标宋_GBK" w:eastAsia="方正小标宋_GBK" w:cs="方正小标宋_GBK" w:hAnsi="方正小标宋_GBK" w:hint="eastAsia"/>
          <w:b/>
          <w:bCs/>
          <w:sz w:val="44"/>
          <w:szCs w:val="44"/>
        </w:rPr>
      </w:pPr>
      <w:r>
        <w:rPr>
          <w:rFonts w:ascii="方正小标宋简体" w:eastAsia="方正小标宋简体" w:cs="方正小标宋简体" w:hAnsi="方正小标宋简体" w:hint="eastAsia"/>
          <w:b w:val="0"/>
          <w:bCs w:val="0"/>
          <w:sz w:val="44"/>
          <w:szCs w:val="44"/>
        </w:rPr>
        <w:t>2024年度整体支出绩效自评报告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ascii="仿宋_GB2312" w:eastAsia="仿宋_GB2312" w:cs="仿宋_GB2312" w:hAnsi="仿宋_GB2312" w:hint="eastAsia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贯彻落实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区委区政府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《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关于全面落实预算绩效管理的实施意见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》（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藁发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〔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2019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〕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  <w:highlight w:val="none"/>
        </w:rPr>
        <w:t>9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号）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文件精神</w:t>
      </w:r>
      <w:r>
        <w:rPr>
          <w:rFonts w:ascii="仿宋_GB2312" w:eastAsia="仿宋_GB2312" w:cs="仿宋_GB2312" w:hAnsi="仿宋_GB2312" w:hint="eastAsia"/>
          <w:sz w:val="32"/>
          <w:szCs w:val="32"/>
          <w:highlight w:val="none"/>
        </w:rPr>
        <w:t>，</w:t>
      </w:r>
      <w:r>
        <w:rPr>
          <w:rFonts w:ascii="仿宋_GB2312" w:eastAsia="仿宋_GB2312" w:cs="仿宋_GB2312" w:hAnsi="仿宋_GB2312" w:hint="eastAsia"/>
          <w:sz w:val="32"/>
          <w:szCs w:val="32"/>
        </w:rPr>
        <w:t>遵循“科学性、规范性、客观性和公正性”的原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则，对民政部门202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  <w:highlight w:val="none"/>
        </w:rPr>
        <w:t>4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年度整体支出情况实施了财政支出绩效自评价，形成本评价报告。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Chars="200" w:firstLine="640"/>
        <w:textAlignment w:val="auto"/>
        <w:outlineLvl w:val="9"/>
        <w:rPr>
          <w:rFonts w:ascii="黑体" w:eastAsia="黑体" w:cs="黑体" w:hAnsi="黑体" w:hint="eastAsia"/>
          <w:sz w:val="32"/>
          <w:szCs w:val="32"/>
          <w:lang w:eastAsia="zh-CN"/>
        </w:rPr>
      </w:pPr>
      <w:r>
        <w:rPr>
          <w:rFonts w:ascii="黑体" w:eastAsia="黑体" w:cs="黑体" w:hAnsi="黑体" w:hint="eastAsia"/>
          <w:sz w:val="32"/>
          <w:szCs w:val="32"/>
        </w:rPr>
        <w:t>一、</w:t>
      </w:r>
      <w:r>
        <w:rPr>
          <w:rFonts w:ascii="黑体" w:eastAsia="黑体" w:cs="黑体" w:hAnsi="黑体" w:hint="eastAsia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部门基本职责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.拟订全区民政工作年度计划并组织实施。负责机关日常工作的协调和督查督办，负责人事劳资、机关文电、党建、信息、会务、机要、保密、信访、政务公开、新闻宣传、精神文明建设、党风廉政建设、文书档案管理及后勤保障等工作，承办人大代表建议、政协委员提案答复工作；负责全区民政事业的财务、计划、统计、国有资产管理工作；负责全区民政事业统计年报和决算；指导、检查、监督所属单位和各乡镇的民政财务管理工作；负责所属单位的内部审计工作；负责民政统计管理工作；负责民政系统安全生产监督管理工作，开展安全生产宣传、教育和培训，依法组织或参与组织有关事故调查处理，指导督促民政行业做好安全生产、消防等工作；负责民政行政执法监督工作，负责区本级行政执法的合法性法制审查及行政应诉工作，负责开展法制宣传教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.贯彻落实全区社会团体、社会服务机构等社会组织监督管理办法，依照《石家庄市社会组织监督管理办法》规定的管理权限，对社会团体，社会服务机构进行监管。负责区社会组织党委日常工作，指导全区社会组织党群建设工作。贯彻落实促进慈善事业发展相关政策、措施和慈善组织活动管理办法；组织指导慈善捐助和慈善精准扶贫帮扶工作，负责社会公益性慈善捐赠监管工作；负责福利彩票相关政策执行及福利彩票销售管理工作。贯彻落实儿童福利、孤弃儿童保障、儿童收养、儿童救助保护政策、标准。健全农村留守儿童关爱服务体系和困境儿童保障制度，负责孤儿补贴发放工作，指导儿童福利（未成年人保护）、社会福利院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3.牵头拟订全区社会救助政策、标准、规划，统筹社会救助体系建设。负责城乡居民最低生活保障、特困人员救助供养、临时救助工作和资金管理使用。指导全区城乡低收入家庭认定工作；参与拟订全区医疗、住房、教育、司法、就业救助相关办法；承担全区社会救助工作信息化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4.贯彻落实婚姻、殡葬、残疾人权益保护、生活无着流浪乞讨人员救助管理政策，健全残疾人福利制度建设，做好残疾人补贴发放工作；指导婚姻登记机关和残疾人社会福利、殡葬服务、生活无着流浪乞讨人员救助管理机构相关工作，负责区域生活无着流浪乞讨人员救助事务，开展家庭暴力受害人临时庇护救助工作；负责对经营性公墓的经营活动进行事中事后监管。贯彻落实行政区划管理行政区域界线和地名管理办法，负责区行政区划调整及乡镇、街道办事处的设立、命名、撤销、更名和政府驻地迁移的审核报批工作，负责地名标志管理及重要自然地理实体命名、更名的审核报批工作，负责行政区域界线勘察和管理工作，负责地名档案管理工作，负责编印和审查全区行政区划图和标准地名的书图资料，组织开展地名公共服务工程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.统筹推进、督促指导、监督管理全区养老服务工作；拟订全区养老服务体系建设规划、政策、标准并组织实施；承担老年人福利和特殊困难老年人救助工作；负责全区养老服务、老年人福利、特困人员救助供养机构业务指导工作。负责老龄工作委员会办公室日常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14、完成区委、区政府交办的其他任务。</w:t>
      </w:r>
    </w:p>
    <w:p>
      <w:pPr>
        <w:ind w:firstLineChars="200" w:firstLine="640"/>
        <w:rPr>
          <w:rFonts w:ascii="仿宋" w:eastAsia="仿宋" w:cs="Times New Roman" w:hAnsi="仿宋" w:hint="eastAsia"/>
          <w:b/>
          <w:sz w:val="32"/>
          <w:szCs w:val="32"/>
        </w:rPr>
      </w:pPr>
    </w:p>
    <w:p>
      <w:pPr>
        <w:ind w:firstLineChars="200" w:firstLine="640"/>
        <w:rPr>
          <w:rFonts w:ascii="仿宋" w:eastAsia="仿宋" w:cs="Times New Roman" w:hAnsi="仿宋" w:hint="eastAsia"/>
          <w:b/>
          <w:sz w:val="32"/>
          <w:szCs w:val="32"/>
        </w:rPr>
      </w:pPr>
    </w:p>
    <w:p>
      <w:pPr>
        <w:ind w:firstLineChars="200" w:firstLine="640"/>
        <w:rPr>
          <w:rFonts w:ascii="仿宋" w:eastAsia="仿宋" w:cs="Times New Roman" w:hAnsi="仿宋"/>
          <w:b/>
          <w:sz w:val="32"/>
          <w:szCs w:val="32"/>
        </w:rPr>
      </w:pPr>
      <w:r>
        <w:rPr>
          <w:rFonts w:ascii="仿宋" w:eastAsia="仿宋" w:cs="Times New Roman" w:hAnsi="仿宋" w:hint="eastAsia"/>
          <w:b/>
          <w:sz w:val="32"/>
          <w:szCs w:val="32"/>
        </w:rPr>
        <w:t>机构设置：</w:t>
      </w:r>
    </w:p>
    <w:p>
      <w:pPr>
        <w:jc w:val="center"/>
        <w:outlineLvl w:val="0"/>
        <w:rPr>
          <w:rFonts w:ascii="Times New Roman" w:eastAsia="方正小标宋_GBK" w:cs="Times New Roman" w:hAnsi="Times New Roman"/>
          <w:sz w:val="32"/>
          <w:szCs w:val="24"/>
        </w:rPr>
      </w:pPr>
      <w:r>
        <w:rPr>
          <w:rFonts w:ascii="Times New Roman" w:eastAsia="方正小标宋_GBK" w:cs="Times New Roman" w:hAnsi="Times New Roman"/>
          <w:sz w:val="32"/>
          <w:szCs w:val="24"/>
        </w:rPr>
        <w:t>部门</w:t>
      </w:r>
      <w:r>
        <w:rPr>
          <w:rFonts w:ascii="Times New Roman" w:eastAsia="方正小标宋_GBK" w:cs="Times New Roman" w:hAnsi="Times New Roman" w:hint="eastAsia"/>
          <w:sz w:val="32"/>
          <w:szCs w:val="24"/>
        </w:rPr>
        <w:t>机构设置情况</w:t>
      </w:r>
    </w:p>
    <w:tbl>
      <w:tblPr>
        <w:jc w:val="center"/>
        <w:tblW w:w="972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600" w:firstRow="0" w:lastRow="0" w:firstColumn="0" w:lastColumn="0" w:noHBand="1" w:noVBand="1"/>
      </w:tblPr>
      <w:tblGrid>
        <w:gridCol w:w="4417"/>
        <w:gridCol w:w="1134"/>
        <w:gridCol w:w="1276"/>
        <w:gridCol w:w="2902"/>
      </w:tblGrid>
      <w:tr>
        <w:trPr>
          <w:trHeight w:val="300"/>
          <w:tblHeader/>
        </w:trPr>
        <w:tc>
          <w:tcPr>
            <w:tcW w:w="4417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/>
                <w:b/>
                <w:szCs w:val="24"/>
              </w:rPr>
            </w:pPr>
            <w:r>
              <w:rPr>
                <w:rFonts w:ascii="Times New Roman" w:eastAsia="方正书宋_GBK" w:cs="Times New Roman" w:hAnsi="Times New Roman"/>
                <w:b/>
                <w:szCs w:val="24"/>
              </w:rP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/>
                <w:b/>
                <w:szCs w:val="24"/>
              </w:rPr>
            </w:pPr>
            <w:r>
              <w:rPr>
                <w:rFonts w:ascii="Times New Roman" w:eastAsia="方正书宋_GBK" w:cs="Times New Roman" w:hAnsi="Times New Roman"/>
                <w:b/>
                <w:szCs w:val="24"/>
              </w:rPr>
              <w:t>单位性质</w:t>
            </w:r>
          </w:p>
        </w:tc>
        <w:tc>
          <w:tcPr>
            <w:tcW w:w="1276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/>
                <w:b/>
                <w:szCs w:val="24"/>
              </w:rPr>
            </w:pPr>
            <w:r>
              <w:rPr>
                <w:rFonts w:ascii="Times New Roman" w:eastAsia="方正书宋_GBK" w:cs="Times New Roman" w:hAnsi="Times New Roman"/>
                <w:b/>
                <w:szCs w:val="24"/>
              </w:rPr>
              <w:t>单位规格</w:t>
            </w:r>
          </w:p>
        </w:tc>
        <w:tc>
          <w:tcPr>
            <w:tcW w:w="2902" w:type="dxa"/>
            <w:vMerge w:val="restart"/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/>
                <w:b/>
                <w:szCs w:val="24"/>
              </w:rPr>
            </w:pPr>
            <w:r>
              <w:rPr>
                <w:rFonts w:ascii="Times New Roman" w:eastAsia="方正书宋_GBK" w:cs="Times New Roman" w:hAnsi="Times New Roman"/>
                <w:b/>
                <w:szCs w:val="24"/>
              </w:rPr>
              <w:t>经费保障形式</w:t>
            </w:r>
          </w:p>
        </w:tc>
      </w:tr>
      <w:tr>
        <w:trPr>
          <w:trHeight w:val="300"/>
          <w:tblHeader/>
        </w:trPr>
        <w:tc>
          <w:tcPr>
            <w:tcW w:w="4417" w:type="dxa"/>
            <w:vMerge/>
            <w:vAlign w:val="center"/>
          </w:tcPr>
          <w:p/>
        </w:tc>
        <w:tc>
          <w:tcPr>
            <w:tcW w:w="1134" w:type="dxa"/>
            <w:vMerge/>
            <w:tcBorders>
              <w:left w:val="single" w:sz="6" w:space="0" w:color="000000"/>
            </w:tcBorders>
            <w:vAlign w:val="center"/>
          </w:tcPr>
          <w:p/>
        </w:tc>
        <w:tc>
          <w:tcPr>
            <w:tcW w:w="1276" w:type="dxa"/>
            <w:vMerge/>
            <w:tcBorders>
              <w:left w:val="single" w:sz="6" w:space="0" w:color="000000"/>
            </w:tcBorders>
            <w:vAlign w:val="center"/>
          </w:tcPr>
          <w:p/>
        </w:tc>
        <w:tc>
          <w:tcPr>
            <w:tcW w:w="2902" w:type="dxa"/>
            <w:vMerge/>
            <w:tcBorders>
              <w:left w:val="single" w:sz="6" w:space="0" w:color="000000"/>
            </w:tcBorders>
            <w:vAlign w:val="center"/>
          </w:tcPr>
          <w:p/>
        </w:tc>
      </w:tr>
      <w:tr>
        <w:trPr>
          <w:trHeight w:val="227"/>
        </w:trPr>
        <w:tc>
          <w:tcPr>
            <w:tcW w:w="4417" w:type="dxa"/>
            <w:vAlign w:val="center"/>
          </w:tcPr>
          <w:p>
            <w:pPr>
              <w:spacing w:line="300" w:lineRule="exact"/>
              <w:jc w:val="left"/>
              <w:rPr>
                <w:rFonts w:ascii="Times New Roman" w:eastAsia="微软雅黑" w:cs="Times New Roman" w:hAnsi="Times New Roman" w:hint="eastAsia"/>
                <w:szCs w:val="24"/>
                <w:lang w:val="en-US" w:eastAsia="zh-CN"/>
              </w:rPr>
            </w:pPr>
            <w:r>
              <w:rPr>
                <w:rFonts w:ascii="微软雅黑" w:eastAsia="微软雅黑" w:cs="微软雅黑" w:hAnsi="微软雅黑"/>
                <w:i w:val="0"/>
                <w:caps w:val="0"/>
                <w:smallCaps w:val="0"/>
                <w:color w:val="212121"/>
                <w:spacing w:val="0"/>
                <w:sz w:val="24"/>
                <w:szCs w:val="24"/>
                <w:shd w:val="clear" w:color="auto" w:fill="FFFFFF"/>
              </w:rPr>
              <w:t>石家庄市藁城区民政</w:t>
            </w:r>
            <w:r>
              <w:rPr>
                <w:rFonts w:ascii="微软雅黑" w:eastAsia="微软雅黑" w:cs="微软雅黑" w:hAnsi="微软雅黑" w:hint="eastAsia"/>
                <w:i w:val="0"/>
                <w:caps w:val="0"/>
                <w:smallCaps w:val="0"/>
                <w:color w:val="212121"/>
                <w:spacing w:val="0"/>
                <w:sz w:val="24"/>
                <w:szCs w:val="24"/>
                <w:shd w:val="clear" w:color="auto" w:fill="FFFFFF"/>
                <w:lang w:eastAsia="zh-CN"/>
              </w:rPr>
              <w:t>局本级</w:t>
            </w:r>
          </w:p>
        </w:tc>
        <w:tc>
          <w:tcPr>
            <w:tcW w:w="1134" w:type="dxa"/>
            <w:tcBorders>
              <w:left w:val="single" w:sz="6" w:space="0" w:color="00000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 w:hint="eastAsia"/>
                <w:szCs w:val="24"/>
                <w:lang w:eastAsia="zh-CN"/>
              </w:rPr>
            </w:pPr>
            <w:r>
              <w:rPr>
                <w:rFonts w:ascii="Times New Roman" w:eastAsia="方正书宋_GBK" w:cs="Times New Roman" w:hAnsi="Times New Roman" w:hint="eastAsia"/>
                <w:szCs w:val="24"/>
                <w:lang w:eastAsia="zh-CN"/>
              </w:rPr>
              <w:t>行政</w:t>
            </w:r>
          </w:p>
        </w:tc>
        <w:tc>
          <w:tcPr>
            <w:tcW w:w="1276" w:type="dxa"/>
            <w:tcBorders>
              <w:left w:val="single" w:sz="6" w:space="0" w:color="00000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 w:hint="eastAsia"/>
                <w:szCs w:val="24"/>
                <w:lang w:eastAsia="zh-CN"/>
              </w:rPr>
            </w:pPr>
            <w:r>
              <w:rPr>
                <w:rFonts w:ascii="Times New Roman" w:eastAsia="方正书宋_GBK" w:cs="Times New Roman" w:hAnsi="Times New Roman" w:hint="eastAsia"/>
                <w:szCs w:val="24"/>
                <w:lang w:eastAsia="zh-CN"/>
              </w:rPr>
              <w:t>正科级</w:t>
            </w:r>
          </w:p>
        </w:tc>
        <w:tc>
          <w:tcPr>
            <w:tcW w:w="2902" w:type="dxa"/>
            <w:tcBorders>
              <w:left w:val="single" w:sz="6" w:space="0" w:color="00000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 w:hint="eastAsia"/>
                <w:szCs w:val="24"/>
                <w:lang w:eastAsia="zh-CN"/>
              </w:rPr>
            </w:pPr>
            <w:r>
              <w:rPr>
                <w:rFonts w:ascii="方正书宋_GBK" w:eastAsia="方正书宋_GBK" w:hint="eastAsia"/>
              </w:rPr>
              <w:t>财政</w:t>
            </w:r>
            <w:r>
              <w:rPr>
                <w:rFonts w:ascii="方正书宋_GBK" w:eastAsia="方正书宋_GBK" w:hint="eastAsia"/>
                <w:lang w:eastAsia="zh-CN"/>
              </w:rPr>
              <w:t>拨款</w:t>
            </w:r>
          </w:p>
        </w:tc>
      </w:tr>
      <w:tr>
        <w:trPr>
          <w:trHeight w:val="227"/>
        </w:trPr>
        <w:tc>
          <w:tcPr>
            <w:tcW w:w="4417" w:type="dxa"/>
            <w:vAlign w:val="center"/>
          </w:tcPr>
          <w:p>
            <w:pPr>
              <w:spacing w:line="300" w:lineRule="exact"/>
              <w:jc w:val="left"/>
              <w:rPr>
                <w:rFonts w:ascii="Times New Roman" w:eastAsia="方正书宋_GBK" w:cs="Times New Roman" w:hAnsi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ascii="微软雅黑" w:eastAsia="微软雅黑" w:cs="微软雅黑" w:hAnsi="微软雅黑"/>
                <w:i w:val="0"/>
                <w:caps w:val="0"/>
                <w:smallCaps w:val="0"/>
                <w:color w:val="212121"/>
                <w:spacing w:val="0"/>
                <w:sz w:val="24"/>
                <w:szCs w:val="24"/>
                <w:shd w:val="clear" w:color="auto" w:fill="FFFFFF"/>
              </w:rPr>
              <w:t>石家庄市藁城区民政事业服务中心</w:t>
            </w:r>
          </w:p>
        </w:tc>
        <w:tc>
          <w:tcPr>
            <w:tcW w:w="1134" w:type="dxa"/>
            <w:tcBorders>
              <w:left w:val="single" w:sz="6" w:space="0" w:color="00000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 w:hint="eastAsia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ascii="Times New Roman" w:eastAsia="方正书宋_GBK" w:cs="Times New Roman" w:hAnsi="Times New Roman" w:hint="eastAsia"/>
                <w:szCs w:val="24"/>
              </w:rPr>
              <w:t>事业</w:t>
            </w:r>
          </w:p>
        </w:tc>
        <w:tc>
          <w:tcPr>
            <w:tcW w:w="1276" w:type="dxa"/>
            <w:tcBorders>
              <w:left w:val="single" w:sz="6" w:space="0" w:color="00000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 w:hint="eastAsia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ascii="Times New Roman" w:eastAsia="方正书宋_GBK" w:cs="Times New Roman" w:hAnsi="Times New Roman" w:hint="eastAsia"/>
                <w:szCs w:val="24"/>
                <w:lang w:eastAsia="zh-CN"/>
              </w:rPr>
              <w:t>股级</w:t>
            </w:r>
          </w:p>
        </w:tc>
        <w:tc>
          <w:tcPr>
            <w:tcW w:w="2902" w:type="dxa"/>
            <w:tcBorders>
              <w:left w:val="single" w:sz="6" w:space="0" w:color="00000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ascii="方正书宋_GBK" w:eastAsia="方正书宋_GBK" w:hint="eastAsia"/>
              </w:rPr>
              <w:t>财政性资金基本保证</w:t>
            </w:r>
          </w:p>
        </w:tc>
      </w:tr>
      <w:tr>
        <w:trPr>
          <w:trHeight w:val="227"/>
        </w:trPr>
        <w:tc>
          <w:tcPr>
            <w:tcW w:w="4417" w:type="dxa"/>
            <w:vAlign w:val="center"/>
          </w:tcPr>
          <w:p>
            <w:pPr>
              <w:spacing w:line="300" w:lineRule="exact"/>
              <w:jc w:val="left"/>
              <w:rPr>
                <w:rFonts w:ascii="Times New Roman" w:eastAsia="方正书宋_GBK" w:cs="Times New Roman" w:hAnsi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ascii="微软雅黑" w:eastAsia="微软雅黑" w:cs="微软雅黑" w:hAnsi="微软雅黑"/>
                <w:i w:val="0"/>
                <w:caps w:val="0"/>
                <w:smallCaps w:val="0"/>
                <w:color w:val="212121"/>
                <w:spacing w:val="0"/>
                <w:sz w:val="24"/>
                <w:szCs w:val="24"/>
                <w:shd w:val="clear" w:color="auto" w:fill="FFFFFF"/>
              </w:rPr>
              <w:t>石家庄市藁城区殡葬管理所</w:t>
            </w:r>
          </w:p>
        </w:tc>
        <w:tc>
          <w:tcPr>
            <w:tcW w:w="1134" w:type="dxa"/>
            <w:tcBorders>
              <w:left w:val="single" w:sz="6" w:space="0" w:color="00000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 w:hint="eastAsia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ascii="Times New Roman" w:eastAsia="方正书宋_GBK" w:cs="Times New Roman" w:hAnsi="Times New Roman" w:hint="eastAsia"/>
                <w:szCs w:val="24"/>
                <w:lang w:val="en-US" w:eastAsia="zh-CN"/>
              </w:rPr>
              <w:t>事业</w:t>
            </w:r>
          </w:p>
        </w:tc>
        <w:tc>
          <w:tcPr>
            <w:tcW w:w="1276" w:type="dxa"/>
            <w:tcBorders>
              <w:left w:val="single" w:sz="6" w:space="0" w:color="00000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ascii="Times New Roman" w:eastAsia="方正书宋_GBK" w:cs="Times New Roman" w:hAnsi="Times New Roman" w:hint="eastAsia"/>
                <w:szCs w:val="24"/>
                <w:lang w:eastAsia="zh-CN"/>
              </w:rPr>
              <w:t>股级</w:t>
            </w:r>
          </w:p>
        </w:tc>
        <w:tc>
          <w:tcPr>
            <w:tcW w:w="2902" w:type="dxa"/>
            <w:tcBorders>
              <w:left w:val="single" w:sz="6" w:space="0" w:color="00000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书宋_GBK" w:cs="Times New Roman" w:hAnsi="Times New Roman" w:hint="eastAsia"/>
                <w:kern w:val="2"/>
                <w:sz w:val="21"/>
                <w:szCs w:val="24"/>
                <w:lang w:val="en-US" w:eastAsia="zh-CN"/>
              </w:rPr>
            </w:pPr>
            <w:r>
              <w:rPr>
                <w:rFonts w:ascii="方正书宋_GBK" w:eastAsia="方正书宋_GBK" w:hint="eastAsia"/>
              </w:rPr>
              <w:t>财政性资金基本保证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Times New Roman" w:eastAsia="仿宋" w:cs="Times New Roman" w:hAnsi="Times New Roman" w:hint="eastAsia"/>
          <w:sz w:val="32"/>
          <w:szCs w:val="32"/>
          <w:lang w:val="en-US" w:eastAsia="zh-CN"/>
        </w:rPr>
        <w:t>202</w:t>
      </w:r>
      <w:r>
        <w:rPr>
          <w:rFonts w:eastAsia="仿宋" w:cs="Times New Roman" w:hint="eastAsia"/>
          <w:sz w:val="32"/>
          <w:szCs w:val="32"/>
          <w:lang w:val="en-US" w:eastAsia="zh-CN"/>
        </w:rPr>
        <w:t>4</w:t>
      </w:r>
      <w:r>
        <w:rPr>
          <w:rFonts w:ascii="Times New Roman" w:eastAsia="仿宋" w:cs="Times New Roman" w:hAnsi="Times New Roman" w:hint="eastAsia"/>
          <w:sz w:val="32"/>
          <w:szCs w:val="32"/>
          <w:lang w:val="en-US" w:eastAsia="zh-CN"/>
        </w:rPr>
        <w:t>年部门收入决算数为</w:t>
      </w:r>
      <w:r>
        <w:rPr>
          <w:rFonts w:eastAsia="仿宋" w:cs="Times New Roman" w:hint="eastAsia"/>
          <w:sz w:val="32"/>
          <w:szCs w:val="32"/>
          <w:lang w:val="en-US" w:eastAsia="zh-CN"/>
        </w:rPr>
        <w:t>12961.642418</w:t>
      </w:r>
      <w:r>
        <w:rPr>
          <w:rFonts w:ascii="Times New Roman" w:eastAsia="仿宋" w:cs="Times New Roman" w:hAnsi="Times New Roman" w:hint="eastAsia"/>
          <w:sz w:val="32"/>
          <w:szCs w:val="32"/>
          <w:lang w:val="en-US" w:eastAsia="zh-CN"/>
        </w:rPr>
        <w:t>万元，支出决算数为</w:t>
      </w:r>
      <w:r>
        <w:rPr>
          <w:rFonts w:eastAsia="仿宋" w:cs="Times New Roman" w:hint="eastAsia"/>
          <w:sz w:val="32"/>
          <w:szCs w:val="32"/>
          <w:lang w:val="en-US" w:eastAsia="zh-CN"/>
        </w:rPr>
        <w:t>12961.642418</w:t>
      </w:r>
      <w:r>
        <w:rPr>
          <w:rFonts w:ascii="Times New Roman" w:eastAsia="仿宋" w:cs="Times New Roman" w:hAnsi="Times New Roman" w:hint="eastAsia"/>
          <w:sz w:val="32"/>
          <w:szCs w:val="32"/>
          <w:lang w:val="en-US" w:eastAsia="zh-CN"/>
        </w:rPr>
        <w:t>万元</w:t>
      </w:r>
      <w:r>
        <w:rPr>
          <w:rFonts w:eastAsia="仿宋" w:cs="Times New Roman" w:hint="eastAsia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参照部门预算绩效文本中绩效目标、指标。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  <w:lang w:eastAsia="zh-CN"/>
        </w:rPr>
        <w:t>自评工作开展</w:t>
      </w:r>
      <w:r>
        <w:rPr>
          <w:rFonts w:ascii="黑体" w:eastAsia="黑体" w:cs="黑体" w:hAnsi="黑体" w:hint="eastAsia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按照藁城区财政局关于印发《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藁城区区级部门预算项目绩效自评管理办法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》（藁财字【2020】23号）、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藁城区财政局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《关于开展财政专项资金部门绩效自评价的工作方案》文件精神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，为切实做好20</w:t>
      </w:r>
      <w:r>
        <w:rPr>
          <w:rFonts w:ascii="仿宋_GB2312" w:cs="仿宋_GB2312" w:hAnsi="仿宋_GB2312" w:hint="eastAsia"/>
          <w:sz w:val="32"/>
          <w:szCs w:val="32"/>
          <w:lang w:val="en-US" w:eastAsia="zh-CN"/>
        </w:rPr>
        <w:t>24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年度部门项目绩效自评工作，我局成立了以局长为组长，主管副局长为副组长，小组成员由各科科长组成的预算项目绩效自评领导小组。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  <w:lang w:eastAsia="zh-CN"/>
        </w:rPr>
        <w:t>（二）</w:t>
      </w:r>
      <w:r>
        <w:rPr>
          <w:rFonts w:ascii="楷体_GB2312" w:eastAsia="楷体_GB2312" w:cs="楷体_GB2312" w:hAnsi="楷体_GB2312" w:hint="eastAsia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Chars="200" w:firstLine="640"/>
        <w:textAlignment w:val="auto"/>
        <w:rPr>
          <w:rFonts w:ascii="黑体" w:eastAsia="黑体" w:cs="黑体" w:hAnsi="黑体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制定了绩效评价工作方案，对评价项目实施过程进行了分析，并对预算执行、资金支付等方面进行了综合分析评价。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cs="黑体" w:hAnsi="黑体" w:hint="eastAsia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cs="黑体" w:hAnsi="黑体" w:hint="eastAsia"/>
          <w:sz w:val="32"/>
          <w:szCs w:val="32"/>
          <w:lang w:eastAsia="zh-CN"/>
        </w:rPr>
      </w:pPr>
      <w:r>
        <w:rPr>
          <w:rFonts w:ascii="黑体" w:eastAsia="黑体" w:cs="黑体" w:hAnsi="黑体" w:hint="eastAsia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  <w:lang w:eastAsia="zh-CN"/>
        </w:rPr>
        <w:t>（一）</w:t>
      </w:r>
      <w:r>
        <w:rPr>
          <w:rFonts w:ascii="楷体_GB2312" w:eastAsia="楷体_GB2312" w:cs="楷体_GB2312" w:hAnsi="楷体_GB2312" w:hint="eastAsia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color w:val="000000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2024年，我局</w:t>
      </w:r>
      <w:r>
        <w:rPr>
          <w:rFonts w:ascii="仿宋_GB2312" w:eastAsia="仿宋_GB2312" w:cs="仿宋_GB2312" w:hAnsi="仿宋_GB2312" w:hint="eastAsia"/>
          <w:sz w:val="32"/>
          <w:szCs w:val="32"/>
        </w:rPr>
        <w:t>坚持</w:t>
      </w:r>
      <w:r>
        <w:rPr>
          <w:rFonts w:ascii="仿宋_GB2312" w:eastAsia="仿宋_GB2312" w:cs="仿宋_GB2312" w:hAnsi="仿宋_GB2312" w:hint="eastAsia"/>
          <w:color w:val="auto"/>
          <w:sz w:val="32"/>
          <w:szCs w:val="32"/>
        </w:rPr>
        <w:t>“以民为本、为民解困、为民服务”的核心理念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，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认真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做好基本民生保障、基层社会治理、基本社会服务等各项工作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。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着力保障城乡困难群众基本生活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，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val="en-US" w:eastAsia="zh-CN"/>
        </w:rPr>
        <w:t>建立完善困难群众保障机制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。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val="en-US" w:eastAsia="zh-CN"/>
        </w:rPr>
        <w:t>进一步推进社会养老体系建设，为老人提供更加优质多元化的服务，对全区80周岁以上老人实施高龄津贴普惠制度。继续稳步推进民政各项工作的开展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。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努力开创新时代民政工作新局面。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楷体" w:eastAsia="楷体" w:hAnsi="楷体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1.产出指标完成情况分析。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cs="仿宋_GB2312" w:hAnsi="仿宋_GB2312" w:hint="eastAsia"/>
          <w:b w:val="0"/>
          <w:bCs/>
          <w:color w:val="auto"/>
          <w:kern w:val="0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（1）数量指标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：</w:t>
      </w:r>
      <w:r>
        <w:rPr>
          <w:rFonts w:ascii="仿宋_GB2312" w:eastAsia="仿宋_GB2312" w:cs="仿宋_GB2312" w:hAnsi="仿宋_GB2312" w:hint="eastAsia"/>
          <w:sz w:val="32"/>
          <w:szCs w:val="32"/>
        </w:rPr>
        <w:t>20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24</w:t>
      </w:r>
      <w:r>
        <w:rPr>
          <w:rFonts w:ascii="仿宋_GB2312" w:eastAsia="仿宋_GB2312" w:cs="仿宋_GB2312" w:hAnsi="仿宋_GB2312" w:hint="eastAsia"/>
          <w:sz w:val="32"/>
          <w:szCs w:val="32"/>
        </w:rPr>
        <w:t>年12月全区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共有农村</w:t>
      </w:r>
      <w:r>
        <w:rPr>
          <w:rFonts w:ascii="仿宋_GB2312" w:eastAsia="仿宋_GB2312" w:cs="仿宋_GB2312" w:hAnsi="仿宋_GB2312" w:hint="eastAsia"/>
          <w:sz w:val="32"/>
          <w:szCs w:val="32"/>
        </w:rPr>
        <w:t>低保对象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9573</w:t>
      </w:r>
      <w:r>
        <w:rPr>
          <w:rFonts w:ascii="仿宋_GB2312" w:eastAsia="仿宋_GB2312" w:cs="仿宋_GB2312" w:hAnsi="仿宋_GB2312" w:hint="eastAsia"/>
          <w:sz w:val="32"/>
          <w:szCs w:val="32"/>
        </w:rPr>
        <w:t>人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；城市低保对象220人；</w:t>
      </w:r>
      <w:r>
        <w:rPr>
          <w:rFonts w:ascii="仿宋_GB2312" w:eastAsia="仿宋_GB2312" w:cs="仿宋_GB2312" w:hAnsi="仿宋_GB2312" w:hint="eastAsia"/>
          <w:sz w:val="32"/>
          <w:szCs w:val="32"/>
        </w:rPr>
        <w:t>特困供养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人员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890</w:t>
      </w:r>
      <w:r>
        <w:rPr>
          <w:rFonts w:ascii="仿宋_GB2312" w:eastAsia="仿宋_GB2312" w:cs="仿宋_GB2312" w:hAnsi="仿宋_GB2312" w:hint="eastAsia"/>
          <w:sz w:val="32"/>
          <w:szCs w:val="32"/>
        </w:rPr>
        <w:t>人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。我局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2024年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全面落实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</w:rPr>
        <w:t>孤儿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生活保障政策，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对孤儿全部纳入保障范围，</w:t>
      </w:r>
      <w:r>
        <w:rPr>
          <w:rFonts w:ascii="仿宋_GB2312" w:eastAsia="仿宋_GB2312" w:cs="仿宋_GB2312" w:hAnsi="仿宋_GB2312" w:hint="eastAsia"/>
          <w:sz w:val="32"/>
          <w:szCs w:val="32"/>
        </w:rPr>
        <w:t>20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24</w:t>
      </w:r>
      <w:r>
        <w:rPr>
          <w:rFonts w:ascii="仿宋_GB2312" w:eastAsia="仿宋_GB2312" w:cs="仿宋_GB2312" w:hAnsi="仿宋_GB2312" w:hint="eastAsia"/>
          <w:sz w:val="32"/>
          <w:szCs w:val="32"/>
        </w:rPr>
        <w:t>年12月全区散居孤儿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及事实无人抚养儿童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66</w:t>
      </w:r>
      <w:r>
        <w:rPr>
          <w:rFonts w:ascii="仿宋_GB2312" w:eastAsia="仿宋_GB2312" w:cs="仿宋_GB2312" w:hAnsi="仿宋_GB2312" w:hint="eastAsia"/>
          <w:sz w:val="32"/>
          <w:szCs w:val="32"/>
        </w:rPr>
        <w:t>人，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散居</w:t>
      </w:r>
      <w:r>
        <w:rPr>
          <w:rFonts w:ascii="仿宋_GB2312" w:eastAsia="仿宋_GB2312" w:cs="仿宋_GB2312" w:hAnsi="仿宋_GB2312" w:hint="eastAsia"/>
          <w:sz w:val="32"/>
          <w:szCs w:val="32"/>
        </w:rPr>
        <w:t>孤儿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35</w:t>
      </w:r>
      <w:r>
        <w:rPr>
          <w:rFonts w:ascii="仿宋_GB2312" w:eastAsia="仿宋_GB2312" w:cs="仿宋_GB2312" w:hAnsi="仿宋_GB2312" w:hint="eastAsia"/>
          <w:sz w:val="32"/>
          <w:szCs w:val="32"/>
        </w:rPr>
        <w:t>人</w:t>
      </w:r>
      <w:r>
        <w:rPr>
          <w:rFonts w:ascii="仿宋_GB2312" w:eastAsia="仿宋_GB2312" w:cs="仿宋_GB2312" w:hAnsi="仿宋_GB2312" w:hint="eastAsia"/>
          <w:color w:val="000000"/>
          <w:sz w:val="32"/>
          <w:szCs w:val="32"/>
          <w:lang w:eastAsia="zh-CN"/>
        </w:rPr>
        <w:t>。</w:t>
      </w:r>
      <w:r>
        <w:rPr>
          <w:rFonts w:ascii="仿宋_GB2312" w:eastAsia="仿宋_GB2312" w:cs="仿宋_GB2312" w:hAnsi="仿宋_GB2312" w:hint="eastAsia"/>
          <w:sz w:val="32"/>
          <w:szCs w:val="32"/>
        </w:rPr>
        <w:t>对符合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条件的</w:t>
      </w:r>
      <w:r>
        <w:rPr>
          <w:rFonts w:ascii="仿宋_GB2312" w:eastAsia="仿宋_GB2312" w:cs="仿宋_GB2312" w:hAnsi="仿宋_GB2312" w:hint="eastAsia"/>
          <w:sz w:val="32"/>
          <w:szCs w:val="32"/>
        </w:rPr>
        <w:t>重度残疾人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及</w:t>
      </w:r>
      <w:r>
        <w:rPr>
          <w:rFonts w:ascii="仿宋_GB2312" w:eastAsia="仿宋_GB2312" w:cs="仿宋_GB2312" w:hAnsi="仿宋_GB2312" w:hint="eastAsia"/>
          <w:sz w:val="32"/>
          <w:szCs w:val="32"/>
        </w:rPr>
        <w:t>困难残疾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人，共计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9746</w:t>
      </w:r>
      <w:r>
        <w:rPr>
          <w:rFonts w:ascii="仿宋_GB2312" w:eastAsia="仿宋_GB2312" w:cs="仿宋_GB2312" w:hAnsi="仿宋_GB2312" w:hint="eastAsia"/>
          <w:sz w:val="32"/>
          <w:szCs w:val="32"/>
        </w:rPr>
        <w:t>人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发放生活补贴和护理补贴，</w:t>
      </w:r>
      <w:r>
        <w:rPr>
          <w:rFonts w:ascii="仿宋_GB2312" w:eastAsia="仿宋_GB2312" w:cs="仿宋_GB2312" w:hAnsi="仿宋_GB2312" w:hint="eastAsia"/>
          <w:color w:val="333333"/>
          <w:sz w:val="32"/>
          <w:szCs w:val="32"/>
          <w:lang w:eastAsia="zh-CN"/>
        </w:rPr>
        <w:t>切实改善我区残疾人的基本生活。</w:t>
      </w:r>
      <w:r>
        <w:rPr>
          <w:rFonts w:ascii="仿宋_GB2312" w:eastAsia="仿宋_GB2312" w:cs="仿宋_GB2312" w:hAnsi="仿宋_GB2312" w:hint="eastAsia"/>
          <w:bCs/>
          <w:kern w:val="2"/>
          <w:sz w:val="32"/>
          <w:szCs w:val="32"/>
          <w:lang w:val="en-US" w:eastAsia="zh-CN"/>
        </w:rPr>
        <w:t>对全区80周岁以上老人实施高龄津贴普惠制度，2024年12月全区享受补贴高龄老人共计17963人。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（2）质量指标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：全面</w:t>
      </w:r>
      <w:r>
        <w:rPr>
          <w:rFonts w:ascii="仿宋_GB2312" w:eastAsia="仿宋_GB2312" w:cs="仿宋_GB2312" w:hAnsi="仿宋_GB2312" w:hint="eastAsia"/>
          <w:b w:val="0"/>
          <w:bCs/>
          <w:color w:val="auto"/>
          <w:kern w:val="0"/>
          <w:sz w:val="32"/>
          <w:szCs w:val="32"/>
        </w:rPr>
        <w:t>推进农村低保扩面工作</w:t>
      </w:r>
      <w:r>
        <w:rPr>
          <w:rFonts w:ascii="仿宋_GB2312" w:eastAsia="仿宋_GB2312" w:cs="仿宋_GB2312" w:hAnsi="仿宋_GB2312" w:hint="eastAsia"/>
          <w:color w:val="auto"/>
          <w:sz w:val="32"/>
          <w:szCs w:val="32"/>
          <w:lang w:val="en-US" w:eastAsia="zh-CN"/>
        </w:rPr>
        <w:t>农村低保保障率进一步提高。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建立健全社会救助家庭经济状况核对机制，基本实现低保对象精准认定、精准救助。</w:t>
      </w:r>
      <w:r>
        <w:rPr>
          <w:rFonts w:ascii="仿宋_GB2312" w:eastAsia="仿宋_GB2312" w:cs="仿宋_GB2312" w:hAnsi="仿宋_GB2312" w:hint="eastAsia"/>
          <w:sz w:val="32"/>
          <w:szCs w:val="32"/>
        </w:rPr>
        <w:t>建立孤儿最低养育标准自然增长机制，提高孤残儿童基本生活水平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，</w:t>
      </w:r>
      <w:r>
        <w:rPr>
          <w:rFonts w:ascii="仿宋_GB2312" w:eastAsia="仿宋_GB2312" w:cs="仿宋_GB2312" w:hAnsi="仿宋_GB2312" w:hint="eastAsia"/>
          <w:sz w:val="32"/>
          <w:szCs w:val="32"/>
        </w:rPr>
        <w:t>对符合享受孤儿基本生活费补贴条件的儿童做到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及时</w:t>
      </w:r>
      <w:r>
        <w:rPr>
          <w:rFonts w:ascii="仿宋_GB2312" w:eastAsia="仿宋_GB2312" w:cs="仿宋_GB2312" w:hAnsi="仿宋_GB2312" w:hint="eastAsia"/>
          <w:sz w:val="32"/>
          <w:szCs w:val="32"/>
        </w:rPr>
        <w:t>审批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，孤儿认定准确率达到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100%。</w:t>
      </w:r>
      <w:r>
        <w:rPr>
          <w:rFonts w:ascii="仿宋_GB2312" w:eastAsia="仿宋_GB2312" w:cs="仿宋_GB2312" w:hAnsi="仿宋_GB2312" w:hint="eastAsia"/>
          <w:color w:val="auto"/>
          <w:kern w:val="2"/>
          <w:sz w:val="32"/>
          <w:szCs w:val="32"/>
          <w:lang w:val="en-US" w:eastAsia="zh-CN"/>
        </w:rPr>
        <w:t>建立了农村留守儿童关爱保护和困境儿童保障工作联席会议制度，成立了未成年人救助保护中心，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农村留守儿童、困境儿童纳入监测范围率为100%。对流浪乞讨人员加大救助力度，救助率达到100%。</w:t>
      </w:r>
      <w:r>
        <w:rPr>
          <w:rFonts w:ascii="仿宋_GB2312" w:eastAsia="仿宋_GB2312" w:cs="仿宋_GB2312" w:hAnsi="仿宋_GB2312" w:hint="eastAsia"/>
          <w:bCs/>
          <w:kern w:val="2"/>
          <w:sz w:val="32"/>
          <w:szCs w:val="32"/>
          <w:lang w:val="en-US" w:eastAsia="zh-CN"/>
        </w:rPr>
        <w:t>对全区80周岁以上老人实施高龄津贴普惠制度，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进一步</w:t>
      </w:r>
      <w:r>
        <w:rPr>
          <w:rFonts w:ascii="仿宋_GB2312" w:eastAsia="仿宋_GB2312" w:cs="仿宋_GB2312" w:hAnsi="仿宋_GB2312" w:hint="eastAsia"/>
          <w:sz w:val="32"/>
          <w:szCs w:val="32"/>
        </w:rPr>
        <w:t>推进全区福利事业发展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。各项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补助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资金全部实行社会化发放，发放率达到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100%。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时效指标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：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2024年度困难群众救助补助以及其他各项资金做到了及时审批，及时发放，保障了困难群众及救助对象的基本生活。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（4）成本指标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：各项补贴资金严格按照有关文件规定执行，农村低保保障标准为每人每年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7920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元，城镇低保提高到每人每月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10320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元。农村特困人员救助供养标准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860元/人/年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，城市特困人员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1150元/人/年。</w:t>
      </w:r>
      <w:r>
        <w:rPr>
          <w:rFonts w:ascii="仿宋_GB2312" w:eastAsia="仿宋_GB2312" w:cs="仿宋_GB2312" w:hAnsi="仿宋_GB2312" w:hint="eastAsia"/>
          <w:bCs/>
          <w:kern w:val="2"/>
          <w:sz w:val="32"/>
          <w:szCs w:val="32"/>
          <w:lang w:val="en-US" w:eastAsia="zh-CN"/>
        </w:rPr>
        <w:t>80-89周岁老人补贴标准50元/月/人、90-99周岁老人补贴标准100元/月/人、百岁老人补贴标准400元/人/月。集中供养孤儿1900元/月/人，分散供养1400元/月/人。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困难残疾人生活补贴标准为1-2级75元/人/月、3-4级66元/人/月；重度残疾人护理补贴标准享受低保1级残疾200元/人/月、2级100元/人/月，不享受低保1-2级残疾60元/人/月。流浪乞讨人员救助100%按当地支出标准执行，托养标准为自理1000元/人/月、半自理1300元/人/月、失能人员1500元/人/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2.效益指标完成情况分析。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（1）经济效益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：不断完善困难群众基本生活救助体系，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积极全面保障困难群众的基本生活，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困难群众生活水平稳步提升，促进我区经济社会发展，维护社会稳定。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outlineLvl w:val="0"/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（2）社会效益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：</w:t>
      </w:r>
      <w:r>
        <w:rPr>
          <w:rFonts w:ascii="仿宋_GB2312" w:eastAsia="仿宋_GB2312" w:cs="仿宋_GB2312" w:hAnsi="仿宋_GB2312" w:hint="eastAsia"/>
          <w:color w:val="auto"/>
          <w:kern w:val="0"/>
          <w:sz w:val="32"/>
          <w:szCs w:val="32"/>
          <w:lang w:val="en-US" w:eastAsia="zh-CN"/>
        </w:rPr>
        <w:t>立足于发挥好政府救助体系拾遗补缺作用这个功能定位，面向弱势群体，从党和政府最关心的问题和困难群众最需要解决的困难入手，开展了</w:t>
      </w:r>
      <w:r>
        <w:rPr>
          <w:rFonts w:ascii="仿宋_GB2312" w:eastAsia="仿宋_GB2312" w:cs="仿宋_GB2312" w:hAnsi="仿宋_GB2312" w:hint="eastAsia"/>
          <w:color w:val="auto"/>
          <w:kern w:val="2"/>
          <w:sz w:val="32"/>
          <w:szCs w:val="32"/>
          <w:lang w:val="en-US" w:eastAsia="zh-CN"/>
        </w:rPr>
        <w:t>圆梦助学、暖冬计划、重阳助老、应急救助、扶幼助孤等多形式、多渠道慈善救助活动，对社会上困难群体实施帮扶救助。城乡社区综合服务设施覆盖率稳步提高。按照居家养老为主，社区养老为辅、机构养老为补充的总体思路，切实提升养老服务水平，为全区老人提供更加优质多元化的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_GB2312" w:eastAsia="仿宋_GB2312" w:cs="仿宋_GB2312" w:hAnsi="仿宋_GB2312" w:hint="eastAsia"/>
          <w:sz w:val="32"/>
          <w:szCs w:val="32"/>
          <w:lang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3）生态效益指标：加大殡葬管理工作，加大殡葬改革宣传力度，推进节地生态安葬，积极倡导文明丧葬新风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增加社会影响力，</w:t>
      </w:r>
      <w:r>
        <w:rPr>
          <w:rFonts w:ascii="仿宋_GB2312" w:eastAsia="仿宋_GB2312" w:cs="仿宋_GB2312" w:hAnsi="仿宋_GB2312" w:hint="eastAsia"/>
          <w:color w:val="auto"/>
          <w:sz w:val="32"/>
          <w:szCs w:val="32"/>
        </w:rPr>
        <w:t>火化率</w:t>
      </w:r>
      <w:r>
        <w:rPr>
          <w:rFonts w:ascii="仿宋_GB2312" w:eastAsia="仿宋_GB2312" w:cs="仿宋_GB2312" w:hAnsi="仿宋_GB2312" w:hint="eastAsia"/>
          <w:color w:val="auto"/>
          <w:sz w:val="32"/>
          <w:szCs w:val="32"/>
          <w:lang w:eastAsia="zh-CN"/>
        </w:rPr>
        <w:t>达到</w:t>
      </w:r>
      <w:r>
        <w:rPr>
          <w:rFonts w:ascii="仿宋_GB2312" w:eastAsia="仿宋_GB2312" w:cs="仿宋_GB2312" w:hAnsi="仿宋_GB2312" w:hint="eastAsia"/>
          <w:color w:val="auto"/>
          <w:sz w:val="32"/>
          <w:szCs w:val="32"/>
        </w:rPr>
        <w:t>100%</w:t>
      </w:r>
      <w:r>
        <w:rPr>
          <w:rFonts w:ascii="仿宋_GB2312" w:eastAsia="仿宋_GB2312" w:cs="仿宋_GB2312" w:hAnsi="仿宋_GB2312" w:hint="eastAsia"/>
          <w:color w:val="auto"/>
          <w:sz w:val="32"/>
          <w:szCs w:val="32"/>
          <w:lang w:eastAsia="zh-CN"/>
        </w:rPr>
        <w:t>。</w:t>
      </w:r>
      <w:r>
        <w:rPr>
          <w:rFonts w:ascii="仿宋_GB2312" w:eastAsia="仿宋_GB2312" w:cs="仿宋_GB2312" w:hAnsi="仿宋_GB2312" w:hint="eastAsia"/>
          <w:sz w:val="32"/>
          <w:szCs w:val="32"/>
          <w:lang w:eastAsia="zh-CN"/>
        </w:rPr>
        <w:t>加强尾气处理设备改造，减少空气污染，推动全区殡葬服务有序开展。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cs="黑体" w:hAnsi="黑体" w:hint="eastAsia"/>
          <w:sz w:val="32"/>
          <w:szCs w:val="32"/>
          <w:lang w:eastAsia="zh-CN"/>
        </w:rPr>
      </w:pPr>
      <w:r>
        <w:rPr>
          <w:rFonts w:ascii="黑体" w:eastAsia="黑体" w:cs="黑体" w:hAnsi="黑体" w:hint="eastAsia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eastAsia="zh-CN"/>
          <w:highlight w:val="none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预算执行缺乏对资金使用情况的综合评价，部分资金执行率偏低。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firstLineChars="200" w:firstLine="640"/>
        <w:textAlignment w:val="auto"/>
        <w:rPr>
          <w:rFonts w:ascii="楷体_GB2312" w:eastAsia="楷体_GB2312" w:cs="楷体_GB2312" w:hAnsi="楷体_GB2312" w:hint="eastAsia"/>
          <w:bCs/>
          <w:sz w:val="32"/>
          <w:szCs w:val="32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Chars="200" w:firstLine="640"/>
        <w:textAlignment w:val="auto"/>
        <w:rPr>
          <w:rFonts w:ascii="楷体_GB2312" w:eastAsia="楷体_GB2312" w:cs="楷体_GB2312" w:hAnsi="楷体_GB2312"/>
          <w:bCs/>
          <w:sz w:val="32"/>
          <w:szCs w:val="32"/>
          <w:lang w:val="en-US" w:eastAsia="zh-CN"/>
        </w:rPr>
      </w:pPr>
      <w:r>
        <w:rPr>
          <w:rFonts w:ascii="楷体_GB2312" w:eastAsia="楷体_GB2312" w:cs="楷体_GB2312" w:hAnsi="楷体_GB2312" w:hint="eastAsia"/>
          <w:bCs/>
          <w:sz w:val="32"/>
          <w:szCs w:val="32"/>
          <w:lang w:val="en-US" w:eastAsia="zh-CN"/>
        </w:rPr>
        <w:t xml:space="preserve">  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下一步将进一步加强预算资金管理，精准测算资金需求，及时了解预算执行差异，分析存在问题和原因，及时合理调整、纠正预算执行偏差，充分论证、科学规范设定绩效指标，加大资金保障力度，加快资金执行进度，确保绩效目标如期实现，切实提高部门预算收支管理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ascii="仿宋_GB2312" w:eastAsia="仿宋_GB2312" w:cs="仿宋_GB2312" w:hAnsi="仿宋_GB2312" w:hint="eastAsia"/>
          <w:sz w:val="32"/>
          <w:szCs w:val="32"/>
          <w:lang w:eastAsia="zh-CN"/>
        </w:rPr>
      </w:pPr>
      <w:bookmarkStart w:id="0" w:name="_GoBack"/>
      <w:bookmarkEnd w:id="0"/>
    </w:p>
    <w:sectPr>
      <w:headerReference w:type="default" r:id="rId2"/>
      <w:footerReference w:type="default" r:id="rId3"/>
      <w:pgSz w:w="11906" w:h="16838"/>
      <w:pgMar w:top="2098" w:right="1474" w:bottom="1984" w:left="1587" w:header="851" w:footer="992" w:gutter="0"/>
      <w:pgNumType w:fmt="numberInDash"/>
      <w:cols w:num="1" w:space="72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86"/>
    <w:family w:val="auto"/>
    <w:pitch w:val="variable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variable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r>
      <w:rPr>
        <w:rFonts w:ascii="Times New Roman" w:eastAsia="宋体" w:cs="Times New Roman" w:hAnsi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339"/>
              <wp:wrapNone/>
              <wp:docPr id="1" name="Quad Arrow 3073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222250" cy="153339"/>
                      </a:xfrm>
                      <a:prstGeom prst="rect"/>
                      <a:noFill/>
                      <a:ln cmpd="sng" cap="flat">
                        <a:noFill/>
                        <a:prstDash val="solid"/>
                        <a:round/>
                      </a:ln>
                    </wps:spPr>
                    <wps:txbx id="1"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type="#_x0000_t1" id="Quad Arrow 3073" o:spid="_x0000_s2" filled="f" stroked="f" strokeweight="-1.0pt" style="position:absolute;margin-left:0.0pt;margin-top:0.0pt;width:17.5pt;height:12.073937pt;z-index:12;mso-position-horizontal:center;mso-position-horizontal-relative:margin;mso-position-vertical:absolute;mso-wrap-style:none;">
              <v:stroke/>
              <v:textbox id="848" inset="0mm,0mm,0mm,0mm" o:insetmode="custom" style="layout-flow:horizontal;v-text-anchor:top;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1" w:color="auto"/>
      </w:pBdr>
      <w:tabs>
        <w:tab w:val="center" w:pos="4153"/>
        <w:tab w:val="right" w:pos="8306"/>
      </w:tabs>
    </w:pP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98E0822F"/>
    <w:multiLevelType w:val="singleLevel"/>
    <w:tmpl w:val="98E0822F"/>
    <w:lvl w:ilvl="0">
      <w:start w:val="2"/>
      <w:numFmt w:val="chineseCounting"/>
      <w:lvlRestart w:val="0"/>
      <w:suff w:val="nothing"/>
      <w:lvlText w:val="%1、"/>
      <w:lvlJc w:val="left"/>
      <w:pPr/>
      <w:rPr>
        <w:rFonts w:hint="eastAsia"/>
      </w:rPr>
    </w:lvl>
  </w:abstractNum>
  <w:abstractNum w:abstractNumId="1">
    <w:nsid w:val="CABC366F"/>
    <w:multiLevelType w:val="singleLevel"/>
    <w:tmpl w:val="CABC366F"/>
    <w:lvl w:ilvl="0">
      <w:start w:val="3"/>
      <w:numFmt w:val="decimal"/>
      <w:lvlRestart w:val="0"/>
      <w:suff w:val="nothing"/>
      <w:lvlText w:val="（%1）"/>
      <w:lvlJc w:val="left"/>
      <w:pPr/>
    </w:lvl>
  </w:abstractNum>
  <w:abstractNum w:abstractNumId="2">
    <w:nsid w:val="330718AF"/>
    <w:multiLevelType w:val="singleLevel"/>
    <w:tmpl w:val="330718AF"/>
    <w:lvl w:ilvl="0">
      <w:start w:val="5"/>
      <w:numFmt w:val="chineseCounting"/>
      <w:lvlRestart w:val="0"/>
      <w:suff w:val="nothing"/>
      <w:lvlText w:val="%1、"/>
      <w:lvlJc w:val="left"/>
      <w:pPr/>
      <w:rPr>
        <w:rFonts w:hint="eastAsia"/>
      </w:rPr>
    </w:lvl>
  </w:abstractNum>
  <w:abstractNum w:abstractNumId="3">
    <w:nsid w:val="D2E8D9B2"/>
    <w:multiLevelType w:val="singleLevel"/>
    <w:tmpl w:val="D2E8D9B2"/>
    <w:lvl w:ilvl="0">
      <w:start w:val="2"/>
      <w:numFmt w:val="chineseCounting"/>
      <w:lvlRestart w:val="0"/>
      <w:suff w:val="nothing"/>
      <w:lvlText w:val="（%1）"/>
      <w:lvlJc w:val="left"/>
      <w:pPr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val="fullPage" w:percent="72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commondata" w:val="eyJoZGlkIjoiNGE2ZDVhYjFkNzNmZjA0ZTExM2M2ODcxZGVjNWRjNGE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Times New Roman" w:eastAsia="宋体" w:cs="Times New Roman" w:hAnsi="Times New Roman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Times New Roman" w:eastAsia="宋体" w:cs="Times New Roman" w:hAnsi="Times New Roman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6">
    <w:name w:val="header"/>
    <w:qFormat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styles" Target="styles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customXml" Target="../customXml/item1.xml"/><Relationship Id="rId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mpd="sng" cap="flat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mpd="sng" cap="flat">
          <a:solidFill>
            <a:schemeClr val="phClr"/>
          </a:solidFill>
          <a:prstDash val="solid"/>
          <a:round/>
        </a:ln>
        <a:ln w="38100" cmpd="sng" cap="flat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sx="100000" sy="100000" algn="b" rotWithShape="0" blurRad="40000" dist="20000" dir="5400000">
              <a:srgbClr val="000000">
                <a:alpha val="37647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157D97C2-086D-4DD8-88F4-EBE1AE97FD89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19</TotalTime>
  <Application>WPS_Yozo_Office9.0.5727.102ZH.HE36</Application>
  <Pages>8</Pages>
  <Words>0</Words>
  <Characters>2799</Characters>
  <Lines>0</Lines>
  <Paragraphs>51</Paragraphs>
  <CharactersWithSpaces>3732</CharactersWithSpaces>
  <Company>Lenovo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附件2： </dc:title>
  <dc:creator>user</dc:creator>
  <cp:lastModifiedBy>Administrator</cp:lastModifiedBy>
  <cp:revision>8</cp:revision>
  <cp:lastPrinted>2025-05-12T06:32:39Z</cp:lastPrinted>
  <dcterms:created xsi:type="dcterms:W3CDTF">2019-11-14T00:58:00Z</dcterms:created>
  <dcterms:modified xsi:type="dcterms:W3CDTF">2025-12-31T02:20:57Z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2052-12.8.2.18205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eyJoZGlkIjoiNzljNTRhNTNjOWE4MjBkMjQxNjdkNzdjYmE3M2NkNDQiLCJ1c2VySWQiOiIyNjg1NDQzODEifQ==</vt:lpwstr>
  </property>
</Properties>
</file>