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453AE2">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07E33FB8">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14:paraId="5572B67F">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石家庄市藁城区机关事务服务中心</w:t>
      </w:r>
      <w:r>
        <w:rPr>
          <w:rFonts w:hint="eastAsia" w:ascii="方正小标宋简体" w:hAnsi="方正小标宋简体" w:eastAsia="方正小标宋简体" w:cs="方正小标宋简体"/>
          <w:b w:val="0"/>
          <w:bCs w:val="0"/>
          <w:sz w:val="44"/>
          <w:szCs w:val="44"/>
        </w:rPr>
        <w:t>部门</w:t>
      </w:r>
    </w:p>
    <w:p w14:paraId="2B2699DE">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4</w:t>
      </w:r>
      <w:r>
        <w:rPr>
          <w:rFonts w:hint="eastAsia" w:ascii="方正小标宋简体" w:hAnsi="方正小标宋简体" w:eastAsia="方正小标宋简体" w:cs="方正小标宋简体"/>
          <w:b w:val="0"/>
          <w:bCs w:val="0"/>
          <w:sz w:val="44"/>
          <w:szCs w:val="44"/>
        </w:rPr>
        <w:t>年度整体支出绩效自评工作报告</w:t>
      </w:r>
    </w:p>
    <w:p w14:paraId="0508D4BA">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p>
    <w:p w14:paraId="4D4764D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w:t>
      </w:r>
      <w:r>
        <w:rPr>
          <w:rFonts w:hint="eastAsia" w:ascii="仿宋_GB2312" w:hAnsi="仿宋_GB2312" w:eastAsia="仿宋_GB2312" w:cs="仿宋_GB2312"/>
          <w:sz w:val="32"/>
          <w:szCs w:val="32"/>
          <w:highlight w:val="none"/>
          <w:lang w:val="en-US" w:eastAsia="zh-CN"/>
        </w:rPr>
        <w:t>石家庄市藁城区机关事务服务中心</w:t>
      </w:r>
      <w:r>
        <w:rPr>
          <w:rFonts w:hint="eastAsia" w:ascii="仿宋_GB2312" w:hAnsi="仿宋_GB2312" w:eastAsia="仿宋_GB2312" w:cs="仿宋_GB2312"/>
          <w:sz w:val="32"/>
          <w:szCs w:val="32"/>
          <w:highlight w:val="none"/>
          <w:lang w:eastAsia="zh-CN"/>
        </w:rPr>
        <w:t>部门202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年整体支出情况实施了财政支出绩效自评价，形成本评价报告。</w:t>
      </w:r>
    </w:p>
    <w:p w14:paraId="4FCCA0DA">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16042BB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5176EF71">
      <w:pPr>
        <w:widowControl w:val="0"/>
        <w:wordWrap/>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lang w:val="en-US" w:eastAsia="zh-CN" w:bidi="ar-SA"/>
        </w:rPr>
      </w:pPr>
      <w:r>
        <w:rPr>
          <w:rFonts w:hint="eastAsia" w:ascii="仿宋_GB2312" w:hAnsi="仿宋_GB2312" w:eastAsia="仿宋_GB2312" w:cs="仿宋_GB2312"/>
          <w:spacing w:val="3"/>
          <w:w w:val="95"/>
          <w:kern w:val="2"/>
          <w:sz w:val="32"/>
          <w:szCs w:val="32"/>
          <w:lang w:val="en-US" w:eastAsia="zh-CN" w:bidi="ar-SA"/>
        </w:rPr>
        <w:t>机关事务服务中心是区委主管行政事务和保障的工作机构，主要负责东西两院的后勤保障工作。在上级部门正确领导下，2023年认真贯彻上级文件精神，部门整体职责是：</w:t>
      </w:r>
    </w:p>
    <w:p w14:paraId="34E98C38">
      <w:pPr>
        <w:keepNext w:val="0"/>
        <w:keepLines w:val="0"/>
        <w:pageBreakBefore w:val="0"/>
        <w:widowControl w:val="0"/>
        <w:kinsoku/>
        <w:wordWrap/>
        <w:overflowPunct/>
        <w:topLinePunct w:val="0"/>
        <w:autoSpaceDE/>
        <w:autoSpaceDN/>
        <w:bidi w:val="0"/>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lang w:val="en-US" w:eastAsia="zh-CN" w:bidi="ar-SA"/>
        </w:rPr>
      </w:pPr>
      <w:r>
        <w:rPr>
          <w:rFonts w:hint="eastAsia" w:ascii="仿宋_GB2312" w:hAnsi="仿宋_GB2312" w:eastAsia="仿宋_GB2312" w:cs="仿宋_GB2312"/>
          <w:spacing w:val="3"/>
          <w:w w:val="95"/>
          <w:kern w:val="2"/>
          <w:sz w:val="32"/>
          <w:szCs w:val="32"/>
          <w:lang w:val="en-US" w:eastAsia="zh-CN" w:bidi="ar-SA"/>
        </w:rPr>
        <w:t>一、保障各项后勤工作顺利开展。</w:t>
      </w:r>
    </w:p>
    <w:p w14:paraId="1D1CC542">
      <w:pPr>
        <w:keepNext w:val="0"/>
        <w:keepLines w:val="0"/>
        <w:pageBreakBefore w:val="0"/>
        <w:widowControl w:val="0"/>
        <w:kinsoku/>
        <w:wordWrap/>
        <w:overflowPunct/>
        <w:topLinePunct w:val="0"/>
        <w:autoSpaceDE/>
        <w:autoSpaceDN/>
        <w:bidi w:val="0"/>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lang w:val="en-US" w:eastAsia="zh-CN" w:bidi="ar-SA"/>
        </w:rPr>
      </w:pPr>
      <w:r>
        <w:rPr>
          <w:rFonts w:hint="eastAsia" w:ascii="仿宋_GB2312" w:hAnsi="仿宋_GB2312" w:eastAsia="仿宋_GB2312" w:cs="仿宋_GB2312"/>
          <w:spacing w:val="3"/>
          <w:w w:val="95"/>
          <w:kern w:val="2"/>
          <w:sz w:val="32"/>
          <w:szCs w:val="32"/>
          <w:lang w:val="en-US" w:eastAsia="zh-CN" w:bidi="ar-SA"/>
        </w:rPr>
        <w:t>二、加强消防管理工作，排除消防安全隐患对大楼的监控设施和防雷设备进行定期维护，对两院的电梯进行定维护和保养。为政府大楼创造安全和谐的办公环境。</w:t>
      </w:r>
    </w:p>
    <w:p w14:paraId="117F9DD5">
      <w:pPr>
        <w:keepNext w:val="0"/>
        <w:keepLines w:val="0"/>
        <w:pageBreakBefore w:val="0"/>
        <w:widowControl w:val="0"/>
        <w:kinsoku/>
        <w:wordWrap/>
        <w:overflowPunct/>
        <w:topLinePunct w:val="0"/>
        <w:autoSpaceDE/>
        <w:autoSpaceDN/>
        <w:bidi w:val="0"/>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lang w:val="en-US" w:eastAsia="zh-CN" w:bidi="ar-SA"/>
        </w:rPr>
      </w:pPr>
      <w:r>
        <w:rPr>
          <w:rFonts w:hint="eastAsia" w:ascii="仿宋_GB2312" w:hAnsi="仿宋_GB2312" w:eastAsia="仿宋_GB2312" w:cs="仿宋_GB2312"/>
          <w:spacing w:val="3"/>
          <w:w w:val="95"/>
          <w:kern w:val="2"/>
          <w:sz w:val="32"/>
          <w:szCs w:val="32"/>
          <w:lang w:val="en-US" w:eastAsia="zh-CN" w:bidi="ar-SA"/>
        </w:rPr>
        <w:t>三、做好大院卫生和绿化管理工作，保持大院、大楼正常清洁，干净整齐，不留死角，绿化美化政策明显。</w:t>
      </w:r>
    </w:p>
    <w:p w14:paraId="64C29751">
      <w:pPr>
        <w:keepNext w:val="0"/>
        <w:keepLines w:val="0"/>
        <w:pageBreakBefore w:val="0"/>
        <w:widowControl w:val="0"/>
        <w:kinsoku/>
        <w:wordWrap/>
        <w:overflowPunct/>
        <w:topLinePunct w:val="0"/>
        <w:autoSpaceDE/>
        <w:autoSpaceDN/>
        <w:bidi w:val="0"/>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lang w:val="en-US" w:eastAsia="zh-CN" w:bidi="ar-SA"/>
        </w:rPr>
      </w:pPr>
      <w:r>
        <w:rPr>
          <w:rFonts w:hint="eastAsia" w:ascii="仿宋_GB2312" w:hAnsi="仿宋_GB2312" w:eastAsia="仿宋_GB2312" w:cs="仿宋_GB2312"/>
          <w:spacing w:val="3"/>
          <w:w w:val="95"/>
          <w:kern w:val="2"/>
          <w:sz w:val="32"/>
          <w:szCs w:val="32"/>
          <w:lang w:val="en-US" w:eastAsia="zh-CN" w:bidi="ar-SA"/>
        </w:rPr>
        <w:t>四、认真做好食堂餐饮及卫生管理工作，对食堂的操作间和就餐环境进行全面改造，保证领导干部职工用餐安全卫生。</w:t>
      </w:r>
    </w:p>
    <w:p w14:paraId="78D717B7">
      <w:pPr>
        <w:keepNext w:val="0"/>
        <w:keepLines w:val="0"/>
        <w:pageBreakBefore w:val="0"/>
        <w:widowControl w:val="0"/>
        <w:kinsoku/>
        <w:wordWrap/>
        <w:overflowPunct/>
        <w:topLinePunct w:val="0"/>
        <w:autoSpaceDE/>
        <w:autoSpaceDN/>
        <w:bidi w:val="0"/>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lang w:val="en-US" w:eastAsia="zh-CN" w:bidi="ar-SA"/>
        </w:rPr>
      </w:pPr>
      <w:r>
        <w:rPr>
          <w:rFonts w:hint="eastAsia" w:ascii="仿宋_GB2312" w:hAnsi="仿宋_GB2312" w:eastAsia="仿宋_GB2312" w:cs="仿宋_GB2312"/>
          <w:spacing w:val="3"/>
          <w:w w:val="95"/>
          <w:kern w:val="2"/>
          <w:sz w:val="32"/>
          <w:szCs w:val="32"/>
          <w:lang w:val="en-US" w:eastAsia="zh-CN" w:bidi="ar-SA"/>
        </w:rPr>
        <w:t>五、加强安全保卫管理，认真查处外来上访人员违法门口聚集保障区委、区政府门口秩序，保障工作人员正常工作秩序。</w:t>
      </w:r>
    </w:p>
    <w:p w14:paraId="1E49920F">
      <w:pPr>
        <w:keepNext w:val="0"/>
        <w:keepLines w:val="0"/>
        <w:pageBreakBefore w:val="0"/>
        <w:widowControl w:val="0"/>
        <w:kinsoku/>
        <w:wordWrap/>
        <w:overflowPunct/>
        <w:topLinePunct w:val="0"/>
        <w:autoSpaceDE/>
        <w:autoSpaceDN/>
        <w:bidi w:val="0"/>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lang w:val="en-US" w:eastAsia="zh-CN" w:bidi="ar-SA"/>
        </w:rPr>
      </w:pPr>
      <w:r>
        <w:rPr>
          <w:rFonts w:hint="eastAsia" w:ascii="仿宋_GB2312" w:hAnsi="仿宋_GB2312" w:eastAsia="仿宋_GB2312" w:cs="仿宋_GB2312"/>
          <w:spacing w:val="3"/>
          <w:w w:val="95"/>
          <w:kern w:val="2"/>
          <w:sz w:val="32"/>
          <w:szCs w:val="32"/>
          <w:lang w:val="en-US" w:eastAsia="zh-CN" w:bidi="ar-SA"/>
        </w:rPr>
        <w:t>六、做好公车管理中心的公务用车管理工作。工作达到干部职工的满意</w:t>
      </w:r>
    </w:p>
    <w:p w14:paraId="74277E8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14:paraId="4DB1779B">
      <w:pPr>
        <w:keepNext w:val="0"/>
        <w:keepLines w:val="0"/>
        <w:pageBreakBefore w:val="0"/>
        <w:widowControl w:val="0"/>
        <w:kinsoku/>
        <w:wordWrap/>
        <w:overflowPunct/>
        <w:topLinePunct w:val="0"/>
        <w:autoSpaceDE/>
        <w:autoSpaceDN/>
        <w:bidi w:val="0"/>
        <w:adjustRightInd w:val="0"/>
        <w:snapToGrid w:val="0"/>
        <w:spacing w:line="560" w:lineRule="exact"/>
        <w:ind w:firstLine="620" w:firstLineChars="200"/>
        <w:textAlignment w:val="auto"/>
        <w:rPr>
          <w:rFonts w:hint="eastAsia" w:ascii="楷体_GB2312" w:hAnsi="楷体_GB2312" w:eastAsia="楷体_GB2312" w:cs="楷体_GB2312"/>
          <w:bCs/>
          <w:sz w:val="32"/>
          <w:szCs w:val="32"/>
        </w:rPr>
      </w:pPr>
      <w:r>
        <w:rPr>
          <w:rFonts w:hint="eastAsia" w:ascii="仿宋_GB2312" w:hAnsi="仿宋_GB2312" w:eastAsia="仿宋_GB2312" w:cs="仿宋_GB2312"/>
          <w:spacing w:val="3"/>
          <w:w w:val="95"/>
          <w:kern w:val="2"/>
          <w:sz w:val="32"/>
          <w:szCs w:val="32"/>
          <w:lang w:val="en-US" w:eastAsia="zh-CN" w:bidi="ar-SA"/>
        </w:rPr>
        <w:t>2024年财政安排我单位资金781.54844万元，资金全部源于财政拨款，无其他资金投入。资金主要用劳务派遣人员经费，更换区政府东西两院电梯项目、政府机关基本运行维护、政府办会议组织和协调运转费、区委办会议组织和协调运转费、拨付2023年夏季制冷费、易地交流干部保障房资金、政府东西两院运行维护费等方面。所有开支均按照我单位财务管理制度执行，资金的使用严格把关，整个项目的运行完全按照我单位内部管理制度、财政局的有关规定执行。单位内部不定期进行抽查，严格遵守纪律，不存在违规违法的问题；各个专项资金使用与具体专项实施内容相符，绩效总目标和阶段性目标都已按照计划基本完成。</w:t>
      </w:r>
    </w:p>
    <w:p w14:paraId="0D9C752D">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部门整体支出绩效目标、指标</w:t>
      </w:r>
    </w:p>
    <w:p w14:paraId="4AC82E94">
      <w:pPr>
        <w:widowControl w:val="0"/>
        <w:wordWrap/>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lang w:val="en-US" w:eastAsia="zh-CN" w:bidi="ar-SA"/>
        </w:rPr>
      </w:pPr>
      <w:r>
        <w:rPr>
          <w:rFonts w:hint="eastAsia" w:ascii="仿宋_GB2312" w:hAnsi="仿宋_GB2312" w:eastAsia="仿宋_GB2312" w:cs="仿宋_GB2312"/>
          <w:spacing w:val="3"/>
          <w:w w:val="95"/>
          <w:kern w:val="2"/>
          <w:sz w:val="32"/>
          <w:szCs w:val="32"/>
          <w:lang w:val="en-US" w:eastAsia="zh-CN" w:bidi="ar-SA"/>
        </w:rPr>
        <w:t>为更准确、全面地衡量我中心2024年度对于工作职责的完成情况和单位资金的运用情况，我中心设置了部门整体支出绩效目标和指标，以此来衡量目标完成情况。</w:t>
      </w:r>
    </w:p>
    <w:p w14:paraId="70E184CC">
      <w:pPr>
        <w:widowControl w:val="0"/>
        <w:wordWrap/>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lang w:val="en-US" w:eastAsia="zh-CN" w:bidi="ar-SA"/>
        </w:rPr>
      </w:pPr>
      <w:r>
        <w:rPr>
          <w:rFonts w:hint="eastAsia" w:ascii="仿宋_GB2312" w:hAnsi="仿宋_GB2312" w:eastAsia="仿宋_GB2312" w:cs="仿宋_GB2312"/>
          <w:spacing w:val="3"/>
          <w:w w:val="95"/>
          <w:kern w:val="2"/>
          <w:sz w:val="32"/>
          <w:szCs w:val="32"/>
          <w:lang w:val="en-US" w:eastAsia="zh-CN" w:bidi="ar-SA"/>
        </w:rPr>
        <w:t>2024年度我中心整体绩效目标是坚定不移贯彻机关事务新发展理念，持之以恒坚持市场化社会化方向，以节约型机关建设为主线、以提升服务保障质量和管理运转效能为目标，持续打造全区服务暖心、保障放心、管理精心的政治机关、行动机关、服务机关。持续完善公共机构节能机制，推进公共机构人均能耗、单位建筑面积能耗、人均用水量三项指标整体下降；积极推动党政机关办公用房合理配置和节约集约使用，整体提升区直单位办公用房服务保障水平；深入推进公务用车集约管理，提高公车平台监督管理和服务保障功能，规范公务用车处置流程；持续深入加强标准化信息化建设，逐步完善机关事务制度体系。</w:t>
      </w:r>
    </w:p>
    <w:p w14:paraId="197B656A">
      <w:pPr>
        <w:widowControl w:val="0"/>
        <w:wordWrap/>
        <w:adjustRightInd/>
        <w:snapToGrid w:val="0"/>
        <w:spacing w:line="560" w:lineRule="exact"/>
        <w:ind w:right="0" w:firstLine="620" w:firstLineChars="200"/>
        <w:textAlignment w:val="auto"/>
        <w:outlineLvl w:val="9"/>
        <w:rPr>
          <w:rFonts w:hint="default" w:ascii="仿宋_GB2312" w:hAnsi="仿宋_GB2312" w:eastAsia="仿宋_GB2312" w:cs="仿宋_GB2312"/>
          <w:spacing w:val="3"/>
          <w:w w:val="95"/>
          <w:kern w:val="2"/>
          <w:sz w:val="32"/>
          <w:szCs w:val="32"/>
          <w:lang w:val="en-US" w:eastAsia="zh-CN" w:bidi="ar-SA"/>
        </w:rPr>
      </w:pPr>
      <w:r>
        <w:rPr>
          <w:rFonts w:hint="eastAsia" w:ascii="仿宋_GB2312" w:hAnsi="仿宋_GB2312" w:eastAsia="仿宋_GB2312" w:cs="仿宋_GB2312"/>
          <w:spacing w:val="3"/>
          <w:w w:val="95"/>
          <w:kern w:val="2"/>
          <w:sz w:val="32"/>
          <w:szCs w:val="32"/>
          <w:lang w:val="en-US" w:eastAsia="zh-CN" w:bidi="ar-SA"/>
        </w:rPr>
        <w:t>我中心从数量、质量、时效、成本、预算资金执行率、社会效益、可持续性和人员满意度等8个指标入手来衡量整体绩效目标完成情况，我中心2024年度公共机构节能机制得到完善，办公用房管理、公车平台管理均取得良好成绩，机关食堂和两院基础设施维护效果也得到了较大改善，整体支出绩效自评结果为优秀。</w:t>
      </w:r>
    </w:p>
    <w:p w14:paraId="5FD2C466">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2662F6C7">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4880313F">
      <w:pPr>
        <w:keepNext w:val="0"/>
        <w:keepLines w:val="0"/>
        <w:pageBreakBefore w:val="0"/>
        <w:widowControl w:val="0"/>
        <w:kinsoku/>
        <w:wordWrap/>
        <w:overflowPunct/>
        <w:topLinePunct w:val="0"/>
        <w:autoSpaceDE/>
        <w:autoSpaceDN/>
        <w:bidi w:val="0"/>
        <w:adjustRightInd w:val="0"/>
        <w:snapToGrid w:val="0"/>
        <w:spacing w:line="560" w:lineRule="exact"/>
        <w:ind w:firstLine="620" w:firstLineChars="200"/>
        <w:textAlignment w:val="auto"/>
        <w:rPr>
          <w:rFonts w:hint="eastAsia" w:ascii="仿宋_GB2312" w:hAnsi="仿宋_GB2312" w:eastAsia="仿宋_GB2312" w:cs="仿宋_GB2312"/>
          <w:spacing w:val="3"/>
          <w:w w:val="95"/>
          <w:kern w:val="2"/>
          <w:sz w:val="32"/>
          <w:szCs w:val="32"/>
          <w:lang w:val="en-US" w:eastAsia="zh-CN" w:bidi="ar-SA"/>
        </w:rPr>
      </w:pPr>
      <w:r>
        <w:rPr>
          <w:rFonts w:hint="eastAsia" w:ascii="仿宋_GB2312" w:hAnsi="仿宋_GB2312" w:eastAsia="仿宋_GB2312" w:cs="仿宋_GB2312"/>
          <w:spacing w:val="3"/>
          <w:w w:val="95"/>
          <w:kern w:val="2"/>
          <w:sz w:val="32"/>
          <w:szCs w:val="32"/>
          <w:lang w:val="en-US" w:eastAsia="zh-CN" w:bidi="ar-SA"/>
        </w:rPr>
        <w:t>绩效自评工作由石家庄市藁城区机关事务服务中心财务室牵头，组织所涉及项目科室分管领导及中层干部成立绩效评价工作组，绩效评价工作组在部门整体支出绩效评价共性指标体系框架的基础上，结合年初预算批复的部门整体支出绩效指标，部门职责以及项目特点，补充设计个性指标，确定部门整体支出和项目的绩效自评指标体系、绩效考评实施方案，并开展相关绩效自评工作。</w:t>
      </w:r>
    </w:p>
    <w:p w14:paraId="5963505A">
      <w:pPr>
        <w:keepNext w:val="0"/>
        <w:keepLines w:val="0"/>
        <w:pageBreakBefore w:val="0"/>
        <w:widowControl w:val="0"/>
        <w:numPr>
          <w:ilvl w:val="0"/>
          <w:numId w:val="3"/>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自评的方法和过程</w:t>
      </w:r>
    </w:p>
    <w:p w14:paraId="15AD4102">
      <w:pPr>
        <w:pStyle w:val="2"/>
        <w:keepNext w:val="0"/>
        <w:keepLines w:val="0"/>
        <w:pageBreakBefore w:val="0"/>
        <w:widowControl w:val="0"/>
        <w:kinsoku/>
        <w:wordWrap/>
        <w:overflowPunct/>
        <w:topLinePunct w:val="0"/>
        <w:autoSpaceDE w:val="0"/>
        <w:autoSpaceDN w:val="0"/>
        <w:bidi w:val="0"/>
        <w:adjustRightInd/>
        <w:snapToGrid/>
        <w:spacing w:before="10" w:beforeLines="0" w:line="560" w:lineRule="exact"/>
        <w:ind w:left="111" w:right="283" w:firstLine="620" w:firstLineChars="200"/>
        <w:jc w:val="both"/>
        <w:textAlignment w:val="auto"/>
        <w:rPr>
          <w:rFonts w:hint="eastAsia" w:ascii="楷体_GB2312" w:hAnsi="楷体_GB2312" w:eastAsia="楷体_GB2312" w:cs="楷体_GB2312"/>
          <w:bCs/>
          <w:sz w:val="32"/>
          <w:szCs w:val="32"/>
        </w:rPr>
      </w:pPr>
      <w:r>
        <w:rPr>
          <w:rFonts w:hint="eastAsia" w:ascii="仿宋_GB2312" w:hAnsi="仿宋_GB2312" w:eastAsia="仿宋_GB2312" w:cs="仿宋_GB2312"/>
          <w:spacing w:val="3"/>
          <w:w w:val="95"/>
          <w:sz w:val="32"/>
          <w:szCs w:val="32"/>
        </w:rPr>
        <w:t>由绩效自评工作组根据部门实际情况，结合部门整体支出自评指标体系进行打分，得到绩效自评结论，形成部门整体支出绩效自评报告。</w:t>
      </w:r>
    </w:p>
    <w:p w14:paraId="621A69A4">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572A5F6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仿宋_GB2312" w:hAnsi="仿宋_GB2312" w:eastAsia="仿宋_GB2312" w:cs="仿宋_GB2312"/>
          <w:bCs/>
          <w:sz w:val="32"/>
          <w:szCs w:val="32"/>
          <w:lang w:eastAsia="zh-CN"/>
        </w:rPr>
        <w:t>（</w:t>
      </w: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14:paraId="504D6322">
      <w:pPr>
        <w:widowControl w:val="0"/>
        <w:wordWrap/>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lang w:val="en-US" w:eastAsia="zh-CN" w:bidi="ar-SA"/>
        </w:rPr>
      </w:pPr>
      <w:r>
        <w:rPr>
          <w:rFonts w:hint="eastAsia" w:ascii="仿宋_GB2312" w:hAnsi="仿宋_GB2312" w:eastAsia="仿宋_GB2312" w:cs="仿宋_GB2312"/>
          <w:spacing w:val="3"/>
          <w:w w:val="95"/>
          <w:kern w:val="2"/>
          <w:sz w:val="32"/>
          <w:szCs w:val="32"/>
          <w:lang w:val="en-US" w:eastAsia="zh-CN" w:bidi="ar-SA"/>
        </w:rPr>
        <w:t>本年度专项工作经费管理规范，按计划基本完成，确保了机关事务服务中心各项工作正常运转和圆满完成，各科室对该项工作总体较满意。对各项职能指标完成情况进行了自检自查,各项工作均已基本完成，专项资金绩效评价自评为优秀。</w:t>
      </w:r>
    </w:p>
    <w:p w14:paraId="0264718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lang w:val="en-US" w:eastAsia="zh-CN"/>
        </w:rPr>
        <w:t>二</w:t>
      </w: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rPr>
        <w:t>分项绩效目标实现情况及指标分析</w:t>
      </w:r>
    </w:p>
    <w:p w14:paraId="4C0595C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（1）劳务派遣人员经费</w:t>
      </w:r>
    </w:p>
    <w:p w14:paraId="25D81DA6">
      <w:pPr>
        <w:widowControl w:val="0"/>
        <w:wordWrap/>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lang w:val="en-US" w:eastAsia="zh-CN" w:bidi="ar-SA"/>
        </w:rPr>
      </w:pPr>
      <w:r>
        <w:rPr>
          <w:rFonts w:hint="eastAsia" w:ascii="仿宋_GB2312" w:hAnsi="仿宋_GB2312" w:eastAsia="仿宋_GB2312" w:cs="仿宋_GB2312"/>
          <w:spacing w:val="3"/>
          <w:w w:val="95"/>
          <w:kern w:val="2"/>
          <w:sz w:val="32"/>
          <w:szCs w:val="32"/>
          <w:lang w:val="en-US" w:eastAsia="zh-CN" w:bidi="ar-SA"/>
        </w:rPr>
        <w:t>绩效目标：认真做好大院各项后勤工作，保障机关各项后勤工作有序开展，保障机关工作人员按月正常发放工资.为各机关服好务。</w:t>
      </w:r>
    </w:p>
    <w:p w14:paraId="2843E242">
      <w:pPr>
        <w:widowControl w:val="0"/>
        <w:wordWrap/>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lang w:val="en-US" w:eastAsia="zh-CN" w:bidi="ar-SA"/>
        </w:rPr>
      </w:pPr>
      <w:r>
        <w:rPr>
          <w:rFonts w:hint="eastAsia" w:ascii="仿宋_GB2312" w:hAnsi="仿宋_GB2312" w:eastAsia="仿宋_GB2312" w:cs="仿宋_GB2312"/>
          <w:spacing w:val="3"/>
          <w:w w:val="95"/>
          <w:kern w:val="2"/>
          <w:sz w:val="32"/>
          <w:szCs w:val="32"/>
          <w:lang w:val="en-US" w:eastAsia="zh-CN" w:bidi="ar-SA"/>
        </w:rPr>
        <w:t>绩效指标：保障工作人员工资正常发放,维护工作人员合法权益，确保单位正常运转。保障机关各项后勤工作有序开展，为各机关服好务。劳务派遣人员的满意度98%以上。</w:t>
      </w:r>
    </w:p>
    <w:p w14:paraId="32629CF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（2）更换区政府东西两院电梯项目</w:t>
      </w:r>
    </w:p>
    <w:p w14:paraId="2F1459A7">
      <w:pPr>
        <w:widowControl w:val="0"/>
        <w:wordWrap/>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lang w:val="en-US" w:eastAsia="zh-CN" w:bidi="ar-SA"/>
        </w:rPr>
      </w:pPr>
      <w:r>
        <w:rPr>
          <w:rFonts w:hint="eastAsia" w:ascii="仿宋_GB2312" w:hAnsi="仿宋_GB2312" w:eastAsia="仿宋_GB2312" w:cs="仿宋_GB2312"/>
          <w:spacing w:val="3"/>
          <w:w w:val="95"/>
          <w:kern w:val="2"/>
          <w:sz w:val="32"/>
          <w:szCs w:val="32"/>
          <w:lang w:val="en-US" w:eastAsia="zh-CN" w:bidi="ar-SA"/>
        </w:rPr>
        <w:t>绩效目标：及时更换区政府东西两院的电梯，。</w:t>
      </w:r>
    </w:p>
    <w:p w14:paraId="2A115964">
      <w:pPr>
        <w:widowControl w:val="0"/>
        <w:wordWrap/>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lang w:val="en-US" w:eastAsia="zh-CN" w:bidi="ar-SA"/>
        </w:rPr>
      </w:pPr>
      <w:r>
        <w:rPr>
          <w:rFonts w:hint="eastAsia" w:ascii="仿宋_GB2312" w:hAnsi="仿宋_GB2312" w:eastAsia="仿宋_GB2312" w:cs="仿宋_GB2312"/>
          <w:spacing w:val="3"/>
          <w:w w:val="95"/>
          <w:kern w:val="2"/>
          <w:sz w:val="32"/>
          <w:szCs w:val="32"/>
          <w:lang w:val="en-US" w:eastAsia="zh-CN" w:bidi="ar-SA"/>
        </w:rPr>
        <w:t>绩效指标：负责全区公务用车派遣使用维护保养等日常工作,确保公车派遣工作有序进行，确保公务用车工作正常安全完成规定要求，完成率98%以上，群众满意率98%以上。</w:t>
      </w:r>
    </w:p>
    <w:p w14:paraId="3D018858">
      <w:pPr>
        <w:keepNext w:val="0"/>
        <w:keepLines w:val="0"/>
        <w:pageBreakBefore w:val="0"/>
        <w:widowControl w:val="0"/>
        <w:kinsoku/>
        <w:wordWrap/>
        <w:overflowPunct/>
        <w:topLinePunct w:val="0"/>
        <w:autoSpaceDE/>
        <w:autoSpaceDN/>
        <w:bidi w:val="0"/>
        <w:adjustRightInd/>
        <w:snapToGrid/>
        <w:spacing w:line="560" w:lineRule="exact"/>
        <w:ind w:firstLine="320" w:firstLineChars="1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（3）2023年夏季制冷费</w:t>
      </w:r>
    </w:p>
    <w:p w14:paraId="28ADED0D">
      <w:pPr>
        <w:widowControl w:val="0"/>
        <w:wordWrap/>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highlight w:val="none"/>
          <w:lang w:val="en-US" w:eastAsia="zh-CN" w:bidi="ar-SA"/>
        </w:rPr>
      </w:pPr>
      <w:r>
        <w:rPr>
          <w:rFonts w:hint="eastAsia" w:ascii="仿宋_GB2312" w:hAnsi="仿宋_GB2312" w:eastAsia="仿宋_GB2312" w:cs="仿宋_GB2312"/>
          <w:spacing w:val="3"/>
          <w:w w:val="95"/>
          <w:kern w:val="2"/>
          <w:sz w:val="32"/>
          <w:szCs w:val="32"/>
          <w:highlight w:val="none"/>
          <w:lang w:val="en-US" w:eastAsia="zh-CN" w:bidi="ar-SA"/>
        </w:rPr>
        <w:t>绩效目标：夏季能够正常及时高质量制冷，保障机关工作人员工作环境。</w:t>
      </w:r>
    </w:p>
    <w:p w14:paraId="55B2732A">
      <w:pPr>
        <w:widowControl w:val="0"/>
        <w:wordWrap/>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highlight w:val="none"/>
          <w:lang w:val="en-US" w:eastAsia="zh-CN" w:bidi="ar-SA"/>
        </w:rPr>
      </w:pPr>
      <w:r>
        <w:rPr>
          <w:rFonts w:hint="eastAsia" w:ascii="仿宋_GB2312" w:hAnsi="仿宋_GB2312" w:eastAsia="仿宋_GB2312" w:cs="仿宋_GB2312"/>
          <w:spacing w:val="3"/>
          <w:w w:val="95"/>
          <w:kern w:val="2"/>
          <w:sz w:val="32"/>
          <w:szCs w:val="32"/>
          <w:highlight w:val="none"/>
          <w:lang w:val="en-US" w:eastAsia="zh-CN" w:bidi="ar-SA"/>
        </w:rPr>
        <w:t>绩效指标：按时制冷，提供良好办公环境，保障机关正常运转。</w:t>
      </w:r>
    </w:p>
    <w:p w14:paraId="4F7539E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（4）区委办会议组织和协调运转费</w:t>
      </w:r>
    </w:p>
    <w:p w14:paraId="15EA5F52">
      <w:pPr>
        <w:widowControl w:val="0"/>
        <w:wordWrap/>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highlight w:val="none"/>
          <w:lang w:val="en-US" w:eastAsia="zh-CN" w:bidi="ar-SA"/>
        </w:rPr>
      </w:pPr>
      <w:r>
        <w:rPr>
          <w:rFonts w:hint="eastAsia" w:ascii="仿宋_GB2312" w:hAnsi="仿宋_GB2312" w:eastAsia="仿宋_GB2312" w:cs="仿宋_GB2312"/>
          <w:spacing w:val="3"/>
          <w:w w:val="95"/>
          <w:kern w:val="2"/>
          <w:sz w:val="32"/>
          <w:szCs w:val="32"/>
          <w:highlight w:val="none"/>
          <w:lang w:val="en-US" w:eastAsia="zh-CN" w:bidi="ar-SA"/>
        </w:rPr>
        <w:t>绩效目标：区委办根据工作需要和领导安排，本着热情服务、节俭办事的原则，围绕中心、服务大局，认真做好接待工作，保证区委办公室组织协调上级机关视察督导检查，文件材料的印刷和会议用品商务活等工作正常运转。</w:t>
      </w:r>
    </w:p>
    <w:p w14:paraId="2E5EB199">
      <w:pPr>
        <w:widowControl w:val="0"/>
        <w:wordWrap/>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highlight w:val="none"/>
          <w:lang w:val="en-US" w:eastAsia="zh-CN" w:bidi="ar-SA"/>
        </w:rPr>
      </w:pPr>
      <w:r>
        <w:rPr>
          <w:rFonts w:hint="eastAsia" w:ascii="仿宋_GB2312" w:hAnsi="仿宋_GB2312" w:eastAsia="仿宋_GB2312" w:cs="仿宋_GB2312"/>
          <w:spacing w:val="3"/>
          <w:w w:val="95"/>
          <w:kern w:val="2"/>
          <w:sz w:val="32"/>
          <w:szCs w:val="32"/>
          <w:highlight w:val="none"/>
          <w:lang w:val="en-US" w:eastAsia="zh-CN" w:bidi="ar-SA"/>
        </w:rPr>
        <w:t>绩效指标：本着热情服务、节俭办事的原则，围绕中心、服务大局，认真做好接待工作，保证区委办及四个班子领导会议，文件资料印刷会议用品商务活动等综合事务保障会议效果和招待完成度率100%以上，优质高效规范无差错，群众满意率99%以上。</w:t>
      </w:r>
    </w:p>
    <w:p w14:paraId="117AD07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（5）异地交流干部生活保障房</w:t>
      </w:r>
    </w:p>
    <w:p w14:paraId="0C4362D7">
      <w:pPr>
        <w:widowControl w:val="0"/>
        <w:wordWrap/>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highlight w:val="none"/>
          <w:lang w:val="en-US" w:eastAsia="zh-CN" w:bidi="ar-SA"/>
        </w:rPr>
      </w:pPr>
      <w:r>
        <w:rPr>
          <w:rFonts w:hint="eastAsia" w:ascii="仿宋_GB2312" w:hAnsi="仿宋_GB2312" w:eastAsia="仿宋_GB2312" w:cs="仿宋_GB2312"/>
          <w:spacing w:val="3"/>
          <w:w w:val="95"/>
          <w:kern w:val="2"/>
          <w:sz w:val="32"/>
          <w:szCs w:val="32"/>
          <w:highlight w:val="none"/>
          <w:lang w:val="en-US" w:eastAsia="zh-CN" w:bidi="ar-SA"/>
        </w:rPr>
        <w:t>绩效目标：及时建造足量房屋，保证所建房屋优质，保障易地交流干部居住环境。</w:t>
      </w:r>
    </w:p>
    <w:p w14:paraId="3A8A7EF2">
      <w:pPr>
        <w:widowControl w:val="0"/>
        <w:wordWrap/>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highlight w:val="none"/>
          <w:lang w:val="en-US" w:eastAsia="zh-CN" w:bidi="ar-SA"/>
        </w:rPr>
      </w:pPr>
      <w:r>
        <w:rPr>
          <w:rFonts w:hint="eastAsia" w:ascii="仿宋_GB2312" w:hAnsi="仿宋_GB2312" w:eastAsia="仿宋_GB2312" w:cs="仿宋_GB2312"/>
          <w:spacing w:val="3"/>
          <w:w w:val="95"/>
          <w:kern w:val="2"/>
          <w:sz w:val="32"/>
          <w:szCs w:val="32"/>
          <w:highlight w:val="none"/>
          <w:lang w:val="en-US" w:eastAsia="zh-CN" w:bidi="ar-SA"/>
        </w:rPr>
        <w:t>绩效指标：在规定时间内完成各阶段房屋建设，保证所建房屋质量，为易地交流干部提供良好居住环境。在规定时间内项目主体已完成验收，样板间完成建设，入住人员满意度98%以上。</w:t>
      </w:r>
    </w:p>
    <w:p w14:paraId="4F0D2492">
      <w:pPr>
        <w:keepNext w:val="0"/>
        <w:keepLines w:val="0"/>
        <w:pageBreakBefore w:val="0"/>
        <w:widowControl w:val="0"/>
        <w:numPr>
          <w:ilvl w:val="0"/>
          <w:numId w:val="4"/>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易地交流干部保障房项目</w:t>
      </w:r>
    </w:p>
    <w:p w14:paraId="1FDBE673">
      <w:pPr>
        <w:widowControl w:val="0"/>
        <w:wordWrap/>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highlight w:val="none"/>
          <w:lang w:val="en-US" w:eastAsia="zh-CN" w:bidi="ar-SA"/>
        </w:rPr>
      </w:pPr>
      <w:r>
        <w:rPr>
          <w:rFonts w:hint="eastAsia" w:ascii="仿宋_GB2312" w:hAnsi="仿宋_GB2312" w:eastAsia="仿宋_GB2312" w:cs="仿宋_GB2312"/>
          <w:spacing w:val="3"/>
          <w:w w:val="95"/>
          <w:kern w:val="2"/>
          <w:sz w:val="32"/>
          <w:szCs w:val="32"/>
          <w:highlight w:val="none"/>
          <w:lang w:val="en-US" w:eastAsia="zh-CN" w:bidi="ar-SA"/>
        </w:rPr>
        <w:t>绩效目标：及时建造足量房屋，保证所建房屋优质，保障易地交流干部居住环境。</w:t>
      </w:r>
    </w:p>
    <w:p w14:paraId="20C7234F">
      <w:pPr>
        <w:widowControl w:val="0"/>
        <w:wordWrap/>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highlight w:val="none"/>
          <w:lang w:val="en-US" w:eastAsia="zh-CN" w:bidi="ar-SA"/>
        </w:rPr>
      </w:pPr>
      <w:r>
        <w:rPr>
          <w:rFonts w:hint="eastAsia" w:ascii="仿宋_GB2312" w:hAnsi="仿宋_GB2312" w:eastAsia="仿宋_GB2312" w:cs="仿宋_GB2312"/>
          <w:spacing w:val="3"/>
          <w:w w:val="95"/>
          <w:kern w:val="2"/>
          <w:sz w:val="32"/>
          <w:szCs w:val="32"/>
          <w:highlight w:val="none"/>
          <w:lang w:val="en-US" w:eastAsia="zh-CN" w:bidi="ar-SA"/>
        </w:rPr>
        <w:t>绩效指标:在规定时间内完成各阶段房屋建设，保证所建房屋质量，为易地交流干部提供良好居住环境。规定时间内完成施工完成主体已验收，样板间完成建设，入职人员满意度98%以上。</w:t>
      </w:r>
    </w:p>
    <w:p w14:paraId="409ED57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（7）易地交流干部保障房运维费</w:t>
      </w:r>
    </w:p>
    <w:p w14:paraId="34513368">
      <w:pPr>
        <w:widowControl w:val="0"/>
        <w:wordWrap/>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highlight w:val="none"/>
          <w:lang w:val="en-US" w:eastAsia="zh-CN" w:bidi="ar-SA"/>
        </w:rPr>
      </w:pPr>
      <w:r>
        <w:rPr>
          <w:rFonts w:hint="eastAsia" w:ascii="仿宋_GB2312" w:hAnsi="仿宋_GB2312" w:eastAsia="仿宋_GB2312" w:cs="仿宋_GB2312"/>
          <w:spacing w:val="3"/>
          <w:w w:val="95"/>
          <w:kern w:val="2"/>
          <w:sz w:val="32"/>
          <w:szCs w:val="32"/>
          <w:highlight w:val="none"/>
          <w:lang w:val="en-US" w:eastAsia="zh-CN" w:bidi="ar-SA"/>
        </w:rPr>
        <w:t>绩效目标：用于支付易地交流干部保障房电费。</w:t>
      </w:r>
    </w:p>
    <w:p w14:paraId="22EDAD4D">
      <w:pPr>
        <w:widowControl w:val="0"/>
        <w:wordWrap/>
        <w:adjustRightInd/>
        <w:snapToGrid w:val="0"/>
        <w:spacing w:line="560" w:lineRule="exact"/>
        <w:ind w:right="0" w:firstLine="620" w:firstLineChars="200"/>
        <w:textAlignment w:val="auto"/>
        <w:outlineLvl w:val="9"/>
        <w:rPr>
          <w:rFonts w:hint="default" w:ascii="仿宋_GB2312" w:hAnsi="仿宋_GB2312" w:eastAsia="仿宋_GB2312" w:cs="仿宋_GB2312"/>
          <w:spacing w:val="3"/>
          <w:w w:val="95"/>
          <w:kern w:val="2"/>
          <w:sz w:val="32"/>
          <w:szCs w:val="32"/>
          <w:highlight w:val="none"/>
          <w:lang w:val="en-US" w:eastAsia="zh-CN" w:bidi="ar-SA"/>
        </w:rPr>
      </w:pPr>
      <w:r>
        <w:rPr>
          <w:rFonts w:hint="eastAsia" w:ascii="仿宋_GB2312" w:hAnsi="仿宋_GB2312" w:eastAsia="仿宋_GB2312" w:cs="仿宋_GB2312"/>
          <w:spacing w:val="3"/>
          <w:w w:val="95"/>
          <w:kern w:val="2"/>
          <w:sz w:val="32"/>
          <w:szCs w:val="32"/>
          <w:highlight w:val="none"/>
          <w:lang w:val="en-US" w:eastAsia="zh-CN" w:bidi="ar-SA"/>
        </w:rPr>
        <w:t>绩效指标：及时供电，保障易地交流干部正常生活，提升入住人员满意度。</w:t>
      </w:r>
    </w:p>
    <w:p w14:paraId="2CD9226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（8）政府办会议组织和协调运转费</w:t>
      </w:r>
    </w:p>
    <w:p w14:paraId="6766B03A">
      <w:pPr>
        <w:widowControl w:val="0"/>
        <w:wordWrap/>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highlight w:val="none"/>
          <w:lang w:val="en-US" w:eastAsia="zh-CN" w:bidi="ar-SA"/>
        </w:rPr>
      </w:pPr>
      <w:r>
        <w:rPr>
          <w:rFonts w:hint="eastAsia" w:ascii="仿宋_GB2312" w:hAnsi="仿宋_GB2312" w:eastAsia="仿宋_GB2312" w:cs="仿宋_GB2312"/>
          <w:spacing w:val="3"/>
          <w:w w:val="95"/>
          <w:kern w:val="2"/>
          <w:sz w:val="32"/>
          <w:szCs w:val="32"/>
          <w:highlight w:val="none"/>
          <w:lang w:val="en-US" w:eastAsia="zh-CN" w:bidi="ar-SA"/>
        </w:rPr>
        <w:t>绩效目标：本着热情服务、节俭办事的原则，围绕中心、服务大局，认真做好接待工作，保证区政府工作的正常运转。</w:t>
      </w:r>
    </w:p>
    <w:p w14:paraId="65752962">
      <w:pPr>
        <w:widowControl w:val="0"/>
        <w:wordWrap/>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highlight w:val="none"/>
          <w:lang w:val="en-US" w:eastAsia="zh-CN" w:bidi="ar-SA"/>
        </w:rPr>
      </w:pPr>
      <w:r>
        <w:rPr>
          <w:rFonts w:hint="eastAsia" w:ascii="仿宋_GB2312" w:hAnsi="仿宋_GB2312" w:eastAsia="仿宋_GB2312" w:cs="仿宋_GB2312"/>
          <w:spacing w:val="3"/>
          <w:w w:val="95"/>
          <w:kern w:val="2"/>
          <w:sz w:val="32"/>
          <w:szCs w:val="32"/>
          <w:highlight w:val="none"/>
          <w:lang w:val="en-US" w:eastAsia="zh-CN" w:bidi="ar-SA"/>
        </w:rPr>
        <w:t>绩效指标：认真做好会议组织和协调运转综合事务保障率会议效果和招待完成度99%以上，群众满意率98%以上。</w:t>
      </w:r>
    </w:p>
    <w:p w14:paraId="3A32A3D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（9）政府东西两院维护费</w:t>
      </w:r>
    </w:p>
    <w:p w14:paraId="0012680B">
      <w:pPr>
        <w:widowControl w:val="0"/>
        <w:wordWrap/>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highlight w:val="none"/>
          <w:lang w:val="en-US" w:eastAsia="zh-CN" w:bidi="ar-SA"/>
        </w:rPr>
      </w:pPr>
      <w:r>
        <w:rPr>
          <w:rFonts w:hint="eastAsia" w:ascii="仿宋_GB2312" w:hAnsi="仿宋_GB2312" w:eastAsia="仿宋_GB2312" w:cs="仿宋_GB2312"/>
          <w:spacing w:val="3"/>
          <w:w w:val="95"/>
          <w:kern w:val="2"/>
          <w:sz w:val="32"/>
          <w:szCs w:val="32"/>
          <w:highlight w:val="none"/>
          <w:lang w:val="en-US" w:eastAsia="zh-CN" w:bidi="ar-SA"/>
        </w:rPr>
        <w:t>绩效目标：机关事务服务中心主要为政府东西两院工作人员提供良好工作环境，加强机关各项管理工作，提高质量和服务水平，得到干部职工的认可。</w:t>
      </w:r>
    </w:p>
    <w:p w14:paraId="0897A9C0">
      <w:pPr>
        <w:widowControl w:val="0"/>
        <w:wordWrap/>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highlight w:val="none"/>
          <w:lang w:val="en-US" w:eastAsia="zh-CN" w:bidi="ar-SA"/>
        </w:rPr>
      </w:pPr>
      <w:r>
        <w:rPr>
          <w:rFonts w:hint="eastAsia" w:ascii="仿宋_GB2312" w:hAnsi="仿宋_GB2312" w:eastAsia="仿宋_GB2312" w:cs="仿宋_GB2312"/>
          <w:spacing w:val="3"/>
          <w:w w:val="95"/>
          <w:kern w:val="2"/>
          <w:sz w:val="32"/>
          <w:szCs w:val="32"/>
          <w:highlight w:val="none"/>
          <w:lang w:val="en-US" w:eastAsia="zh-CN" w:bidi="ar-SA"/>
        </w:rPr>
        <w:t>绩效指标：认真做好政府东西两院管理工作，提高服务水平，确保机关工作人员工作舒适。机关工作人员对工作环境的满意率98%以上。</w:t>
      </w:r>
    </w:p>
    <w:p w14:paraId="124A858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（10）政府机关基本运行维护费</w:t>
      </w:r>
    </w:p>
    <w:p w14:paraId="5F83BA67">
      <w:pPr>
        <w:widowControl w:val="0"/>
        <w:wordWrap/>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highlight w:val="none"/>
          <w:lang w:val="en-US" w:eastAsia="zh-CN" w:bidi="ar-SA"/>
        </w:rPr>
      </w:pPr>
      <w:r>
        <w:rPr>
          <w:rFonts w:hint="eastAsia" w:ascii="仿宋_GB2312" w:hAnsi="仿宋_GB2312" w:eastAsia="仿宋_GB2312" w:cs="仿宋_GB2312"/>
          <w:spacing w:val="3"/>
          <w:w w:val="95"/>
          <w:kern w:val="2"/>
          <w:sz w:val="32"/>
          <w:szCs w:val="32"/>
          <w:highlight w:val="none"/>
          <w:lang w:val="en-US" w:eastAsia="zh-CN" w:bidi="ar-SA"/>
        </w:rPr>
        <w:t>绩效目标：政府食堂主要为用餐人员提供良好的饭菜质量和用餐环境，加强机关食堂各项管理工作，提高质量和服务水平，得到干部职工的认可。</w:t>
      </w:r>
    </w:p>
    <w:p w14:paraId="4592C59E">
      <w:pPr>
        <w:widowControl w:val="0"/>
        <w:wordWrap/>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highlight w:val="none"/>
          <w:lang w:val="en-US" w:eastAsia="zh-CN" w:bidi="ar-SA"/>
        </w:rPr>
      </w:pPr>
      <w:r>
        <w:rPr>
          <w:rFonts w:hint="eastAsia" w:ascii="仿宋_GB2312" w:hAnsi="仿宋_GB2312" w:eastAsia="仿宋_GB2312" w:cs="仿宋_GB2312"/>
          <w:spacing w:val="3"/>
          <w:w w:val="95"/>
          <w:kern w:val="2"/>
          <w:sz w:val="32"/>
          <w:szCs w:val="32"/>
          <w:highlight w:val="none"/>
          <w:lang w:val="en-US" w:eastAsia="zh-CN" w:bidi="ar-SA"/>
        </w:rPr>
        <w:t>绩效指标：认真做好机关食堂管理工作，提高饭菜质量，确保机关工作人员用餐安全卫生。食堂就餐人员对饭菜品种的满意率98%以上。</w:t>
      </w:r>
    </w:p>
    <w:p w14:paraId="3569B437">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四、评价结论和评价等级</w:t>
      </w:r>
    </w:p>
    <w:p w14:paraId="6BB3DD89">
      <w:pPr>
        <w:widowControl w:val="0"/>
        <w:wordWrap/>
        <w:adjustRightInd/>
        <w:snapToGrid w:val="0"/>
        <w:spacing w:line="560" w:lineRule="exact"/>
        <w:ind w:right="0" w:firstLine="620" w:firstLineChars="200"/>
        <w:textAlignment w:val="auto"/>
        <w:outlineLvl w:val="9"/>
        <w:rPr>
          <w:rFonts w:hint="eastAsia" w:ascii="仿宋_GB2312" w:hAnsi="仿宋_GB2312" w:eastAsia="仿宋_GB2312" w:cs="仿宋_GB2312"/>
          <w:spacing w:val="3"/>
          <w:w w:val="95"/>
          <w:kern w:val="2"/>
          <w:sz w:val="32"/>
          <w:szCs w:val="32"/>
          <w:highlight w:val="none"/>
          <w:lang w:val="en-US" w:eastAsia="zh-CN" w:bidi="ar-SA"/>
        </w:rPr>
      </w:pPr>
      <w:r>
        <w:rPr>
          <w:rFonts w:hint="eastAsia" w:ascii="仿宋_GB2312" w:hAnsi="仿宋_GB2312" w:eastAsia="仿宋_GB2312" w:cs="仿宋_GB2312"/>
          <w:spacing w:val="3"/>
          <w:w w:val="95"/>
          <w:kern w:val="2"/>
          <w:sz w:val="32"/>
          <w:szCs w:val="32"/>
          <w:highlight w:val="none"/>
          <w:lang w:val="en-US" w:eastAsia="zh-CN" w:bidi="ar-SA"/>
        </w:rPr>
        <w:t>本年度专项工作经费管理规范，按计划基本完成，各项工作均已基本完成，专项资金绩效评价自评为优秀。</w:t>
      </w:r>
    </w:p>
    <w:p w14:paraId="0BCAA1A4">
      <w:pPr>
        <w:keepNext w:val="0"/>
        <w:keepLines w:val="0"/>
        <w:pageBreakBefore w:val="0"/>
        <w:widowControl w:val="0"/>
        <w:numPr>
          <w:ilvl w:val="0"/>
          <w:numId w:val="5"/>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highlight w:val="none"/>
        </w:rPr>
      </w:pPr>
      <w:r>
        <w:rPr>
          <w:rFonts w:hint="eastAsia" w:ascii="黑体" w:hAnsi="黑体" w:eastAsia="黑体"/>
          <w:sz w:val="32"/>
          <w:szCs w:val="32"/>
          <w:highlight w:val="none"/>
        </w:rPr>
        <w:t>存在的问题及改进措施</w:t>
      </w:r>
    </w:p>
    <w:p w14:paraId="15475DD4">
      <w:pPr>
        <w:keepNext w:val="0"/>
        <w:keepLines w:val="0"/>
        <w:pageBreakBefore w:val="0"/>
        <w:widowControl w:val="0"/>
        <w:numPr>
          <w:ilvl w:val="0"/>
          <w:numId w:val="6"/>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highlight w:val="none"/>
        </w:rPr>
      </w:pPr>
      <w:r>
        <w:rPr>
          <w:rFonts w:hint="eastAsia" w:ascii="楷体_GB2312" w:hAnsi="楷体_GB2312" w:eastAsia="楷体_GB2312" w:cs="楷体_GB2312"/>
          <w:bCs/>
          <w:sz w:val="32"/>
          <w:szCs w:val="32"/>
          <w:highlight w:val="none"/>
        </w:rPr>
        <w:t>存在的主要问题</w:t>
      </w:r>
    </w:p>
    <w:p w14:paraId="480C3623">
      <w:pPr>
        <w:pStyle w:val="2"/>
        <w:keepNext w:val="0"/>
        <w:keepLines w:val="0"/>
        <w:pageBreakBefore w:val="0"/>
        <w:widowControl w:val="0"/>
        <w:kinsoku/>
        <w:wordWrap/>
        <w:overflowPunct/>
        <w:topLinePunct w:val="0"/>
        <w:autoSpaceDE w:val="0"/>
        <w:autoSpaceDN w:val="0"/>
        <w:bidi w:val="0"/>
        <w:adjustRightInd/>
        <w:snapToGrid/>
        <w:spacing w:before="10" w:beforeLines="0" w:line="560" w:lineRule="exact"/>
        <w:ind w:left="111" w:right="282" w:firstLine="620" w:firstLineChars="200"/>
        <w:jc w:val="both"/>
        <w:textAlignment w:val="auto"/>
        <w:rPr>
          <w:rFonts w:hint="eastAsia" w:ascii="仿宋_GB2312" w:hAnsi="仿宋_GB2312" w:eastAsia="仿宋_GB2312" w:cs="仿宋_GB2312"/>
          <w:spacing w:val="3"/>
          <w:w w:val="95"/>
          <w:sz w:val="32"/>
          <w:szCs w:val="32"/>
          <w:highlight w:val="none"/>
          <w:lang w:eastAsia="zh-CN"/>
        </w:rPr>
      </w:pPr>
      <w:r>
        <w:rPr>
          <w:rFonts w:hint="eastAsia" w:ascii="仿宋_GB2312" w:hAnsi="仿宋_GB2312" w:eastAsia="仿宋_GB2312" w:cs="仿宋_GB2312"/>
          <w:spacing w:val="3"/>
          <w:w w:val="95"/>
          <w:sz w:val="32"/>
          <w:szCs w:val="32"/>
          <w:highlight w:val="none"/>
        </w:rPr>
        <w:t>对部门整体支出开展绩效评价工作是一项全新的工作，虽然我</w:t>
      </w:r>
      <w:r>
        <w:rPr>
          <w:rFonts w:hint="eastAsia" w:ascii="仿宋_GB2312" w:hAnsi="仿宋_GB2312" w:eastAsia="仿宋_GB2312" w:cs="仿宋_GB2312"/>
          <w:spacing w:val="3"/>
          <w:w w:val="95"/>
          <w:sz w:val="32"/>
          <w:szCs w:val="32"/>
          <w:highlight w:val="none"/>
          <w:lang w:val="en-US" w:eastAsia="zh-CN"/>
        </w:rPr>
        <w:t>中心</w:t>
      </w:r>
      <w:r>
        <w:rPr>
          <w:rFonts w:hint="eastAsia" w:ascii="仿宋_GB2312" w:hAnsi="仿宋_GB2312" w:eastAsia="仿宋_GB2312" w:cs="仿宋_GB2312"/>
          <w:spacing w:val="3"/>
          <w:w w:val="95"/>
          <w:sz w:val="32"/>
          <w:szCs w:val="32"/>
          <w:highlight w:val="none"/>
        </w:rPr>
        <w:t>也成立了绩效评价工作小组，但对部门</w:t>
      </w:r>
      <w:r>
        <w:rPr>
          <w:rFonts w:hint="eastAsia" w:ascii="仿宋_GB2312" w:hAnsi="仿宋_GB2312" w:eastAsia="仿宋_GB2312" w:cs="仿宋_GB2312"/>
          <w:spacing w:val="3"/>
          <w:w w:val="95"/>
          <w:sz w:val="32"/>
          <w:szCs w:val="32"/>
          <w:highlight w:val="none"/>
          <w:lang w:eastAsia="zh-CN"/>
        </w:rPr>
        <w:t>的整体支出绩效评价工作不够熟悉，对该项工作还有待加强。</w:t>
      </w:r>
    </w:p>
    <w:p w14:paraId="0C6ACA4A">
      <w:pPr>
        <w:keepNext w:val="0"/>
        <w:keepLines w:val="0"/>
        <w:pageBreakBefore w:val="0"/>
        <w:widowControl w:val="0"/>
        <w:numPr>
          <w:ilvl w:val="0"/>
          <w:numId w:val="6"/>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highlight w:val="none"/>
        </w:rPr>
      </w:pPr>
      <w:r>
        <w:rPr>
          <w:rFonts w:hint="eastAsia" w:ascii="楷体_GB2312" w:hAnsi="楷体_GB2312" w:eastAsia="楷体_GB2312" w:cs="楷体_GB2312"/>
          <w:bCs/>
          <w:sz w:val="32"/>
          <w:szCs w:val="32"/>
          <w:highlight w:val="none"/>
        </w:rPr>
        <w:t>针对问题提出具体的改进措施或建议</w:t>
      </w:r>
    </w:p>
    <w:p w14:paraId="29B4ACE2">
      <w:pPr>
        <w:pStyle w:val="2"/>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ind w:leftChars="0" w:right="0" w:rightChars="0" w:firstLine="620" w:firstLineChars="200"/>
        <w:textAlignment w:val="auto"/>
        <w:rPr>
          <w:rFonts w:hint="eastAsia" w:ascii="仿宋_GB2312" w:hAnsi="仿宋_GB2312" w:eastAsia="仿宋_GB2312" w:cs="仿宋_GB2312"/>
          <w:spacing w:val="3"/>
          <w:w w:val="95"/>
          <w:sz w:val="32"/>
          <w:szCs w:val="32"/>
          <w:highlight w:val="none"/>
        </w:rPr>
      </w:pPr>
      <w:r>
        <w:rPr>
          <w:rFonts w:hint="eastAsia" w:ascii="仿宋_GB2312" w:hAnsi="仿宋_GB2312" w:eastAsia="仿宋_GB2312" w:cs="仿宋_GB2312"/>
          <w:spacing w:val="3"/>
          <w:w w:val="95"/>
          <w:sz w:val="32"/>
          <w:szCs w:val="32"/>
          <w:highlight w:val="none"/>
        </w:rPr>
        <w:t>建立评价信息反馈公开机制，对绩效评价中发现的问题、达不到绩效目标或评价结果较差</w:t>
      </w:r>
      <w:r>
        <w:rPr>
          <w:rFonts w:hint="eastAsia" w:ascii="仿宋_GB2312" w:hAnsi="仿宋_GB2312" w:eastAsia="仿宋_GB2312" w:cs="仿宋_GB2312"/>
          <w:w w:val="95"/>
          <w:sz w:val="32"/>
          <w:szCs w:val="32"/>
          <w:highlight w:val="none"/>
        </w:rPr>
        <w:t>的项目</w:t>
      </w:r>
      <w:r>
        <w:rPr>
          <w:rFonts w:hint="eastAsia" w:ascii="仿宋_GB2312" w:hAnsi="仿宋_GB2312" w:eastAsia="仿宋_GB2312" w:cs="仿宋_GB2312"/>
          <w:w w:val="95"/>
          <w:sz w:val="32"/>
          <w:szCs w:val="32"/>
          <w:highlight w:val="none"/>
          <w:lang w:eastAsia="zh-CN"/>
        </w:rPr>
        <w:t>，</w:t>
      </w:r>
      <w:r>
        <w:rPr>
          <w:rFonts w:hint="eastAsia" w:ascii="仿宋_GB2312" w:hAnsi="仿宋_GB2312" w:eastAsia="仿宋_GB2312" w:cs="仿宋_GB2312"/>
          <w:spacing w:val="3"/>
          <w:w w:val="95"/>
          <w:sz w:val="32"/>
          <w:szCs w:val="32"/>
          <w:highlight w:val="none"/>
        </w:rPr>
        <w:t>及时反馈给项目实施各</w:t>
      </w:r>
      <w:r>
        <w:rPr>
          <w:rFonts w:hint="eastAsia" w:ascii="仿宋_GB2312" w:hAnsi="仿宋_GB2312" w:eastAsia="仿宋_GB2312" w:cs="仿宋_GB2312"/>
          <w:spacing w:val="3"/>
          <w:w w:val="95"/>
          <w:sz w:val="32"/>
          <w:szCs w:val="32"/>
          <w:highlight w:val="none"/>
          <w:lang w:eastAsia="zh-CN"/>
        </w:rPr>
        <w:t>科</w:t>
      </w:r>
      <w:r>
        <w:rPr>
          <w:rFonts w:hint="eastAsia" w:ascii="仿宋_GB2312" w:hAnsi="仿宋_GB2312" w:eastAsia="仿宋_GB2312" w:cs="仿宋_GB2312"/>
          <w:spacing w:val="3"/>
          <w:w w:val="95"/>
          <w:sz w:val="32"/>
          <w:szCs w:val="32"/>
          <w:highlight w:val="none"/>
        </w:rPr>
        <w:t>室，项目实施</w:t>
      </w:r>
      <w:r>
        <w:rPr>
          <w:rFonts w:hint="eastAsia" w:ascii="仿宋_GB2312" w:hAnsi="仿宋_GB2312" w:eastAsia="仿宋_GB2312" w:cs="仿宋_GB2312"/>
          <w:spacing w:val="3"/>
          <w:w w:val="95"/>
          <w:sz w:val="32"/>
          <w:szCs w:val="32"/>
          <w:highlight w:val="none"/>
          <w:lang w:eastAsia="zh-CN"/>
        </w:rPr>
        <w:t>科</w:t>
      </w:r>
      <w:r>
        <w:rPr>
          <w:rFonts w:hint="eastAsia" w:ascii="仿宋_GB2312" w:hAnsi="仿宋_GB2312" w:eastAsia="仿宋_GB2312" w:cs="仿宋_GB2312"/>
          <w:spacing w:val="3"/>
          <w:w w:val="95"/>
          <w:sz w:val="32"/>
          <w:szCs w:val="32"/>
          <w:highlight w:val="none"/>
        </w:rPr>
        <w:t>室</w:t>
      </w:r>
      <w:r>
        <w:rPr>
          <w:rFonts w:hint="eastAsia" w:ascii="仿宋_GB2312" w:hAnsi="仿宋_GB2312" w:eastAsia="仿宋_GB2312" w:cs="仿宋_GB2312"/>
          <w:spacing w:val="3"/>
          <w:w w:val="95"/>
          <w:sz w:val="32"/>
          <w:szCs w:val="32"/>
          <w:highlight w:val="none"/>
          <w:lang w:eastAsia="zh-CN"/>
        </w:rPr>
        <w:t>限时整改</w:t>
      </w:r>
      <w:r>
        <w:rPr>
          <w:rFonts w:hint="eastAsia" w:ascii="仿宋_GB2312" w:hAnsi="仿宋_GB2312" w:eastAsia="仿宋_GB2312" w:cs="仿宋_GB2312"/>
          <w:spacing w:val="3"/>
          <w:w w:val="95"/>
          <w:sz w:val="32"/>
          <w:szCs w:val="32"/>
          <w:highlight w:val="none"/>
        </w:rPr>
        <w:t>，落实整改情况及时报送</w:t>
      </w:r>
      <w:r>
        <w:rPr>
          <w:rFonts w:hint="eastAsia" w:ascii="仿宋_GB2312" w:hAnsi="仿宋_GB2312" w:eastAsia="仿宋_GB2312" w:cs="仿宋_GB2312"/>
          <w:spacing w:val="3"/>
          <w:w w:val="95"/>
          <w:sz w:val="32"/>
          <w:szCs w:val="32"/>
          <w:highlight w:val="none"/>
          <w:lang w:eastAsia="zh-CN"/>
        </w:rPr>
        <w:t>财务科</w:t>
      </w:r>
      <w:r>
        <w:rPr>
          <w:rFonts w:hint="eastAsia" w:ascii="仿宋_GB2312" w:hAnsi="仿宋_GB2312" w:eastAsia="仿宋_GB2312" w:cs="仿宋_GB2312"/>
          <w:spacing w:val="3"/>
          <w:w w:val="95"/>
          <w:sz w:val="32"/>
          <w:szCs w:val="32"/>
          <w:highlight w:val="none"/>
        </w:rPr>
        <w:t>。</w:t>
      </w:r>
    </w:p>
    <w:p w14:paraId="278B8E06">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highlight w:val="none"/>
          <w:lang w:eastAsia="zh-CN"/>
        </w:rPr>
      </w:pPr>
      <w:bookmarkStart w:id="0" w:name="_GoBack"/>
      <w:bookmarkEnd w:id="0"/>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Noto Sans Mono CJK JP Bold">
    <w:altName w:val="方正公文小标宋"/>
    <w:panose1 w:val="00000000000000000000"/>
    <w:charset w:val="00"/>
    <w:family w:val="auto"/>
    <w:pitch w:val="default"/>
    <w:sig w:usb0="00000000" w:usb1="00000000" w:usb2="00000000" w:usb3="00000000" w:csb0="00040001" w:csb1="00000000"/>
  </w:font>
  <w:font w:name="方正公文小标宋">
    <w:panose1 w:val="02000500000000000000"/>
    <w:charset w:val="86"/>
    <w:family w:val="auto"/>
    <w:pitch w:val="default"/>
    <w:sig w:usb0="A00002BF" w:usb1="38CF7CFA" w:usb2="00000016" w:usb3="00000000" w:csb0="00040001"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D91C2A">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E1AC38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1E1AC38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514688">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A2796964"/>
    <w:multiLevelType w:val="singleLevel"/>
    <w:tmpl w:val="A2796964"/>
    <w:lvl w:ilvl="0" w:tentative="0">
      <w:start w:val="3"/>
      <w:numFmt w:val="chineseCounting"/>
      <w:suff w:val="nothing"/>
      <w:lvlText w:val="（%1）"/>
      <w:lvlJc w:val="left"/>
      <w:rPr>
        <w:rFonts w:hint="eastAsia"/>
      </w:rPr>
    </w:lvl>
  </w:abstractNum>
  <w:abstractNum w:abstractNumId="2">
    <w:nsid w:val="29A48AA9"/>
    <w:multiLevelType w:val="singleLevel"/>
    <w:tmpl w:val="29A48AA9"/>
    <w:lvl w:ilvl="0" w:tentative="0">
      <w:start w:val="1"/>
      <w:numFmt w:val="chineseCounting"/>
      <w:suff w:val="nothing"/>
      <w:lvlText w:val="（%1）"/>
      <w:lvlJc w:val="left"/>
      <w:rPr>
        <w:rFonts w:hint="eastAsia"/>
      </w:rPr>
    </w:lvl>
  </w:abstractNum>
  <w:abstractNum w:abstractNumId="3">
    <w:nsid w:val="330718AF"/>
    <w:multiLevelType w:val="singleLevel"/>
    <w:tmpl w:val="330718AF"/>
    <w:lvl w:ilvl="0" w:tentative="0">
      <w:start w:val="5"/>
      <w:numFmt w:val="chineseCounting"/>
      <w:suff w:val="nothing"/>
      <w:lvlText w:val="%1、"/>
      <w:lvlJc w:val="left"/>
      <w:rPr>
        <w:rFonts w:hint="eastAsia"/>
      </w:rPr>
    </w:lvl>
  </w:abstractNum>
  <w:abstractNum w:abstractNumId="4">
    <w:nsid w:val="3674B4B4"/>
    <w:multiLevelType w:val="singleLevel"/>
    <w:tmpl w:val="3674B4B4"/>
    <w:lvl w:ilvl="0" w:tentative="0">
      <w:start w:val="2"/>
      <w:numFmt w:val="chineseCounting"/>
      <w:suff w:val="nothing"/>
      <w:lvlText w:val="（%1）"/>
      <w:lvlJc w:val="left"/>
      <w:rPr>
        <w:rFonts w:hint="eastAsia"/>
      </w:rPr>
    </w:lvl>
  </w:abstractNum>
  <w:abstractNum w:abstractNumId="5">
    <w:nsid w:val="7AEA73A6"/>
    <w:multiLevelType w:val="singleLevel"/>
    <w:tmpl w:val="7AEA73A6"/>
    <w:lvl w:ilvl="0" w:tentative="0">
      <w:start w:val="6"/>
      <w:numFmt w:val="decimal"/>
      <w:suff w:val="nothing"/>
      <w:lvlText w:val="（%1）"/>
      <w:lvlJc w:val="left"/>
    </w:lvl>
  </w:abstractNum>
  <w:num w:numId="1">
    <w:abstractNumId w:val="1"/>
  </w:num>
  <w:num w:numId="2">
    <w:abstractNumId w:val="0"/>
  </w:num>
  <w:num w:numId="3">
    <w:abstractNumId w:val="4"/>
  </w:num>
  <w:num w:numId="4">
    <w:abstractNumId w:val="5"/>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8"/>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gyODMyNjcxM2Q1NWQ3NTZjOTBiNjUwYWY2YzY5NTA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55B525F"/>
    <w:rsid w:val="07B21B14"/>
    <w:rsid w:val="13B61930"/>
    <w:rsid w:val="1A3B21A2"/>
    <w:rsid w:val="1BAF1154"/>
    <w:rsid w:val="1C655171"/>
    <w:rsid w:val="1C9D742E"/>
    <w:rsid w:val="1E381820"/>
    <w:rsid w:val="20276775"/>
    <w:rsid w:val="26B75F6B"/>
    <w:rsid w:val="2F2C2A40"/>
    <w:rsid w:val="301A41E9"/>
    <w:rsid w:val="344704E1"/>
    <w:rsid w:val="35C85D55"/>
    <w:rsid w:val="39744C0B"/>
    <w:rsid w:val="3ADC2C60"/>
    <w:rsid w:val="3AEF6FE7"/>
    <w:rsid w:val="441F3676"/>
    <w:rsid w:val="46850148"/>
    <w:rsid w:val="493B718D"/>
    <w:rsid w:val="4E7206B6"/>
    <w:rsid w:val="4FA074E8"/>
    <w:rsid w:val="53A42ADD"/>
    <w:rsid w:val="563B01B4"/>
    <w:rsid w:val="56604927"/>
    <w:rsid w:val="590F0BE0"/>
    <w:rsid w:val="5B470B72"/>
    <w:rsid w:val="5C4A315B"/>
    <w:rsid w:val="661D3074"/>
    <w:rsid w:val="67602AF4"/>
    <w:rsid w:val="679F39AA"/>
    <w:rsid w:val="6B1C1E0E"/>
    <w:rsid w:val="6B7F6C24"/>
    <w:rsid w:val="6BDE7164"/>
    <w:rsid w:val="6D2C4F0C"/>
    <w:rsid w:val="7AF120B0"/>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qFormat="1" w:unhideWhenUsed="0" w:uiPriority="0"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unhideWhenUsed/>
    <w:qFormat/>
    <w:uiPriority w:val="1"/>
  </w:style>
  <w:style w:type="table" w:default="1" w:styleId="5">
    <w:name w:val="Normal Table"/>
    <w:autoRedefine/>
    <w:unhideWhenUsed/>
    <w:qFormat/>
    <w:uiPriority w:val="99"/>
    <w:tblPr>
      <w:tblCellMar>
        <w:top w:w="0" w:type="dxa"/>
        <w:left w:w="108" w:type="dxa"/>
        <w:bottom w:w="0" w:type="dxa"/>
        <w:right w:w="108" w:type="dxa"/>
      </w:tblCellMar>
    </w:tblPr>
  </w:style>
  <w:style w:type="paragraph" w:styleId="2">
    <w:name w:val="Body Text"/>
    <w:basedOn w:val="1"/>
    <w:qFormat/>
    <w:uiPriority w:val="0"/>
    <w:rPr>
      <w:rFonts w:ascii="Noto Sans Mono CJK JP Bold" w:hAnsi="Noto Sans Mono CJK JP Bold" w:eastAsia="Noto Sans Mono CJK JP Bold" w:cs="Noto Sans Mono CJK JP Bold"/>
      <w:sz w:val="32"/>
      <w:szCs w:val="32"/>
      <w:lang w:val="en-US" w:eastAsia="zh-CN"/>
    </w:rPr>
  </w:style>
  <w:style w:type="paragraph" w:styleId="3">
    <w:name w:val="footer"/>
    <w:basedOn w:val="1"/>
    <w:link w:val="9"/>
    <w:autoRedefine/>
    <w:unhideWhenUsed/>
    <w:qFormat/>
    <w:uiPriority w:val="99"/>
    <w:pPr>
      <w:tabs>
        <w:tab w:val="center" w:pos="4153"/>
        <w:tab w:val="right" w:pos="8306"/>
      </w:tabs>
      <w:snapToGrid w:val="0"/>
      <w:jc w:val="left"/>
    </w:pPr>
    <w:rPr>
      <w:sz w:val="18"/>
      <w:szCs w:val="18"/>
    </w:rPr>
  </w:style>
  <w:style w:type="paragraph" w:styleId="4">
    <w:name w:val="header"/>
    <w:basedOn w:val="1"/>
    <w:link w:val="8"/>
    <w:autoRedefine/>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8">
    <w:name w:val="页眉 Char"/>
    <w:basedOn w:val="7"/>
    <w:link w:val="4"/>
    <w:autoRedefine/>
    <w:qFormat/>
    <w:uiPriority w:val="99"/>
    <w:rPr>
      <w:sz w:val="18"/>
      <w:szCs w:val="18"/>
    </w:rPr>
  </w:style>
  <w:style w:type="character" w:customStyle="1" w:styleId="9">
    <w:name w:val="页脚 Char"/>
    <w:basedOn w:val="7"/>
    <w:link w:val="3"/>
    <w:qFormat/>
    <w:uiPriority w:val="99"/>
    <w:rPr>
      <w:sz w:val="18"/>
      <w:szCs w:val="18"/>
    </w:rPr>
  </w:style>
  <w:style w:type="paragraph" w:customStyle="1" w:styleId="10">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11">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7</Pages>
  <Words>3292</Words>
  <Characters>3354</Characters>
  <Lines>3</Lines>
  <Paragraphs>1</Paragraphs>
  <TotalTime>19</TotalTime>
  <ScaleCrop>false</ScaleCrop>
  <LinksUpToDate>false</LinksUpToDate>
  <CharactersWithSpaces>3354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哈哈</cp:lastModifiedBy>
  <cp:lastPrinted>2021-02-24T05:43:00Z</cp:lastPrinted>
  <dcterms:modified xsi:type="dcterms:W3CDTF">2025-12-31T02:33:02Z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28C64EFCB758481798A31117B3E7B5E3</vt:lpwstr>
  </property>
  <property fmtid="{D5CDD505-2E9C-101B-9397-08002B2CF9AE}" pid="4" name="KSOTemplateDocerSaveRecord">
    <vt:lpwstr>eyJoZGlkIjoiMTgyODMyNjcxM2Q1NWQ3NTZjOTBiNjUwYWY2YzY5NTAiLCJ1c2VySWQiOiI0MDEwMjU0NDcifQ==</vt:lpwstr>
  </property>
</Properties>
</file>