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12CC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石家庄市藁城区审计局关于</w:t>
      </w:r>
    </w:p>
    <w:p w14:paraId="3153C1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石家庄市藁城区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交通局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年度预算执行、决算草案及其他财政财务收支情况审计</w:t>
      </w:r>
    </w:p>
    <w:p w14:paraId="050236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的审计结果公示</w:t>
      </w:r>
    </w:p>
    <w:p w14:paraId="0F469976">
      <w:pPr>
        <w:keepNext w:val="0"/>
        <w:keepLines w:val="0"/>
        <w:pageBreakBefore w:val="0"/>
        <w:kinsoku/>
        <w:wordWrap/>
        <w:overflowPunct/>
        <w:topLinePunct w:val="0"/>
        <w:bidi w:val="0"/>
        <w:snapToGrid w:val="0"/>
        <w:spacing w:before="0" w:after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</w:p>
    <w:p w14:paraId="2031E0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zh-CN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zh-CN" w:eastAsia="zh-CN" w:bidi="ar-SA"/>
        </w:rPr>
        <w:t>根据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zh-CN" w:eastAsia="zh-CN" w:bidi="ar-SA"/>
        </w:rPr>
        <w:t>《中华人民共和国审计法》第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zh-CN" w:eastAsia="zh-CN" w:bidi="ar-SA"/>
        </w:rPr>
        <w:t>十八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zh-CN" w:eastAsia="zh-CN" w:bidi="ar-SA"/>
        </w:rPr>
        <w:t>条的规定，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zh-CN" w:eastAsia="zh-CN" w:bidi="ar-SA"/>
        </w:rPr>
        <w:t>石家庄市藁城区审计局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zh-CN" w:eastAsia="zh-CN" w:bidi="ar-SA"/>
        </w:rPr>
        <w:t>派出审计组，自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en-US" w:eastAsia="zh-CN" w:bidi="ar-SA"/>
        </w:rPr>
        <w:t>2025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zh-CN" w:eastAsia="zh-CN" w:bidi="ar-SA"/>
        </w:rPr>
        <w:t>年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en-US" w:eastAsia="zh-CN" w:bidi="ar-SA"/>
        </w:rPr>
        <w:t>5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zh-CN" w:eastAsia="zh-CN" w:bidi="ar-SA"/>
        </w:rPr>
        <w:t>月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en-US" w:eastAsia="zh-CN" w:bidi="ar-SA"/>
        </w:rPr>
        <w:t>14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zh-CN" w:eastAsia="zh-CN" w:bidi="ar-SA"/>
        </w:rPr>
        <w:t>日至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en-US" w:eastAsia="zh-CN" w:bidi="ar-SA"/>
        </w:rPr>
        <w:t>2025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zh-CN" w:eastAsia="zh-CN" w:bidi="ar-SA"/>
        </w:rPr>
        <w:t>年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en-US" w:eastAsia="zh-CN" w:bidi="ar-SA"/>
        </w:rPr>
        <w:t>7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zh-CN" w:eastAsia="zh-CN" w:bidi="ar-SA"/>
        </w:rPr>
        <w:t>月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en-US" w:eastAsia="zh-CN" w:bidi="ar-SA"/>
        </w:rPr>
        <w:t>11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zh-CN" w:eastAsia="zh-CN" w:bidi="ar-SA"/>
        </w:rPr>
        <w:t>日，对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zh-CN" w:eastAsia="zh-CN" w:bidi="ar-SA"/>
        </w:rPr>
        <w:t>石家庄市藁城区交通运输局（以下简称区交通局）20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en-US" w:eastAsia="zh-CN" w:bidi="ar-SA"/>
        </w:rPr>
        <w:t>24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zh-CN" w:eastAsia="zh-CN" w:bidi="ar-SA"/>
        </w:rPr>
        <w:t>年度预算执行、决算草案及其他财政财务收支情况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zh-CN" w:eastAsia="zh-CN" w:bidi="ar-SA"/>
        </w:rPr>
        <w:t>进行了审计，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zh-CN" w:eastAsia="zh-CN" w:bidi="ar-SA"/>
        </w:rPr>
        <w:t>重点关注转移支付、专项债券等财政资金的使用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zh-CN" w:eastAsia="zh-CN" w:bidi="ar-SA"/>
        </w:rPr>
        <w:t>，对重要事项进行了必要的延伸和追溯。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zh-CN" w:eastAsia="zh-CN" w:bidi="ar-SA"/>
        </w:rPr>
        <w:t>区交通局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zh-CN" w:eastAsia="zh-CN" w:bidi="ar-SA"/>
        </w:rPr>
        <w:t>对其提供的财务会计资料以及其他相关资料的及时性、真实性和完整性负责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zh-CN" w:eastAsia="zh-CN" w:bidi="ar-SA"/>
        </w:rPr>
        <w:t>，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en-US" w:eastAsia="zh-CN" w:bidi="ar-SA"/>
        </w:rPr>
        <w:t>并作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en-US" w:eastAsia="zh-CN" w:bidi="ar-SA"/>
        </w:rPr>
        <w:t>出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en-US" w:eastAsia="zh-CN" w:bidi="ar-SA"/>
        </w:rPr>
        <w:t>书面承诺</w:t>
      </w: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zh-CN" w:eastAsia="zh-CN" w:bidi="ar-SA"/>
        </w:rPr>
        <w:t>。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zh-CN" w:eastAsia="zh-CN" w:bidi="ar-SA"/>
        </w:rPr>
        <w:t>石家庄市藁城区审计局的责任是依法独立实施审计并出具审计报告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en-US" w:eastAsia="zh-CN" w:bidi="ar-SA"/>
        </w:rPr>
        <w:t>,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zh-CN" w:eastAsia="zh-CN" w:bidi="ar-SA"/>
        </w:rPr>
        <w:t>现将审计结果公告如下：</w:t>
      </w:r>
    </w:p>
    <w:p w14:paraId="119AD562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eastAsia" w:ascii="黑体" w:hAnsi="黑体" w:eastAsia="黑体" w:cs="宋体"/>
          <w:color w:val="auto"/>
          <w:kern w:val="0"/>
          <w:sz w:val="32"/>
          <w:szCs w:val="32"/>
          <w:highlight w:val="none"/>
          <w:lang w:val="en-US" w:eastAsia="zh-CN" w:bidi="ar-SA"/>
        </w:rPr>
      </w:pPr>
      <w:bookmarkStart w:id="0" w:name="_GoBack"/>
      <w:r>
        <w:rPr>
          <w:rFonts w:hint="eastAsia" w:ascii="黑体" w:hAnsi="黑体" w:eastAsia="黑体" w:cs="宋体"/>
          <w:color w:val="auto"/>
          <w:kern w:val="0"/>
          <w:sz w:val="32"/>
          <w:szCs w:val="32"/>
          <w:highlight w:val="none"/>
          <w:lang w:val="en-US" w:eastAsia="zh-CN" w:bidi="ar-SA"/>
        </w:rPr>
        <w:t>一、基本情况及评价意见</w:t>
      </w:r>
    </w:p>
    <w:bookmarkEnd w:id="0"/>
    <w:p w14:paraId="500415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zh-CN" w:eastAsia="zh-CN" w:bidi="ar-SA"/>
        </w:rPr>
        <w:t>区交通局机关内设办公室、公路股、政工股、财务和综合股4个职能股室，机关行政编制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en-US" w:eastAsia="zh-CN" w:bidi="ar-SA"/>
        </w:rPr>
        <w:t>12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zh-CN" w:eastAsia="zh-CN" w:bidi="ar-SA"/>
        </w:rPr>
        <w:t>人，20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en-US" w:eastAsia="zh-CN" w:bidi="ar-SA"/>
        </w:rPr>
        <w:t>24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zh-CN" w:eastAsia="zh-CN" w:bidi="ar-SA"/>
        </w:rPr>
        <w:t>年末机关实有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en-US" w:eastAsia="zh-CN" w:bidi="ar-SA"/>
        </w:rPr>
        <w:t>13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zh-CN" w:eastAsia="zh-CN" w:bidi="ar-SA"/>
        </w:rPr>
        <w:t>人（局领导交流，未占编）。下属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en-US" w:eastAsia="zh-CN" w:bidi="ar-SA"/>
        </w:rPr>
        <w:t>3个事业单位，藁城区公路养护中心（财政性基本保证）编制29人，实有26人；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zh-CN" w:eastAsia="zh-CN" w:bidi="ar-SA"/>
        </w:rPr>
        <w:t>综合执法大队（公益一类）编制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en-US" w:eastAsia="zh-CN" w:bidi="ar-SA"/>
        </w:rPr>
        <w:t>71人，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zh-CN" w:eastAsia="zh-CN" w:bidi="ar-SA"/>
        </w:rPr>
        <w:t>实有76人（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en-US" w:eastAsia="zh-CN" w:bidi="ar-SA"/>
        </w:rPr>
        <w:t>2024年4月定编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zh-CN" w:eastAsia="zh-CN" w:bidi="ar-SA"/>
        </w:rPr>
        <w:t>）；公路站为二级预算单位（自收自支），编制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en-US" w:eastAsia="zh-CN" w:bidi="ar-SA"/>
        </w:rPr>
        <w:t>78人，实有75人。</w:t>
      </w:r>
    </w:p>
    <w:p w14:paraId="73780E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en-US" w:eastAsia="zh-CN" w:bidi="ar-SA"/>
        </w:rPr>
        <w:t>审计结果表明，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en-US" w:eastAsia="zh-CN" w:bidi="ar-SA"/>
        </w:rPr>
        <w:t>区交通局在2024年度工作中，按照财政资金拨付进度以及资金覆盖范围开展相应项目进程，涵盖基础实施建设（槐安路东延二期）、公路养护管理、货车超限超载治理、基础设施可行性缺口补贴和工程建设投资资金拨付等，基本保障各项工作的正常开展和运行。本次审计也发现滞留转移支付资金、内控制度执行不严格、财政资金违规转入实体银行账户等方面问题。</w:t>
      </w:r>
    </w:p>
    <w:p w14:paraId="39E31CB9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eastAsia" w:ascii="黑体" w:hAnsi="黑体" w:eastAsia="黑体" w:cs="宋体"/>
          <w:color w:val="auto"/>
          <w:kern w:val="0"/>
          <w:sz w:val="32"/>
          <w:szCs w:val="32"/>
          <w:highlight w:val="none"/>
          <w:lang w:val="en-US" w:eastAsia="zh-CN" w:bidi="ar-SA"/>
        </w:rPr>
      </w:pPr>
      <w:r>
        <w:rPr>
          <w:rFonts w:hint="eastAsia" w:ascii="黑体" w:hAnsi="黑体" w:eastAsia="黑体" w:cs="宋体"/>
          <w:color w:val="auto"/>
          <w:kern w:val="0"/>
          <w:sz w:val="32"/>
          <w:szCs w:val="32"/>
          <w:highlight w:val="none"/>
          <w:lang w:val="en-US" w:eastAsia="zh-CN" w:bidi="ar-SA"/>
        </w:rPr>
        <w:t>二、审计发现的主要问题</w:t>
      </w:r>
    </w:p>
    <w:p w14:paraId="4090AC64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 w:val="0"/>
        <w:topLinePunct w:val="0"/>
        <w:autoSpaceDE w:val="0"/>
        <w:autoSpaceDN w:val="0"/>
        <w:bidi w:val="0"/>
        <w:adjustRightInd/>
        <w:snapToGrid/>
        <w:spacing w:after="0" w:line="560" w:lineRule="exact"/>
        <w:ind w:left="0" w:leftChars="0" w:right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snapToGrid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（一）</w:t>
      </w:r>
      <w:r>
        <w:rPr>
          <w:rFonts w:hint="eastAsia" w:ascii="楷体_GB2312" w:hAnsi="楷体_GB2312" w:eastAsia="楷体_GB2312" w:cs="楷体_GB2312"/>
          <w:snapToGrid w:val="0"/>
          <w:sz w:val="32"/>
          <w:szCs w:val="32"/>
          <w:lang w:val="en-US" w:eastAsia="zh-CN"/>
        </w:rPr>
        <w:t>落实党政机关坚持过紧日子要求方面问题。</w:t>
      </w:r>
    </w:p>
    <w:p w14:paraId="5355FD76"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left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/>
        </w:rPr>
        <w:t>购买财务审计服务，绩效管理薄弱，服务效果不佳，</w:t>
      </w:r>
      <w:r>
        <w:rPr>
          <w:rFonts w:hint="eastAsia" w:ascii="仿宋_GB2312" w:hAnsi="仿宋_GB2312" w:eastAsia="仿宋_GB2312" w:cs="仿宋_GB2312"/>
          <w:lang w:eastAsia="zh-CN"/>
        </w:rPr>
        <w:t>各业务环节未按相关内控制度执行，存在损失浪费财政资金风险</w:t>
      </w: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/>
        </w:rPr>
        <w:t>。</w:t>
      </w:r>
    </w:p>
    <w:p w14:paraId="66474390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 w:val="0"/>
        <w:topLinePunct w:val="0"/>
        <w:autoSpaceDE w:val="0"/>
        <w:autoSpaceDN w:val="0"/>
        <w:bidi w:val="0"/>
        <w:adjustRightInd/>
        <w:snapToGrid/>
        <w:spacing w:after="0" w:line="560" w:lineRule="exact"/>
        <w:ind w:left="0" w:leftChars="0" w:right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（二）部门预算管理方面问题。</w:t>
      </w:r>
    </w:p>
    <w:p w14:paraId="1CB67FBB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转移支付资金监管不到位，滞留转移支付资金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3.5785万元。</w:t>
      </w:r>
    </w:p>
    <w:p w14:paraId="512059E4"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60" w:lineRule="exact"/>
        <w:ind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2.违规开设银行账户。</w:t>
      </w:r>
    </w:p>
    <w:p w14:paraId="0A7A162A"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60" w:lineRule="exact"/>
        <w:ind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3.财政资金违规转入实体银行账户。</w:t>
      </w:r>
    </w:p>
    <w:p w14:paraId="047594A9"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6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未及时足额上缴财政收入（银行存款利息）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0.8947万元。</w:t>
      </w:r>
    </w:p>
    <w:p w14:paraId="34F7BD28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 w:val="0"/>
        <w:topLinePunct w:val="0"/>
        <w:autoSpaceDE w:val="0"/>
        <w:autoSpaceDN w:val="0"/>
        <w:bidi w:val="0"/>
        <w:adjustRightInd/>
        <w:snapToGrid/>
        <w:spacing w:after="0" w:line="560" w:lineRule="exact"/>
        <w:ind w:left="0" w:leftChars="0" w:right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（三）国有资产管理方面问题。</w:t>
      </w:r>
    </w:p>
    <w:p w14:paraId="05FC18CE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after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en-US" w:eastAsia="zh-CN" w:bidi="ar-SA"/>
        </w:rPr>
        <w:t>应入未入固定资产27.729万元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525C8748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eastAsia" w:ascii="黑体" w:hAnsi="黑体" w:eastAsia="黑体" w:cs="宋体"/>
          <w:color w:val="auto"/>
          <w:kern w:val="0"/>
          <w:sz w:val="32"/>
          <w:szCs w:val="32"/>
          <w:highlight w:val="none"/>
          <w:lang w:val="en-US" w:eastAsia="zh-CN" w:bidi="ar-SA"/>
        </w:rPr>
      </w:pPr>
      <w:r>
        <w:rPr>
          <w:rFonts w:hint="eastAsia" w:ascii="黑体" w:hAnsi="黑体" w:eastAsia="黑体" w:cs="宋体"/>
          <w:color w:val="auto"/>
          <w:kern w:val="0"/>
          <w:sz w:val="32"/>
          <w:szCs w:val="32"/>
          <w:highlight w:val="none"/>
          <w:lang w:val="en-US" w:eastAsia="zh-CN" w:bidi="ar-SA"/>
        </w:rPr>
        <w:t>三、审计处理情况及建议</w:t>
      </w:r>
    </w:p>
    <w:p w14:paraId="79C162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zh-CN" w:eastAsia="zh-CN" w:bidi="ar-SA"/>
        </w:rPr>
        <w:t>藁城区审计局针对审计发现的问题，已依法出具了审计报告，下达了审计决定，并提出了处理意见和整改建议，对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en-US" w:eastAsia="zh-CN" w:bidi="ar-SA"/>
        </w:rPr>
        <w:t>购买财务审计服务存在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zh-CN" w:eastAsia="zh-CN" w:bidi="ar-SA"/>
        </w:rPr>
        <w:t>问题应依据单位内控制度完善相关手续；对滞留转移支付资金问题由区交通局督促相关单位及时拨付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en-US" w:eastAsia="zh-CN" w:bidi="ar-SA"/>
        </w:rPr>
        <w:t>；对违规开设银行账户、财政资金违规转入实体银行账户问题，责令区交通局注销违规开设的银行账户；对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zh-CN" w:eastAsia="zh-CN" w:bidi="ar-SA"/>
        </w:rPr>
        <w:t>未及时足额上缴财政收入问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en-US" w:eastAsia="zh-CN" w:bidi="ar-SA"/>
        </w:rPr>
        <w:t>题，区交通局已于审计期间整改，上缴财政专户；对应入未入固定资产问题，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zh-CN" w:eastAsia="zh-CN" w:bidi="ar-SA"/>
        </w:rPr>
        <w:t>尽快将漏记资产登记入账，防止资产流失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en-US" w:eastAsia="zh-CN" w:bidi="ar-SA"/>
        </w:rPr>
        <w:t>。</w:t>
      </w:r>
    </w:p>
    <w:p w14:paraId="490178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zh-CN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zh-CN" w:eastAsia="zh-CN" w:bidi="ar-SA"/>
        </w:rPr>
        <w:t>针对审计发现的问题，藁城区审计局建议：区交通局应区别不同情况，对有关问题责任人按照“三个区分开来”原则，依法依规进行处理。以后工作中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en-US" w:eastAsia="zh-CN" w:bidi="ar-SA"/>
        </w:rPr>
        <w:t>落实过紧日子要求，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zh-CN" w:eastAsia="zh-CN" w:bidi="ar-SA"/>
        </w:rPr>
        <w:t>牢固树立艰苦奋斗、勤俭节约思想，持之以恒一般性支出管理。进一步夯实财务管理基础，健全执行内部控制制度，坚持用制度管人、管事，以制度促进管理，强化对权力运行的制约和监督。进一步加强财会队伍建设，努力提高财会人员综合业务水平，确保会计核算的真实性、准确性和完整性。深化财务监督检查，秉持“花钱问效、无效问责”的理念。</w:t>
      </w:r>
    </w:p>
    <w:p w14:paraId="44B299E0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eastAsia" w:ascii="黑体" w:hAnsi="黑体" w:eastAsia="黑体" w:cs="宋体"/>
          <w:color w:val="auto"/>
          <w:kern w:val="0"/>
          <w:sz w:val="32"/>
          <w:szCs w:val="32"/>
          <w:highlight w:val="none"/>
          <w:lang w:val="en-US" w:eastAsia="zh-CN" w:bidi="ar-SA"/>
        </w:rPr>
      </w:pPr>
      <w:r>
        <w:rPr>
          <w:rFonts w:hint="eastAsia" w:ascii="黑体" w:hAnsi="黑体" w:eastAsia="黑体" w:cs="宋体"/>
          <w:color w:val="auto"/>
          <w:kern w:val="0"/>
          <w:sz w:val="32"/>
          <w:szCs w:val="32"/>
          <w:highlight w:val="none"/>
          <w:lang w:val="en-US" w:eastAsia="zh-CN" w:bidi="ar-SA"/>
        </w:rPr>
        <w:t>四、审计发现问题的整改情况</w:t>
      </w:r>
    </w:p>
    <w:p w14:paraId="7B1FEC67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zh-CN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zh-CN" w:eastAsia="zh-CN" w:bidi="ar-SA"/>
        </w:rPr>
        <w:t>对审计发现的问题，被审计单位的领导干部高度重视，已召开专题会议，研究部署审计发现问题的整改，制定立行立改措施落实审计整改工作，对责任人员通报批评。</w:t>
      </w:r>
    </w:p>
    <w:p w14:paraId="47B0D446">
      <w:pPr>
        <w:pStyle w:val="2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lang w:val="zh-CN" w:eastAsia="zh-CN" w:bidi="ar-SA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魏碑_GBK">
    <w:panose1 w:val="02000000000000000000"/>
    <w:charset w:val="86"/>
    <w:family w:val="auto"/>
    <w:pitch w:val="default"/>
    <w:sig w:usb0="A00002BF" w:usb1="39CF7CFA" w:usb2="00082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B6A2A88"/>
    <w:rsid w:val="286A598B"/>
    <w:rsid w:val="2B6A2A88"/>
    <w:rsid w:val="42CD1378"/>
    <w:rsid w:val="532949C4"/>
    <w:rsid w:val="5CA51C64"/>
    <w:rsid w:val="6B330726"/>
    <w:rsid w:val="7DFD47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note text"/>
    <w:basedOn w:val="1"/>
    <w:next w:val="3"/>
    <w:qFormat/>
    <w:uiPriority w:val="0"/>
    <w:pPr>
      <w:snapToGrid w:val="0"/>
      <w:jc w:val="left"/>
    </w:pPr>
    <w:rPr>
      <w:sz w:val="18"/>
      <w:szCs w:val="18"/>
    </w:rPr>
  </w:style>
  <w:style w:type="paragraph" w:styleId="3">
    <w:name w:val="Body Text First Indent 2"/>
    <w:basedOn w:val="4"/>
    <w:next w:val="1"/>
    <w:qFormat/>
    <w:uiPriority w:val="0"/>
    <w:pPr>
      <w:ind w:firstLine="420" w:firstLineChars="200"/>
    </w:pPr>
  </w:style>
  <w:style w:type="paragraph" w:styleId="4">
    <w:name w:val="Body Text Indent"/>
    <w:basedOn w:val="1"/>
    <w:next w:val="3"/>
    <w:qFormat/>
    <w:uiPriority w:val="0"/>
    <w:pPr>
      <w:ind w:firstLine="540"/>
    </w:pPr>
    <w:rPr>
      <w:sz w:val="30"/>
    </w:rPr>
  </w:style>
  <w:style w:type="paragraph" w:styleId="5">
    <w:name w:val="Body Text"/>
    <w:basedOn w:val="1"/>
    <w:qFormat/>
    <w:uiPriority w:val="0"/>
    <w:pPr>
      <w:keepNext w:val="0"/>
      <w:keepLines w:val="0"/>
      <w:pageBreakBefore w:val="0"/>
      <w:widowControl w:val="0"/>
      <w:suppressLineNumbers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hd w:val="clear" w:color="auto" w:fill="auto"/>
      <w:suppressAutoHyphens w:val="0"/>
      <w:kinsoku/>
      <w:wordWrap/>
      <w:overflowPunct/>
      <w:topLinePunct w:val="0"/>
      <w:autoSpaceDE/>
      <w:autoSpaceDN/>
      <w:bidi w:val="0"/>
      <w:adjustRightInd/>
      <w:snapToGrid w:val="0"/>
      <w:spacing w:before="0" w:beforeAutospacing="0" w:after="0" w:afterAutospacing="0" w:line="579" w:lineRule="exact"/>
      <w:ind w:left="0" w:right="0" w:firstLine="0"/>
      <w:contextualSpacing w:val="0"/>
      <w:jc w:val="both"/>
      <w:textAlignment w:val="auto"/>
      <w:outlineLvl w:val="9"/>
    </w:pPr>
    <w:rPr>
      <w:rFonts w:ascii="Calibri" w:hAnsi="Calibri" w:eastAsia="仿宋_GB2312"/>
      <w:snapToGrid/>
      <w:color w:val="auto"/>
      <w:spacing w:val="0"/>
      <w:w w:val="100"/>
      <w:kern w:val="2"/>
      <w:position w:val="0"/>
      <w:sz w:val="32"/>
      <w:szCs w:val="32"/>
      <w:u w:val="none" w:color="auto"/>
      <w:shd w:val="clear" w:color="auto" w:fill="auto"/>
      <w:vertAlign w:val="baseline"/>
      <w:lang w:val="en-US" w:eastAsia="zh-CN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1364</Words>
  <Characters>1414</Characters>
  <Lines>0</Lines>
  <Paragraphs>0</Paragraphs>
  <TotalTime>2</TotalTime>
  <ScaleCrop>false</ScaleCrop>
  <LinksUpToDate>false</LinksUpToDate>
  <CharactersWithSpaces>1414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2025-12-29T02:31:00Z</dcterms:created>
  <dc:creator>茉奈不可爱</dc:creator>
  <cp:lastModifiedBy>微信用户</cp:lastModifiedBy>
  <cp:lastPrinted>2025-12-29T09:01:00Z</cp:lastPrinted>
  <dcterms:modified xsi:type="dcterms:W3CDTF">2025-12-30T01:05:12Z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D086A28D86C943538CF99D60389E277D_13</vt:lpwstr>
  </property>
  <property fmtid="{D5CDD505-2E9C-101B-9397-08002B2CF9AE}" pid="4" name="KSOTemplateDocerSaveRecord">
    <vt:lpwstr>eyJoZGlkIjoiYTE1OGJhM2ExZGUzZmI1Y2VmZTkzNzZlMGZmZjU0ODAiLCJ1c2VySWQiOiIxMzE0MDg2NDE5In0=</vt:lpwstr>
  </property>
</Properties>
</file>