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48A9E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方正小标宋简体" w:hAnsi="方正小标宋简体" w:eastAsia="方正小标宋简体" w:cs="方正小标宋简体"/>
          <w:b w:val="0"/>
          <w:bCs w:val="0"/>
          <w:sz w:val="96"/>
          <w:szCs w:val="96"/>
          <w:lang w:val="en-US" w:eastAsia="zh-CN"/>
        </w:rPr>
      </w:pPr>
    </w:p>
    <w:p w14:paraId="778874F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方正小标宋简体" w:hAnsi="方正小标宋简体" w:eastAsia="方正小标宋简体" w:cs="方正小标宋简体"/>
          <w:b w:val="0"/>
          <w:bCs w:val="0"/>
          <w:sz w:val="84"/>
          <w:szCs w:val="84"/>
          <w:lang w:val="en-US" w:eastAsia="zh-CN"/>
        </w:rPr>
      </w:pPr>
      <w:r>
        <w:rPr>
          <w:rFonts w:hint="eastAsia" w:ascii="方正小标宋简体" w:hAnsi="方正小标宋简体" w:eastAsia="方正小标宋简体" w:cs="方正小标宋简体"/>
          <w:b w:val="0"/>
          <w:bCs w:val="0"/>
          <w:sz w:val="84"/>
          <w:szCs w:val="84"/>
          <w:lang w:val="en-US" w:eastAsia="zh-CN"/>
        </w:rPr>
        <w:t>行政执法事项</w:t>
      </w:r>
    </w:p>
    <w:p w14:paraId="271C819D">
      <w:pPr>
        <w:keepNext w:val="0"/>
        <w:keepLines w:val="0"/>
        <w:pageBreakBefore w:val="0"/>
        <w:widowControl w:val="0"/>
        <w:kinsoku/>
        <w:wordWrap/>
        <w:overflowPunct/>
        <w:topLinePunct w:val="0"/>
        <w:autoSpaceDE/>
        <w:autoSpaceDN/>
        <w:bidi w:val="0"/>
        <w:adjustRightInd/>
        <w:snapToGrid/>
        <w:spacing w:line="240" w:lineRule="auto"/>
        <w:ind w:firstLine="4400" w:firstLineChars="1000"/>
        <w:jc w:val="both"/>
        <w:textAlignment w:val="auto"/>
        <w:rPr>
          <w:rFonts w:hint="eastAsia" w:ascii="黑体" w:hAnsi="黑体" w:eastAsia="黑体" w:cs="黑体"/>
          <w:b w:val="0"/>
          <w:bCs w:val="0"/>
          <w:sz w:val="44"/>
          <w:szCs w:val="44"/>
          <w:lang w:eastAsia="zh-CN"/>
        </w:rPr>
      </w:pPr>
    </w:p>
    <w:p w14:paraId="253A6A72">
      <w:pPr>
        <w:keepNext w:val="0"/>
        <w:keepLines w:val="0"/>
        <w:pageBreakBefore w:val="0"/>
        <w:widowControl w:val="0"/>
        <w:kinsoku/>
        <w:wordWrap/>
        <w:overflowPunct/>
        <w:topLinePunct w:val="0"/>
        <w:autoSpaceDE/>
        <w:autoSpaceDN/>
        <w:bidi w:val="0"/>
        <w:adjustRightInd/>
        <w:snapToGrid/>
        <w:spacing w:line="240" w:lineRule="auto"/>
        <w:ind w:firstLine="5060" w:firstLineChars="1400"/>
        <w:jc w:val="both"/>
        <w:textAlignment w:val="auto"/>
        <w:rPr>
          <w:rFonts w:hint="default" w:asciiTheme="majorEastAsia" w:hAnsiTheme="majorEastAsia" w:eastAsiaTheme="majorEastAsia" w:cstheme="majorEastAsia"/>
          <w:b/>
          <w:bCs/>
          <w:sz w:val="36"/>
          <w:szCs w:val="36"/>
          <w:u w:val="single"/>
          <w:lang w:val="en-US" w:eastAsia="zh-CN"/>
        </w:rPr>
      </w:pPr>
      <w:r>
        <w:rPr>
          <w:rFonts w:hint="eastAsia" w:asciiTheme="majorEastAsia" w:hAnsiTheme="majorEastAsia" w:eastAsiaTheme="majorEastAsia" w:cstheme="majorEastAsia"/>
          <w:b/>
          <w:bCs/>
          <w:sz w:val="36"/>
          <w:szCs w:val="36"/>
          <w:lang w:eastAsia="zh-CN"/>
        </w:rPr>
        <w:t>单</w:t>
      </w:r>
      <w:r>
        <w:rPr>
          <w:rFonts w:hint="eastAsia" w:asciiTheme="majorEastAsia" w:hAnsiTheme="majorEastAsia" w:eastAsiaTheme="majorEastAsia" w:cstheme="majorEastAsia"/>
          <w:b/>
          <w:bCs/>
          <w:sz w:val="36"/>
          <w:szCs w:val="36"/>
          <w:lang w:val="en-US" w:eastAsia="zh-CN"/>
        </w:rPr>
        <w:t xml:space="preserve">  </w:t>
      </w:r>
      <w:r>
        <w:rPr>
          <w:rFonts w:hint="eastAsia" w:asciiTheme="majorEastAsia" w:hAnsiTheme="majorEastAsia" w:eastAsiaTheme="majorEastAsia" w:cstheme="majorEastAsia"/>
          <w:b/>
          <w:bCs/>
          <w:sz w:val="36"/>
          <w:szCs w:val="36"/>
          <w:lang w:eastAsia="zh-CN"/>
        </w:rPr>
        <w:t>位：</w:t>
      </w:r>
      <w:r>
        <w:rPr>
          <w:rFonts w:hint="eastAsia" w:asciiTheme="majorEastAsia" w:hAnsiTheme="majorEastAsia" w:eastAsiaTheme="majorEastAsia" w:cstheme="majorEastAsia"/>
          <w:b/>
          <w:bCs/>
          <w:sz w:val="36"/>
          <w:szCs w:val="36"/>
          <w:u w:val="single"/>
          <w:lang w:val="en-US" w:eastAsia="zh-CN"/>
        </w:rPr>
        <w:t xml:space="preserve">   藁城区司法局   </w:t>
      </w:r>
    </w:p>
    <w:p w14:paraId="0E9D20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heme="majorEastAsia" w:hAnsiTheme="majorEastAsia" w:eastAsiaTheme="majorEastAsia" w:cstheme="majorEastAsia"/>
          <w:b/>
          <w:bCs/>
          <w:sz w:val="36"/>
          <w:szCs w:val="36"/>
          <w:u w:val="single"/>
          <w:lang w:val="en-US" w:eastAsia="zh-CN"/>
        </w:rPr>
      </w:pPr>
      <w:r>
        <w:rPr>
          <w:rFonts w:hint="eastAsia" w:asciiTheme="majorEastAsia" w:hAnsiTheme="majorEastAsia" w:eastAsiaTheme="majorEastAsia" w:cstheme="majorEastAsia"/>
          <w:b/>
          <w:bCs/>
          <w:sz w:val="36"/>
          <w:szCs w:val="36"/>
          <w:u w:val="none"/>
          <w:lang w:val="en-US" w:eastAsia="zh-CN"/>
        </w:rPr>
        <w:t>时  间：</w:t>
      </w:r>
      <w:r>
        <w:rPr>
          <w:rFonts w:hint="eastAsia" w:asciiTheme="majorEastAsia" w:hAnsiTheme="majorEastAsia" w:eastAsiaTheme="majorEastAsia" w:cstheme="majorEastAsia"/>
          <w:b/>
          <w:bCs/>
          <w:sz w:val="36"/>
          <w:szCs w:val="36"/>
          <w:u w:val="single"/>
          <w:lang w:val="en-US" w:eastAsia="zh-CN"/>
        </w:rPr>
        <w:t xml:space="preserve"> 2025年12月29日 </w:t>
      </w:r>
    </w:p>
    <w:p w14:paraId="19916245">
      <w:pPr>
        <w:keepNext w:val="0"/>
        <w:keepLines w:val="0"/>
        <w:pageBreakBefore w:val="0"/>
        <w:widowControl w:val="0"/>
        <w:kinsoku/>
        <w:wordWrap/>
        <w:overflowPunct/>
        <w:topLinePunct w:val="0"/>
        <w:autoSpaceDE/>
        <w:autoSpaceDN/>
        <w:bidi w:val="0"/>
        <w:adjustRightInd/>
        <w:snapToGrid/>
        <w:spacing w:line="240" w:lineRule="auto"/>
        <w:ind w:firstLine="4417" w:firstLineChars="1000"/>
        <w:jc w:val="both"/>
        <w:textAlignment w:val="auto"/>
        <w:rPr>
          <w:rFonts w:hint="eastAsia" w:ascii="仿宋_GB2312" w:hAnsi="仿宋_GB2312" w:eastAsia="仿宋_GB2312" w:cs="仿宋_GB2312"/>
          <w:b/>
          <w:bCs/>
          <w:sz w:val="44"/>
          <w:szCs w:val="44"/>
          <w:u w:val="single"/>
          <w:lang w:val="en-US" w:eastAsia="zh-CN"/>
        </w:rPr>
        <w:sectPr>
          <w:pgSz w:w="16838" w:h="11906" w:orient="landscape"/>
          <w:pgMar w:top="1440" w:right="1080" w:bottom="1440" w:left="1080" w:header="851" w:footer="992" w:gutter="0"/>
          <w:cols w:space="720" w:num="1"/>
          <w:docGrid w:type="lines" w:linePitch="312" w:charSpace="0"/>
        </w:sectPr>
      </w:pPr>
    </w:p>
    <w:p w14:paraId="49A2B0EE">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方正小标宋简体" w:hAnsi="方正小标宋简体" w:eastAsia="方正小标宋简体" w:cs="Arial"/>
          <w:b/>
          <w:bCs/>
          <w:sz w:val="36"/>
          <w:lang w:val="en-US" w:eastAsia="zh-CN"/>
        </w:rPr>
      </w:pPr>
      <w:r>
        <w:rPr>
          <w:rFonts w:hint="eastAsia" w:ascii="方正小标宋简体" w:hAnsi="方正小标宋简体" w:eastAsia="方正小标宋简体" w:cs="Arial"/>
          <w:b/>
          <w:bCs/>
          <w:sz w:val="36"/>
          <w:lang w:val="en-US" w:eastAsia="zh-CN"/>
        </w:rPr>
        <w:t>藁城区司法局行政执法事项总表</w:t>
      </w:r>
    </w:p>
    <w:p w14:paraId="4906A988">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（共</w:t>
      </w:r>
      <w:r>
        <w:rPr>
          <w:rFonts w:hint="eastAsia" w:ascii="楷体_GB2312" w:hAnsi="楷体_GB2312" w:eastAsia="楷体_GB2312"/>
          <w:color w:val="auto"/>
          <w:lang w:val="en-US" w:eastAsia="zh-CN"/>
        </w:rPr>
        <w:t>2</w:t>
      </w:r>
      <w:r>
        <w:rPr>
          <w:rFonts w:hint="eastAsia" w:ascii="楷体_GB2312" w:hAnsi="楷体_GB2312" w:eastAsia="楷体_GB2312"/>
          <w:lang w:val="en-US" w:eastAsia="zh-CN"/>
        </w:rPr>
        <w:t>类、10项）</w:t>
      </w:r>
    </w:p>
    <w:p w14:paraId="753E6370">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w:t>
      </w:r>
      <w:r>
        <w:rPr>
          <w:rFonts w:hint="eastAsia" w:ascii="楷体_GB2312" w:hAnsi="楷体_GB2312" w:eastAsia="楷体_GB2312" w:cs="Arial"/>
          <w:sz w:val="28"/>
          <w:lang w:val="en-US" w:eastAsia="zh-CN"/>
        </w:rPr>
        <w:t>藁城区司法局（公章）</w:t>
      </w:r>
    </w:p>
    <w:tbl>
      <w:tblPr>
        <w:tblStyle w:val="2"/>
        <w:tblW w:w="137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3200"/>
        <w:gridCol w:w="6563"/>
        <w:gridCol w:w="2651"/>
      </w:tblGrid>
      <w:tr w14:paraId="7E96C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46C9B929">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总序号</w:t>
            </w:r>
          </w:p>
        </w:tc>
        <w:tc>
          <w:tcPr>
            <w:tcW w:w="3200" w:type="dxa"/>
            <w:noWrap w:val="0"/>
            <w:vAlign w:val="center"/>
          </w:tcPr>
          <w:p w14:paraId="6A86119F">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类别及序号</w:t>
            </w:r>
          </w:p>
        </w:tc>
        <w:tc>
          <w:tcPr>
            <w:tcW w:w="6563" w:type="dxa"/>
            <w:noWrap w:val="0"/>
            <w:vAlign w:val="center"/>
          </w:tcPr>
          <w:p w14:paraId="6EBCEF6F">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项目名称及数量</w:t>
            </w:r>
          </w:p>
        </w:tc>
        <w:tc>
          <w:tcPr>
            <w:tcW w:w="2651" w:type="dxa"/>
            <w:noWrap w:val="0"/>
            <w:vAlign w:val="center"/>
          </w:tcPr>
          <w:p w14:paraId="3859767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黑体" w:hAnsi="黑体" w:eastAsia="黑体"/>
                <w:sz w:val="32"/>
                <w:vertAlign w:val="baseline"/>
                <w:lang w:val="en-US" w:eastAsia="zh-CN"/>
              </w:rPr>
            </w:pPr>
            <w:r>
              <w:rPr>
                <w:rFonts w:hint="eastAsia" w:ascii="黑体" w:hAnsi="黑体" w:eastAsia="黑体"/>
                <w:sz w:val="32"/>
                <w:vertAlign w:val="baseline"/>
                <w:lang w:val="en-US" w:eastAsia="zh-CN"/>
              </w:rPr>
              <w:t>备注</w:t>
            </w:r>
          </w:p>
        </w:tc>
      </w:tr>
      <w:tr w14:paraId="459F4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0480CF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14:paraId="48A17AD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一、行政检查</w:t>
            </w:r>
          </w:p>
        </w:tc>
        <w:tc>
          <w:tcPr>
            <w:tcW w:w="6563" w:type="dxa"/>
            <w:noWrap w:val="0"/>
            <w:vAlign w:val="center"/>
          </w:tcPr>
          <w:p w14:paraId="7FBB006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共4项</w:t>
            </w:r>
          </w:p>
        </w:tc>
        <w:tc>
          <w:tcPr>
            <w:tcW w:w="2651" w:type="dxa"/>
            <w:noWrap w:val="0"/>
            <w:vAlign w:val="center"/>
          </w:tcPr>
          <w:p w14:paraId="02867F0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B09B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3E079DE9">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w:t>
            </w:r>
          </w:p>
        </w:tc>
        <w:tc>
          <w:tcPr>
            <w:tcW w:w="3200" w:type="dxa"/>
            <w:noWrap w:val="0"/>
            <w:vAlign w:val="center"/>
          </w:tcPr>
          <w:p w14:paraId="4D3075D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1</w:t>
            </w:r>
          </w:p>
        </w:tc>
        <w:tc>
          <w:tcPr>
            <w:tcW w:w="6563" w:type="dxa"/>
            <w:noWrap w:val="0"/>
            <w:vAlign w:val="center"/>
          </w:tcPr>
          <w:p w14:paraId="21CD4C3C">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对律师事务所及其律师的行政检查</w:t>
            </w:r>
          </w:p>
        </w:tc>
        <w:tc>
          <w:tcPr>
            <w:tcW w:w="2651" w:type="dxa"/>
            <w:noWrap w:val="0"/>
            <w:vAlign w:val="center"/>
          </w:tcPr>
          <w:p w14:paraId="15AE39E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761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69243843">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w:t>
            </w:r>
          </w:p>
        </w:tc>
        <w:tc>
          <w:tcPr>
            <w:tcW w:w="3200" w:type="dxa"/>
            <w:noWrap w:val="0"/>
            <w:vAlign w:val="center"/>
          </w:tcPr>
          <w:p w14:paraId="7D4357D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2</w:t>
            </w:r>
          </w:p>
        </w:tc>
        <w:tc>
          <w:tcPr>
            <w:tcW w:w="6563" w:type="dxa"/>
            <w:noWrap w:val="0"/>
            <w:vAlign w:val="center"/>
          </w:tcPr>
          <w:p w14:paraId="051E8F6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对公证机构及其公证员的行政检查</w:t>
            </w:r>
          </w:p>
        </w:tc>
        <w:tc>
          <w:tcPr>
            <w:tcW w:w="2651" w:type="dxa"/>
            <w:noWrap w:val="0"/>
            <w:vAlign w:val="center"/>
          </w:tcPr>
          <w:p w14:paraId="351C958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2189A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6444B61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3</w:t>
            </w:r>
          </w:p>
        </w:tc>
        <w:tc>
          <w:tcPr>
            <w:tcW w:w="3200" w:type="dxa"/>
            <w:noWrap w:val="0"/>
            <w:vAlign w:val="center"/>
          </w:tcPr>
          <w:p w14:paraId="439CF9F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3</w:t>
            </w:r>
          </w:p>
        </w:tc>
        <w:tc>
          <w:tcPr>
            <w:tcW w:w="6563" w:type="dxa"/>
            <w:noWrap w:val="0"/>
            <w:vAlign w:val="center"/>
          </w:tcPr>
          <w:p w14:paraId="39DC9E3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司法鉴定机构及其鉴定人的监督检查</w:t>
            </w:r>
          </w:p>
        </w:tc>
        <w:tc>
          <w:tcPr>
            <w:tcW w:w="2651" w:type="dxa"/>
            <w:noWrap w:val="0"/>
            <w:vAlign w:val="center"/>
          </w:tcPr>
          <w:p w14:paraId="1FFF4BE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3DA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BB2257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4</w:t>
            </w:r>
          </w:p>
        </w:tc>
        <w:tc>
          <w:tcPr>
            <w:tcW w:w="3200" w:type="dxa"/>
            <w:noWrap w:val="0"/>
            <w:vAlign w:val="center"/>
          </w:tcPr>
          <w:p w14:paraId="455DE60B">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4</w:t>
            </w:r>
          </w:p>
        </w:tc>
        <w:tc>
          <w:tcPr>
            <w:tcW w:w="6563" w:type="dxa"/>
            <w:noWrap w:val="0"/>
            <w:vAlign w:val="center"/>
          </w:tcPr>
          <w:p w14:paraId="1DCD1C8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司法鉴定执业活动投诉处理工作监督指导</w:t>
            </w:r>
          </w:p>
        </w:tc>
        <w:tc>
          <w:tcPr>
            <w:tcW w:w="2651" w:type="dxa"/>
            <w:noWrap w:val="0"/>
            <w:vAlign w:val="center"/>
          </w:tcPr>
          <w:p w14:paraId="553C228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E710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70D80B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shd w:val="clear" w:color="auto" w:fill="auto"/>
            <w:noWrap w:val="0"/>
            <w:vAlign w:val="center"/>
          </w:tcPr>
          <w:p w14:paraId="367C7A4C">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kern w:val="2"/>
                <w:sz w:val="21"/>
                <w:szCs w:val="24"/>
                <w:vertAlign w:val="baseline"/>
                <w:lang w:val="en-US" w:eastAsia="zh-CN" w:bidi="ar-SA"/>
              </w:rPr>
            </w:pPr>
            <w:r>
              <w:rPr>
                <w:rFonts w:hint="eastAsia" w:ascii="宋体" w:hAnsi="宋体" w:eastAsia="宋体" w:cs="宋体"/>
                <w:vertAlign w:val="baseline"/>
                <w:lang w:val="en-US" w:eastAsia="zh-CN"/>
              </w:rPr>
              <w:t>二、行政处罚</w:t>
            </w:r>
          </w:p>
        </w:tc>
        <w:tc>
          <w:tcPr>
            <w:tcW w:w="6563" w:type="dxa"/>
            <w:shd w:val="clear" w:color="auto" w:fill="auto"/>
            <w:noWrap w:val="0"/>
            <w:vAlign w:val="center"/>
          </w:tcPr>
          <w:p w14:paraId="5A7F971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kern w:val="2"/>
                <w:sz w:val="21"/>
                <w:szCs w:val="24"/>
                <w:vertAlign w:val="baseline"/>
                <w:lang w:val="en-US" w:eastAsia="zh-CN" w:bidi="ar-SA"/>
              </w:rPr>
            </w:pPr>
            <w:r>
              <w:rPr>
                <w:rFonts w:hint="eastAsia" w:ascii="宋体" w:hAnsi="宋体" w:eastAsia="宋体" w:cs="宋体"/>
                <w:vertAlign w:val="baseline"/>
                <w:lang w:val="en-US" w:eastAsia="zh-CN"/>
              </w:rPr>
              <w:t>共6项</w:t>
            </w:r>
          </w:p>
        </w:tc>
        <w:tc>
          <w:tcPr>
            <w:tcW w:w="2651" w:type="dxa"/>
            <w:noWrap w:val="0"/>
            <w:vAlign w:val="center"/>
          </w:tcPr>
          <w:p w14:paraId="66FFCF5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40886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52" w:type="dxa"/>
            <w:shd w:val="clear" w:color="auto" w:fill="auto"/>
            <w:noWrap w:val="0"/>
            <w:vAlign w:val="center"/>
          </w:tcPr>
          <w:p w14:paraId="564F6F9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5</w:t>
            </w:r>
          </w:p>
        </w:tc>
        <w:tc>
          <w:tcPr>
            <w:tcW w:w="3200" w:type="dxa"/>
            <w:noWrap w:val="0"/>
            <w:vAlign w:val="center"/>
          </w:tcPr>
          <w:p w14:paraId="398F500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1</w:t>
            </w:r>
          </w:p>
        </w:tc>
        <w:tc>
          <w:tcPr>
            <w:tcW w:w="6563" w:type="dxa"/>
            <w:noWrap w:val="0"/>
            <w:vAlign w:val="center"/>
          </w:tcPr>
          <w:p w14:paraId="135C4E7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240" w:lineRule="auto"/>
              <w:ind w:right="0" w:rightChars="0"/>
              <w:jc w:val="left"/>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对基层法律服务工作者超越业务范围和诉讼代理执业区域执业等行为的行政处罚</w:t>
            </w:r>
          </w:p>
        </w:tc>
        <w:tc>
          <w:tcPr>
            <w:tcW w:w="2651" w:type="dxa"/>
            <w:noWrap w:val="0"/>
            <w:vAlign w:val="center"/>
          </w:tcPr>
          <w:p w14:paraId="0F3D0521">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307A0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632123A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6</w:t>
            </w:r>
          </w:p>
        </w:tc>
        <w:tc>
          <w:tcPr>
            <w:tcW w:w="3200" w:type="dxa"/>
            <w:noWrap w:val="0"/>
            <w:vAlign w:val="center"/>
          </w:tcPr>
          <w:p w14:paraId="586B81F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2</w:t>
            </w:r>
          </w:p>
        </w:tc>
        <w:tc>
          <w:tcPr>
            <w:tcW w:w="6563" w:type="dxa"/>
            <w:noWrap w:val="0"/>
            <w:vAlign w:val="center"/>
          </w:tcPr>
          <w:p w14:paraId="5CE7447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240" w:lineRule="auto"/>
              <w:ind w:right="0" w:rightChars="0"/>
              <w:jc w:val="left"/>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对基层法律服务所超越业务范围和诉讼代理执业区域行为的行政处罚</w:t>
            </w:r>
          </w:p>
        </w:tc>
        <w:tc>
          <w:tcPr>
            <w:tcW w:w="2651" w:type="dxa"/>
            <w:noWrap w:val="0"/>
            <w:vAlign w:val="center"/>
          </w:tcPr>
          <w:p w14:paraId="4A672AD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72A96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0A315F1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7</w:t>
            </w:r>
          </w:p>
        </w:tc>
        <w:tc>
          <w:tcPr>
            <w:tcW w:w="3200" w:type="dxa"/>
            <w:noWrap w:val="0"/>
            <w:vAlign w:val="center"/>
          </w:tcPr>
          <w:p w14:paraId="7F6B9150">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3</w:t>
            </w:r>
          </w:p>
        </w:tc>
        <w:tc>
          <w:tcPr>
            <w:tcW w:w="6563" w:type="dxa"/>
            <w:noWrap w:val="0"/>
            <w:vAlign w:val="center"/>
          </w:tcPr>
          <w:p w14:paraId="7A7B4CC0">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2"/>
                <w:sz w:val="21"/>
                <w:szCs w:val="21"/>
                <w:u w:val="none"/>
                <w:lang w:val="en-US" w:eastAsia="zh-CN" w:bidi="ar-SA"/>
              </w:rPr>
              <w:t>对基层法律服务所无正当理由拒绝履行法律援助义务或者怠于履行法律援助义务等行为的行政处罚</w:t>
            </w:r>
          </w:p>
        </w:tc>
        <w:tc>
          <w:tcPr>
            <w:tcW w:w="2651" w:type="dxa"/>
            <w:noWrap w:val="0"/>
            <w:vAlign w:val="center"/>
          </w:tcPr>
          <w:p w14:paraId="11E67259">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68B41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76C244D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8</w:t>
            </w:r>
          </w:p>
        </w:tc>
        <w:tc>
          <w:tcPr>
            <w:tcW w:w="3200" w:type="dxa"/>
            <w:noWrap w:val="0"/>
            <w:vAlign w:val="center"/>
          </w:tcPr>
          <w:p w14:paraId="0851117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4</w:t>
            </w:r>
          </w:p>
        </w:tc>
        <w:tc>
          <w:tcPr>
            <w:tcW w:w="6563" w:type="dxa"/>
            <w:noWrap w:val="0"/>
            <w:vAlign w:val="center"/>
          </w:tcPr>
          <w:p w14:paraId="56E50573">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2"/>
                <w:sz w:val="21"/>
                <w:szCs w:val="21"/>
                <w:u w:val="none"/>
                <w:lang w:val="en-US" w:eastAsia="zh-CN" w:bidi="ar-SA"/>
              </w:rPr>
              <w:t>对基层法律服务工作者无正当理由拒绝履行法律援助义务或者怠于履行法律援助义务等行为的行政处罚</w:t>
            </w:r>
          </w:p>
        </w:tc>
        <w:tc>
          <w:tcPr>
            <w:tcW w:w="2651" w:type="dxa"/>
            <w:noWrap w:val="0"/>
            <w:vAlign w:val="center"/>
          </w:tcPr>
          <w:p w14:paraId="41607731">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6F10A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34A001F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9</w:t>
            </w:r>
          </w:p>
        </w:tc>
        <w:tc>
          <w:tcPr>
            <w:tcW w:w="3200" w:type="dxa"/>
            <w:noWrap w:val="0"/>
            <w:vAlign w:val="center"/>
          </w:tcPr>
          <w:p w14:paraId="3ACE444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5</w:t>
            </w:r>
          </w:p>
        </w:tc>
        <w:tc>
          <w:tcPr>
            <w:tcW w:w="6563" w:type="dxa"/>
            <w:noWrap w:val="0"/>
            <w:vAlign w:val="center"/>
          </w:tcPr>
          <w:p w14:paraId="751EBAF7">
            <w:pPr>
              <w:keepNext w:val="0"/>
              <w:keepLines w:val="0"/>
              <w:widowControl/>
              <w:suppressLineNumbers w:val="0"/>
              <w:jc w:val="left"/>
              <w:textAlignment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对基层法律服务工作者冒用法律援助名义提供法律服务并谋取利益行为的行政处罚</w:t>
            </w:r>
          </w:p>
        </w:tc>
        <w:tc>
          <w:tcPr>
            <w:tcW w:w="2651" w:type="dxa"/>
            <w:noWrap w:val="0"/>
            <w:vAlign w:val="center"/>
          </w:tcPr>
          <w:p w14:paraId="356639A0">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34867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0D76C92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10</w:t>
            </w:r>
          </w:p>
        </w:tc>
        <w:tc>
          <w:tcPr>
            <w:tcW w:w="3200" w:type="dxa"/>
            <w:noWrap w:val="0"/>
            <w:vAlign w:val="center"/>
          </w:tcPr>
          <w:p w14:paraId="6BBC44B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6</w:t>
            </w:r>
          </w:p>
        </w:tc>
        <w:tc>
          <w:tcPr>
            <w:tcW w:w="6563" w:type="dxa"/>
            <w:noWrap w:val="0"/>
            <w:vAlign w:val="center"/>
          </w:tcPr>
          <w:p w14:paraId="412044CF">
            <w:pPr>
              <w:keepNext w:val="0"/>
              <w:keepLines w:val="0"/>
              <w:widowControl/>
              <w:suppressLineNumbers w:val="0"/>
              <w:jc w:val="left"/>
              <w:textAlignment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对司法鉴定机构超出其职责范围从事司法鉴定，从事与其技术能力不相称的司法鉴定的行政处罚</w:t>
            </w:r>
          </w:p>
        </w:tc>
        <w:tc>
          <w:tcPr>
            <w:tcW w:w="2651" w:type="dxa"/>
            <w:noWrap w:val="0"/>
            <w:vAlign w:val="center"/>
          </w:tcPr>
          <w:p w14:paraId="79A900B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bl>
    <w:p w14:paraId="2ECD15EF">
      <w:pPr>
        <w:sectPr>
          <w:pgSz w:w="16838" w:h="11906" w:orient="landscape"/>
          <w:pgMar w:top="1800" w:right="1440" w:bottom="1800" w:left="1440" w:header="851" w:footer="992" w:gutter="0"/>
          <w:cols w:space="425" w:num="1"/>
          <w:docGrid w:type="lines" w:linePitch="312" w:charSpace="0"/>
        </w:sectPr>
      </w:pPr>
    </w:p>
    <w:tbl>
      <w:tblPr>
        <w:tblStyle w:val="2"/>
        <w:tblW w:w="141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2318"/>
        <w:gridCol w:w="4702"/>
        <w:gridCol w:w="1845"/>
        <w:gridCol w:w="1758"/>
        <w:gridCol w:w="1664"/>
        <w:gridCol w:w="1191"/>
      </w:tblGrid>
      <w:tr w14:paraId="160F2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14174" w:type="dxa"/>
            <w:gridSpan w:val="7"/>
            <w:tcBorders>
              <w:top w:val="nil"/>
              <w:left w:val="nil"/>
              <w:bottom w:val="nil"/>
              <w:right w:val="nil"/>
            </w:tcBorders>
            <w:shd w:val="clear" w:color="auto" w:fill="auto"/>
            <w:noWrap/>
            <w:vAlign w:val="center"/>
          </w:tcPr>
          <w:p w14:paraId="7F5EBC63">
            <w:pPr>
              <w:keepNext w:val="0"/>
              <w:keepLines w:val="0"/>
              <w:widowControl/>
              <w:suppressLineNumbers w:val="0"/>
              <w:snapToGrid w:val="0"/>
              <w:ind w:left="0" w:leftChars="0" w:right="0" w:rightChars="0" w:firstLine="0" w:firstLineChars="0"/>
              <w:jc w:val="center"/>
              <w:textAlignment w:val="center"/>
              <w:rPr>
                <w:rFonts w:ascii="方正小标宋简体" w:hAnsi="方正小标宋简体" w:eastAsia="方正小标宋简体" w:cs="方正小标宋简体"/>
                <w:b/>
                <w:bCs/>
                <w:i w:val="0"/>
                <w:iCs w:val="0"/>
                <w:color w:val="000000"/>
                <w:sz w:val="40"/>
                <w:szCs w:val="40"/>
                <w:u w:val="none"/>
              </w:rPr>
            </w:pPr>
            <w:r>
              <w:rPr>
                <w:rFonts w:hint="default" w:ascii="方正小标宋简体" w:hAnsi="方正小标宋简体" w:eastAsia="方正小标宋简体" w:cs="方正小标宋简体"/>
                <w:b/>
                <w:bCs/>
                <w:i w:val="0"/>
                <w:iCs w:val="0"/>
                <w:color w:val="000000"/>
                <w:kern w:val="0"/>
                <w:sz w:val="40"/>
                <w:szCs w:val="40"/>
                <w:u w:val="none"/>
                <w:lang w:val="en-US" w:eastAsia="zh-CN" w:bidi="ar"/>
              </w:rPr>
              <w:t>藁城区司法局行政检查事项清单</w:t>
            </w:r>
          </w:p>
        </w:tc>
      </w:tr>
      <w:tr w14:paraId="23797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2934A">
            <w:pPr>
              <w:keepNext w:val="0"/>
              <w:keepLines w:val="0"/>
              <w:widowControl/>
              <w:suppressLineNumbers w:val="0"/>
              <w:snapToGrid w:val="0"/>
              <w:ind w:left="0" w:leftChars="0" w:right="0" w:rightChars="0" w:firstLine="0" w:firstLineChars="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231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5ADC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470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B5DF0">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实施依据</w:t>
            </w:r>
          </w:p>
        </w:tc>
        <w:tc>
          <w:tcPr>
            <w:tcW w:w="526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BCF17">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6C23E">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事项备注</w:t>
            </w:r>
          </w:p>
        </w:tc>
      </w:tr>
      <w:tr w14:paraId="6135E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98D78">
            <w:pPr>
              <w:snapToGrid w:val="0"/>
              <w:ind w:left="0" w:leftChars="0" w:right="0" w:rightChars="0" w:firstLine="0" w:firstLineChars="0"/>
              <w:jc w:val="center"/>
              <w:rPr>
                <w:rFonts w:hint="eastAsia" w:ascii="黑体" w:hAnsi="宋体" w:eastAsia="黑体" w:cs="黑体"/>
                <w:i w:val="0"/>
                <w:iCs w:val="0"/>
                <w:color w:val="000000"/>
                <w:sz w:val="24"/>
                <w:szCs w:val="24"/>
                <w:u w:val="none"/>
              </w:rPr>
            </w:pPr>
          </w:p>
        </w:tc>
        <w:tc>
          <w:tcPr>
            <w:tcW w:w="231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A5CB">
            <w:pPr>
              <w:snapToGrid w:val="0"/>
              <w:ind w:left="0" w:leftChars="0" w:right="0" w:rightChars="0" w:firstLine="0" w:firstLineChars="0"/>
              <w:jc w:val="center"/>
              <w:rPr>
                <w:rFonts w:hint="eastAsia" w:ascii="黑体" w:hAnsi="宋体" w:eastAsia="黑体" w:cs="黑体"/>
                <w:i w:val="0"/>
                <w:iCs w:val="0"/>
                <w:color w:val="000000"/>
                <w:sz w:val="24"/>
                <w:szCs w:val="24"/>
                <w:u w:val="none"/>
              </w:rPr>
            </w:pPr>
          </w:p>
        </w:tc>
        <w:tc>
          <w:tcPr>
            <w:tcW w:w="470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5B17D">
            <w:pPr>
              <w:snapToGrid w:val="0"/>
              <w:ind w:left="0" w:leftChars="0" w:right="0" w:rightChars="0" w:firstLine="0" w:firstLineChars="0"/>
              <w:jc w:val="center"/>
              <w:rPr>
                <w:rFonts w:hint="eastAsia" w:ascii="黑体" w:hAnsi="宋体" w:eastAsia="黑体" w:cs="黑体"/>
                <w:i w:val="0"/>
                <w:iCs w:val="0"/>
                <w:color w:val="000000"/>
                <w:sz w:val="24"/>
                <w:szCs w:val="24"/>
                <w:u w:val="none"/>
              </w:rPr>
            </w:pP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ED9CD">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法定实施主体</w:t>
            </w:r>
          </w:p>
        </w:tc>
        <w:tc>
          <w:tcPr>
            <w:tcW w:w="17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BFB46">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法定行使层级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FACFF">
            <w:pPr>
              <w:keepNext w:val="0"/>
              <w:keepLines w:val="0"/>
              <w:widowControl/>
              <w:suppressLineNumbers w:val="0"/>
              <w:snapToGrid w:val="0"/>
              <w:ind w:left="0" w:leftChars="0" w:right="0" w:rightChars="0" w:firstLine="0" w:firstLineChars="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第一责任层级</w:t>
            </w: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3B599">
            <w:pPr>
              <w:snapToGrid w:val="0"/>
              <w:ind w:left="0" w:leftChars="0" w:right="0" w:rightChars="0" w:firstLine="0" w:firstLineChars="0"/>
              <w:jc w:val="center"/>
              <w:rPr>
                <w:rFonts w:hint="eastAsia" w:ascii="黑体" w:hAnsi="宋体" w:eastAsia="黑体" w:cs="黑体"/>
                <w:i w:val="0"/>
                <w:iCs w:val="0"/>
                <w:color w:val="000000"/>
                <w:sz w:val="24"/>
                <w:szCs w:val="24"/>
                <w:u w:val="none"/>
              </w:rPr>
            </w:pPr>
          </w:p>
        </w:tc>
      </w:tr>
      <w:tr w14:paraId="208DB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746E0">
            <w:pPr>
              <w:keepNext w:val="0"/>
              <w:keepLines w:val="0"/>
              <w:widowControl/>
              <w:suppressLineNumbers w:val="0"/>
              <w:snapToGrid w:val="0"/>
              <w:ind w:left="0" w:leftChars="0" w:right="0" w:rightChars="0" w:firstLine="0" w:firstLineChars="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2318" w:type="dxa"/>
            <w:tcBorders>
              <w:top w:val="nil"/>
              <w:left w:val="nil"/>
              <w:bottom w:val="nil"/>
              <w:right w:val="nil"/>
            </w:tcBorders>
            <w:shd w:val="clear" w:color="auto" w:fill="auto"/>
            <w:vAlign w:val="center"/>
          </w:tcPr>
          <w:p w14:paraId="513CCCB6">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对律师事务所及其律师的行政检查</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C377">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1.《律师事务所管理办法》（2008年7月18日司法部令第111号发布，2012年11月30日司法部令第125号修正，2016年9月6日司法部令第133号修订，2018年12月5日司法部令第142号修正）第七章；</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2.《律师执业管理办法》（2008年7月18日司法部令第112号发布，2016年9月18日司法部令第134号修订）第五章；</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3.《律师事务所年度检查考核办法》（中华人民共和国司法部令第121号）。</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41C09">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B7DF">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A23B3">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28CF3">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3632E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A061">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5AD0">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对公证机构及其公证员的行政检查</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1A9F">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《中华人民共和国公证法》</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第五条：司法行政部门依照本法规定对公证机构、公证员和公证协会进行监督、指导。</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3533">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8D9A">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82B9">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FEA2C">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224B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1DF6D">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D910">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司法鉴定机构及其鉴定人的监督检查</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0319">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1.《河北省司法鉴定管理条例》第四条；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2.《司法鉴定机构登记管理办法》（司法部令第95号）第四条、第十条、第十一条、第三十三条、第三十四条、第三十五条、第三十六条；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3.《司法鉴定人登记管理办法》（司法部令第96号）第四条、第九条、第十条、第二十三条、第二十四条、第二十五条、第二十六条；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4.《司法鉴定机构内部管理规范》（司发通〔2014〕49号）；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5.《法医类 物证类 声像资料司法鉴定机构登记评审细则》（司规〔2021〕2号）。</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34EF">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县级以上人民政府司法行政部门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FFFE5">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51F4C">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0819">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37744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176B">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CF75F">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司法鉴定执业活动投诉处理工作监督指导</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00992">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1.《司法鉴定执业活动投诉处理办法》（司法部令第144号，2019年6月1日施行）第七条、第三十一条；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2.《司法鉴定程序通则》（司法部令第132号，2016年5月1日施行）第九条。</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EE99B">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县级以上人民政府司法行政部门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BBA9">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E6443">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3E24">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2263F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174" w:type="dxa"/>
            <w:gridSpan w:val="7"/>
            <w:tcBorders>
              <w:top w:val="nil"/>
              <w:left w:val="nil"/>
              <w:bottom w:val="nil"/>
              <w:right w:val="nil"/>
            </w:tcBorders>
            <w:shd w:val="clear" w:color="auto" w:fill="auto"/>
            <w:noWrap/>
            <w:vAlign w:val="center"/>
          </w:tcPr>
          <w:p w14:paraId="3138B3F8">
            <w:pPr>
              <w:keepNext w:val="0"/>
              <w:keepLines w:val="0"/>
              <w:widowControl/>
              <w:suppressLineNumbers w:val="0"/>
              <w:snapToGrid w:val="0"/>
              <w:ind w:left="0" w:leftChars="0" w:right="0" w:rightChars="0" w:firstLine="0" w:firstLineChars="0"/>
              <w:jc w:val="center"/>
              <w:textAlignment w:val="center"/>
              <w:rPr>
                <w:rFonts w:hint="default" w:ascii="方正小标宋简体" w:hAnsi="方正小标宋简体" w:eastAsia="方正小标宋简体" w:cs="方正小标宋简体"/>
                <w:b/>
                <w:bCs/>
                <w:i w:val="0"/>
                <w:iCs w:val="0"/>
                <w:color w:val="000000"/>
                <w:sz w:val="40"/>
                <w:szCs w:val="40"/>
                <w:u w:val="none"/>
              </w:rPr>
            </w:pPr>
            <w:r>
              <w:rPr>
                <w:rFonts w:hint="default" w:ascii="方正小标宋简体" w:hAnsi="方正小标宋简体" w:eastAsia="方正小标宋简体" w:cs="方正小标宋简体"/>
                <w:b/>
                <w:bCs/>
                <w:i w:val="0"/>
                <w:iCs w:val="0"/>
                <w:color w:val="000000"/>
                <w:kern w:val="0"/>
                <w:sz w:val="40"/>
                <w:szCs w:val="40"/>
                <w:u w:val="none"/>
                <w:lang w:val="en-US" w:eastAsia="zh-CN" w:bidi="ar"/>
              </w:rPr>
              <w:t>藁城区司法局行政处罚事项清单</w:t>
            </w:r>
          </w:p>
        </w:tc>
      </w:tr>
      <w:tr w14:paraId="01AEE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52A41">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2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56256A">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对基层法律服务工作者超越业务范围和诉讼代理执业区域执业等行为的行政处罚</w:t>
            </w:r>
          </w:p>
        </w:tc>
        <w:tc>
          <w:tcPr>
            <w:tcW w:w="47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A2CA39">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《基层法律服务工作者管理办法》第四十六条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（一）超越业务范围和诉讼代理执业区域的；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（二）以贬损他人、抬高自己、虚假承诺或者支付介绍费等不正当手段争揽业务的；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（三）曾担任法官的基层法律服务工作者，担任原任职法院办理案件的诉讼代理人的；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（四）冒用律师名义执业的；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（五）同时在基层法律服务所和律师事务所或者公证机构执业，或者同时在两个以上基层法律服务所执业的；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（六）无正当理由拒绝履行法律援助义务的；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（七）明知委托人的要求是非法的、欺诈性的，仍为其提供帮助的；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（八）在代理活动中超越代理权限或者滥用代理权，侵犯被代理人合法利益的；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（九）在同一诉讼、仲裁、行政裁决中，为双方当事人或者有利害关系的第三人代理的；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（十）不遵守与当事人订立的委托合同，拒绝或者疏怠履行法律服务义务，损害委托人合法权益的；</w:t>
            </w:r>
          </w:p>
          <w:p w14:paraId="7ECF1E48">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（十一）在调解、代理、法律顾问等执业活动中压制、侮辱、报复当事人，造成恶劣影</w:t>
            </w:r>
            <w:bookmarkStart w:id="0" w:name="_GoBack"/>
            <w:bookmarkEnd w:id="0"/>
            <w:r>
              <w:rPr>
                <w:rFonts w:hint="eastAsia" w:ascii="仿宋" w:hAnsi="仿宋" w:eastAsia="仿宋" w:cs="仿宋"/>
                <w:i w:val="0"/>
                <w:iCs w:val="0"/>
                <w:color w:val="000000"/>
                <w:kern w:val="0"/>
                <w:sz w:val="24"/>
                <w:szCs w:val="24"/>
                <w:u w:val="none"/>
                <w:lang w:val="en-US" w:eastAsia="zh-CN" w:bidi="ar"/>
              </w:rPr>
              <w:t>响的；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（十二）不按规定接受年度考核，或者在年度考核中弄虚作假的；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（十三）泄露在执业活动中知悉的商业秘密或者个人隐私的；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（十四）以影响案件审判、仲裁或者行政裁定结果为目的，违反规定会见有关司法、仲裁或者行政执法人员，或者向其请客送礼的；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（十五）私自接受委托承办法律事务，或者私自收取费用，或者向委托人索要额外报酬的；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（十六）在代理活动中收受对方当事人、利害关系人财物或者与其恶意串通，损害委托人合法权益的；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（十七）违反司法、仲裁、行政执法工作有关制度规定，干扰或者阻碍司法、仲裁、行政执法工作正常进行的；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（十八）泄露在执业活动中知悉的国家秘密的；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（十九）伪造、隐匿、毁灭证据或者故意协助委托人伪造、隐匿、毁灭证据的；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（二十）向有关司法人员、仲裁员或者行政执法人员行贿、介绍贿赂，或者指使、诱导委托人向其行贿的；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（二十一）法律、法规、规章规定应予处罚的其他行为。</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司法行政机关对基层法律服务工作者实施上述行政处罚的同时，应当责令其改正。</w:t>
            </w:r>
          </w:p>
        </w:tc>
        <w:tc>
          <w:tcPr>
            <w:tcW w:w="18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1A37EC">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2CA6C3">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84CA9">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762996">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26215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8FFE">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c>
          <w:tcPr>
            <w:tcW w:w="2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8C0F90">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c>
          <w:tcPr>
            <w:tcW w:w="47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BD950">
            <w:pPr>
              <w:snapToGrid w:val="0"/>
              <w:ind w:left="0" w:leftChars="0" w:right="0" w:rightChars="0" w:firstLine="0" w:firstLineChars="0"/>
              <w:jc w:val="left"/>
              <w:rPr>
                <w:rFonts w:hint="eastAsia" w:ascii="仿宋" w:hAnsi="仿宋" w:eastAsia="仿宋" w:cs="仿宋"/>
                <w:i w:val="0"/>
                <w:iCs w:val="0"/>
                <w:color w:val="000000"/>
                <w:sz w:val="24"/>
                <w:szCs w:val="24"/>
                <w:u w:val="none"/>
              </w:rPr>
            </w:pPr>
          </w:p>
        </w:tc>
        <w:tc>
          <w:tcPr>
            <w:tcW w:w="18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20278">
            <w:pPr>
              <w:snapToGrid w:val="0"/>
              <w:ind w:left="0" w:leftChars="0" w:right="0" w:rightChars="0" w:firstLine="0" w:firstLineChars="0"/>
              <w:jc w:val="left"/>
              <w:rPr>
                <w:rFonts w:hint="eastAsia" w:ascii="仿宋" w:hAnsi="仿宋" w:eastAsia="仿宋" w:cs="仿宋"/>
                <w:i w:val="0"/>
                <w:iCs w:val="0"/>
                <w:color w:val="000000"/>
                <w:sz w:val="24"/>
                <w:szCs w:val="24"/>
                <w:u w:val="none"/>
              </w:rPr>
            </w:pPr>
          </w:p>
        </w:tc>
        <w:tc>
          <w:tcPr>
            <w:tcW w:w="17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85AEEE">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c>
          <w:tcPr>
            <w:tcW w:w="1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DA885">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F3A0D">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3C203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437A8">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2E6E">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对基层法律服务所超越业务范围和诉讼代理执业区域行为的行政处罚</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39BEA">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《基层法律服务所管理办法》第三十六条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（一）超越业务范围和诉讼代理执业区域的；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（二）违反规定不以基层法律服务所名义统一接受委托、统一收取服务费，不向委托人出具有效收费凭证的；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（三）冒用律师事务所名义执业的；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（四）以贬损他人、抬高自己、虚假承诺或者支付介绍费等不正当手段争揽业务的；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（五）伪造、涂改、抵押、出租、出借本所执业证的；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（六）违反规定变更本所名称、法定代表人或者负责人、合伙人、住所和章程的；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（七）不按规定接受年度考核，或者在年度考核中弄虚作假的；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（八）违反财务管理规定，私分、挪用或者以其他方式非法处置本所资产的；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（九）聘用未获准基层法律服务工作者执业的人员以基层法律服务工作者名义承办业务的；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（十）放纵、包庇本所基层法律服务工作者的违法违纪行为的；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（十一）内部管理混乱，无法正常开展业务的；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（十二）法律、法规、规章规定应予处罚的其他行为。</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0845F">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7CCAE">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DC995">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694A">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3FE90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B91E">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0BC1">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对基层法律服务所无正当理由拒绝履行法律援助义务或者怠于履行法律援助义务等行为的行政处罚</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83F0">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《中华人民共和国法律援助法》第六十二条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律师事务所、基层法律服务所有下列情形之一的，由司法行政部门依法给予处罚：</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（一）无正当理由拒绝接受法律援助机构指派；</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（二）接受指派后，不及时安排本所律师、基层法律服务工作者办理法律援助事项或者拒绝为本所律师、基层法律服务工作者办理法律援助事项提供支持和保障；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（三）纵容或者放任本所律师、基层法律服务工作者怠于履行法律援助义务或者擅自终止提供法律援助；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（四）法律法规规定的其他情形。</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《基层法律服务所管理办法》第三十六条第（十二）项</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706BC">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DDA7A">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2175">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958A5">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4A9BC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30EBF">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DE922">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对基层法律服务工作者无正当理由拒绝履行法律援助义务或者怠于履行法律援助义务等行为的行政处罚</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E1321">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《中华人民共和国法律援助法》第六十三条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律师、基层法律服务工作者有下列情形之一的，由司法行政部门依法给予处罚：</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（一）无正当理由拒绝履行法律援助义务或者怠于履行法律援助义务；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（二）擅自终止提供法律援助；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（三）收取受援人财物；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（四）泄露法律援助过程中知悉的国家秘密、商业秘密和个人隐私；</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（五）法律法规规定的其他情形。</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C84C">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E237E">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2A19">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EB96">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2823B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D1A67">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E79A8">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对基层法律服务工作者冒用法律援助名义提供法律服务并谋取利益行为的行政处罚</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0F4E3">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《中华人民共和国法律援助法》第六十五条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由司法行政部门责令改正，没收违法所得，并处违法所得一倍以上三倍以下罚款。</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3A36">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C8E24">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8BA0">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BD564">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r w14:paraId="5E1C9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B9190">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2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EE2CB">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对司法鉴定机构超出其职责范围从事司法鉴定，从事与其技术能力不相称的司法鉴定的行政处罚</w:t>
            </w:r>
          </w:p>
        </w:tc>
        <w:tc>
          <w:tcPr>
            <w:tcW w:w="47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BFB2B">
            <w:pPr>
              <w:keepNext w:val="0"/>
              <w:keepLines w:val="0"/>
              <w:widowControl/>
              <w:suppressLineNumbers w:val="0"/>
              <w:snapToGrid w:val="0"/>
              <w:ind w:left="0" w:leftChars="0" w:right="0" w:rightChars="0" w:firstLine="0" w:firstLineChars="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《河北省司法鉴定管理条例》第三十二条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司法鉴定机构违反本条例第十一条规定，由县级以上人民政府司法行政部门责令其撤销司法鉴定结论，返还鉴定费用，并可处以鉴定费用一至三倍的罚款；拒不执行的，责令其停业整顿；情节严重的，由省人民政府司法行政部门吊销其《司法鉴定许可证》，取消有关责任人的司法鉴定资格。</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第十一条司法鉴定机构不得超出其职责范围从事司法鉴定，不得从事与其技术能力不相称的司法鉴定。</w:t>
            </w:r>
          </w:p>
        </w:tc>
        <w:tc>
          <w:tcPr>
            <w:tcW w:w="1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C45C">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FCF3C">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省级、市级、县级</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4E662">
            <w:pPr>
              <w:keepNext w:val="0"/>
              <w:keepLines w:val="0"/>
              <w:widowControl/>
              <w:suppressLineNumbers w:val="0"/>
              <w:snapToGrid w:val="0"/>
              <w:ind w:left="0" w:leftChars="0" w:right="0" w:rightChars="0" w:firstLine="0" w:firstLineChars="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w:t>
            </w:r>
          </w:p>
        </w:tc>
        <w:tc>
          <w:tcPr>
            <w:tcW w:w="11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BD3C">
            <w:pPr>
              <w:snapToGrid w:val="0"/>
              <w:ind w:left="0" w:leftChars="0" w:right="0" w:rightChars="0" w:firstLine="0" w:firstLineChars="0"/>
              <w:jc w:val="center"/>
              <w:rPr>
                <w:rFonts w:hint="eastAsia" w:ascii="仿宋" w:hAnsi="仿宋" w:eastAsia="仿宋" w:cs="仿宋"/>
                <w:i w:val="0"/>
                <w:iCs w:val="0"/>
                <w:color w:val="000000"/>
                <w:sz w:val="24"/>
                <w:szCs w:val="24"/>
                <w:u w:val="none"/>
              </w:rPr>
            </w:pPr>
          </w:p>
        </w:tc>
      </w:tr>
    </w:tbl>
    <w:p w14:paraId="4EB6F8A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B611CF"/>
    <w:rsid w:val="01B611CF"/>
    <w:rsid w:val="054B0002"/>
    <w:rsid w:val="442C5609"/>
    <w:rsid w:val="4A8E35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3656</Words>
  <Characters>3730</Characters>
  <Lines>0</Lines>
  <Paragraphs>0</Paragraphs>
  <TotalTime>47</TotalTime>
  <ScaleCrop>false</ScaleCrop>
  <LinksUpToDate>false</LinksUpToDate>
  <CharactersWithSpaces>3744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2024-12-17T01:34:00Z</dcterms:created>
  <dc:creator>郑妍</dc:creator>
  <cp:lastModifiedBy>蒸汽</cp:lastModifiedBy>
  <dcterms:modified xsi:type="dcterms:W3CDTF">2025-12-29T02:16:41Z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E329F1544B404874BF3D2CB98BB28CCB_11</vt:lpwstr>
  </property>
  <property fmtid="{D5CDD505-2E9C-101B-9397-08002B2CF9AE}" pid="4" name="KSOTemplateDocerSaveRecord">
    <vt:lpwstr>eyJoZGlkIjoiZTU5MjBjYWUxNzUxZDhjMDk5MDYzZjRhNjdhZTY1MmIiLCJ1c2VySWQiOiI1NzMwNzYyNTUifQ==</vt:lpwstr>
  </property>
</Properties>
</file>