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6D0BC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2429D24A">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665E20FB">
      <w:pPr>
        <w:widowControl w:val="0"/>
        <w:wordWrap/>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bCs/>
          <w:sz w:val="44"/>
          <w:szCs w:val="44"/>
          <w:lang w:eastAsia="zh-CN"/>
        </w:rPr>
      </w:pPr>
      <w:r>
        <w:rPr>
          <w:rFonts w:hint="eastAsia" w:ascii="方正小标宋简体" w:hAnsi="方正小标宋简体" w:eastAsia="方正小标宋简体" w:cs="方正小标宋简体"/>
          <w:b/>
          <w:bCs/>
          <w:sz w:val="44"/>
          <w:szCs w:val="44"/>
          <w:lang w:eastAsia="zh-CN"/>
        </w:rPr>
        <w:t>石家庄市自然资源和规划局藁城分局</w:t>
      </w:r>
    </w:p>
    <w:p w14:paraId="7A043BC7">
      <w:pPr>
        <w:widowControl w:val="0"/>
        <w:wordWrap/>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14:paraId="0A2A633F">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462256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则，对石家庄市自然资源和规划局藁城分局202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6AD4FB0E">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68BB94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75751F81">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1.</w:t>
      </w:r>
      <w:r>
        <w:rPr>
          <w:rFonts w:hint="eastAsia" w:ascii="Times New Roman" w:hAnsi="Times New Roman" w:eastAsia="仿宋" w:cs="Times New Roman"/>
          <w:sz w:val="32"/>
          <w:szCs w:val="32"/>
        </w:rPr>
        <w:t>加紧对全区农村宅基地和农村集体建设用地的调查、确权及数据入库工作。</w:t>
      </w:r>
    </w:p>
    <w:p w14:paraId="5EBC9488">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2.</w:t>
      </w:r>
      <w:r>
        <w:rPr>
          <w:rFonts w:hint="eastAsia" w:ascii="Times New Roman" w:hAnsi="Times New Roman" w:eastAsia="仿宋" w:cs="Times New Roman"/>
          <w:sz w:val="32"/>
          <w:szCs w:val="32"/>
        </w:rPr>
        <w:t>按省厅、市局要求的时限上报、盯办，为项目的早日开工建设提供保障。</w:t>
      </w:r>
    </w:p>
    <w:p w14:paraId="59B9EFF3">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3.</w:t>
      </w:r>
      <w:r>
        <w:rPr>
          <w:rFonts w:hint="eastAsia" w:ascii="Times New Roman" w:hAnsi="Times New Roman" w:eastAsia="仿宋" w:cs="Times New Roman"/>
          <w:sz w:val="32"/>
          <w:szCs w:val="32"/>
        </w:rPr>
        <w:t>编制202</w:t>
      </w:r>
      <w:r>
        <w:rPr>
          <w:rFonts w:hint="eastAsia" w:eastAsia="仿宋" w:cs="Times New Roman"/>
          <w:sz w:val="32"/>
          <w:szCs w:val="32"/>
          <w:lang w:val="en-US" w:eastAsia="zh-CN"/>
        </w:rPr>
        <w:t>4</w:t>
      </w:r>
      <w:r>
        <w:rPr>
          <w:rFonts w:hint="eastAsia" w:ascii="Times New Roman" w:hAnsi="Times New Roman" w:eastAsia="仿宋" w:cs="Times New Roman"/>
          <w:sz w:val="32"/>
          <w:szCs w:val="32"/>
        </w:rPr>
        <w:t>年土地收储计划，严格按计划收储土地，盘活城区存量土地，促进城市健康发展。</w:t>
      </w:r>
    </w:p>
    <w:p w14:paraId="7A21C152">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4.</w:t>
      </w:r>
      <w:r>
        <w:rPr>
          <w:rFonts w:hint="eastAsia" w:ascii="Times New Roman" w:hAnsi="Times New Roman" w:eastAsia="仿宋" w:cs="Times New Roman"/>
          <w:sz w:val="32"/>
          <w:szCs w:val="32"/>
        </w:rPr>
        <w:t>科学编制202</w:t>
      </w:r>
      <w:r>
        <w:rPr>
          <w:rFonts w:hint="eastAsia" w:eastAsia="仿宋" w:cs="Times New Roman"/>
          <w:sz w:val="32"/>
          <w:szCs w:val="32"/>
          <w:lang w:val="en-US" w:eastAsia="zh-CN"/>
        </w:rPr>
        <w:t>4</w:t>
      </w:r>
      <w:r>
        <w:rPr>
          <w:rFonts w:hint="eastAsia" w:ascii="Times New Roman" w:hAnsi="Times New Roman" w:eastAsia="仿宋" w:cs="Times New Roman"/>
          <w:sz w:val="32"/>
          <w:szCs w:val="32"/>
        </w:rPr>
        <w:t>年供地计划，加快国有建设用地供地力度。</w:t>
      </w:r>
    </w:p>
    <w:p w14:paraId="65D969C3">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5.</w:t>
      </w:r>
      <w:r>
        <w:rPr>
          <w:rFonts w:hint="eastAsia" w:ascii="Times New Roman" w:hAnsi="Times New Roman" w:eastAsia="仿宋" w:cs="Times New Roman"/>
          <w:sz w:val="32"/>
          <w:szCs w:val="32"/>
        </w:rPr>
        <w:t>对违法用地，严格按照“六个到位”的要求，坚决查处到位。</w:t>
      </w:r>
    </w:p>
    <w:p w14:paraId="6170B30F">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6.</w:t>
      </w:r>
      <w:r>
        <w:rPr>
          <w:rFonts w:hint="eastAsia" w:ascii="Times New Roman" w:hAnsi="Times New Roman" w:eastAsia="仿宋" w:cs="Times New Roman"/>
          <w:sz w:val="32"/>
          <w:szCs w:val="32"/>
        </w:rPr>
        <w:t>力争做到卫片执法监督检查“零约谈”、“零问责”的目标。</w:t>
      </w:r>
    </w:p>
    <w:p w14:paraId="42B01B62">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7.</w:t>
      </w:r>
      <w:r>
        <w:rPr>
          <w:rFonts w:hint="eastAsia" w:ascii="Times New Roman" w:hAnsi="Times New Roman" w:eastAsia="仿宋" w:cs="Times New Roman"/>
          <w:sz w:val="32"/>
          <w:szCs w:val="32"/>
        </w:rPr>
        <w:t>严格执行关于维稳工作的各项规定，确保不发生各类非正常信访案件。</w:t>
      </w:r>
    </w:p>
    <w:p w14:paraId="20438996">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8.</w:t>
      </w:r>
      <w:r>
        <w:rPr>
          <w:rFonts w:hint="eastAsia" w:ascii="Times New Roman" w:hAnsi="Times New Roman" w:eastAsia="仿宋" w:cs="Times New Roman"/>
          <w:sz w:val="32"/>
          <w:szCs w:val="32"/>
        </w:rPr>
        <w:t>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14:paraId="5560BB0E">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9.</w:t>
      </w:r>
      <w:r>
        <w:rPr>
          <w:rFonts w:hint="eastAsia" w:ascii="Times New Roman" w:hAnsi="Times New Roman" w:eastAsia="仿宋" w:cs="Times New Roman"/>
          <w:sz w:val="32"/>
          <w:szCs w:val="32"/>
        </w:rPr>
        <w:t>加强规划指导，提升</w:t>
      </w:r>
      <w:r>
        <w:rPr>
          <w:rFonts w:hint="eastAsia" w:ascii="Times New Roman" w:hAnsi="Times New Roman" w:eastAsia="仿宋" w:cs="Times New Roman"/>
          <w:sz w:val="32"/>
          <w:szCs w:val="32"/>
          <w:lang w:eastAsia="zh-CN"/>
        </w:rPr>
        <w:t>我区城市</w:t>
      </w:r>
      <w:r>
        <w:rPr>
          <w:rFonts w:hint="eastAsia" w:ascii="Times New Roman" w:hAnsi="Times New Roman" w:eastAsia="仿宋" w:cs="Times New Roman"/>
          <w:sz w:val="32"/>
          <w:szCs w:val="32"/>
        </w:rPr>
        <w:t>建设水平。进一步加强对规划执行情况的督导检查。加强对城乡规划法定程序、强制性内容执行情况的检查，强化城乡规划违法建设治理，完善违法建设查处长效机制，对新增城乡规划违法建设“零容忍”。</w:t>
      </w:r>
    </w:p>
    <w:p w14:paraId="5F51AE5F">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10.</w:t>
      </w:r>
      <w:r>
        <w:rPr>
          <w:rFonts w:hint="eastAsia" w:ascii="Times New Roman" w:hAnsi="Times New Roman" w:eastAsia="仿宋" w:cs="Times New Roman"/>
          <w:sz w:val="32"/>
          <w:szCs w:val="32"/>
        </w:rPr>
        <w:t>负责林业及其生态环境建设、森林资源保护、国土绿化和林业产业发展的规定和方法，并组织实施监督和检查。</w:t>
      </w:r>
    </w:p>
    <w:p w14:paraId="3A13D033">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11.</w:t>
      </w:r>
      <w:r>
        <w:rPr>
          <w:rFonts w:hint="eastAsia" w:ascii="Times New Roman" w:hAnsi="Times New Roman" w:eastAsia="仿宋" w:cs="Times New Roman"/>
          <w:sz w:val="32"/>
          <w:szCs w:val="32"/>
        </w:rPr>
        <w:t>负责组织指导全</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林业及其生态建设的科技创新和技术示范推广，为林业生态发展和林产品生产提供公共支撑。</w:t>
      </w:r>
    </w:p>
    <w:p w14:paraId="14C8CECE">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12.</w:t>
      </w:r>
      <w:r>
        <w:rPr>
          <w:rFonts w:hint="eastAsia" w:ascii="Times New Roman" w:hAnsi="Times New Roman" w:eastAsia="仿宋" w:cs="Times New Roman"/>
          <w:sz w:val="32"/>
          <w:szCs w:val="32"/>
        </w:rPr>
        <w:t>负责苗木的标准化生产和基地建设。</w:t>
      </w:r>
    </w:p>
    <w:p w14:paraId="69E09564">
      <w:pPr>
        <w:widowControl w:val="0"/>
        <w:wordWrap/>
        <w:adjustRightInd/>
        <w:snapToGrid w:val="0"/>
        <w:spacing w:line="560" w:lineRule="exact"/>
        <w:ind w:left="0" w:leftChars="0" w:right="0" w:firstLine="640" w:firstLineChars="200"/>
        <w:textAlignment w:val="auto"/>
        <w:outlineLvl w:val="9"/>
        <w:rPr>
          <w:rFonts w:hint="eastAsia" w:ascii="Times New Roman" w:hAnsi="Times New Roman" w:eastAsia="仿宋" w:cs="Times New Roman"/>
          <w:sz w:val="32"/>
          <w:szCs w:val="32"/>
        </w:rPr>
      </w:pPr>
      <w:r>
        <w:rPr>
          <w:rFonts w:hint="eastAsia" w:eastAsia="仿宋" w:cs="Times New Roman"/>
          <w:sz w:val="32"/>
          <w:szCs w:val="32"/>
          <w:lang w:val="en-US" w:eastAsia="zh-CN"/>
        </w:rPr>
        <w:t>13.</w:t>
      </w:r>
      <w:r>
        <w:rPr>
          <w:rFonts w:hint="eastAsia" w:ascii="Times New Roman" w:hAnsi="Times New Roman" w:eastAsia="仿宋" w:cs="Times New Roman"/>
          <w:sz w:val="32"/>
          <w:szCs w:val="32"/>
        </w:rPr>
        <w:t>负责</w:t>
      </w:r>
      <w:r>
        <w:rPr>
          <w:rFonts w:hint="eastAsia" w:ascii="Times New Roman" w:hAnsi="Times New Roman" w:eastAsia="仿宋" w:cs="Times New Roman"/>
          <w:sz w:val="32"/>
          <w:szCs w:val="32"/>
          <w:lang w:eastAsia="zh-CN"/>
        </w:rPr>
        <w:t>自然局</w:t>
      </w:r>
      <w:r>
        <w:rPr>
          <w:rFonts w:hint="eastAsia" w:ascii="Times New Roman" w:hAnsi="Times New Roman" w:eastAsia="仿宋" w:cs="Times New Roman"/>
          <w:sz w:val="32"/>
          <w:szCs w:val="32"/>
        </w:rPr>
        <w:t>政务管理，依法依规履行机关日常管理工作。</w:t>
      </w:r>
    </w:p>
    <w:p w14:paraId="573467C7">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 w:hAnsi="仿宋" w:eastAsia="仿宋" w:cs="仿宋"/>
          <w:i w:val="0"/>
          <w:caps w:val="0"/>
          <w:color w:val="auto"/>
          <w:spacing w:val="0"/>
          <w:sz w:val="32"/>
          <w:szCs w:val="32"/>
          <w:shd w:val="clear" w:fill="FFFFFF"/>
        </w:rPr>
        <w:t>我局为</w:t>
      </w:r>
      <w:r>
        <w:rPr>
          <w:rFonts w:hint="eastAsia" w:ascii="仿宋" w:hAnsi="仿宋" w:eastAsia="仿宋" w:cs="仿宋"/>
          <w:i w:val="0"/>
          <w:caps w:val="0"/>
          <w:color w:val="333333"/>
          <w:spacing w:val="0"/>
          <w:sz w:val="32"/>
          <w:szCs w:val="32"/>
          <w:shd w:val="clear" w:fill="FFFFFF"/>
        </w:rPr>
        <w:t>正科级</w:t>
      </w:r>
      <w:r>
        <w:rPr>
          <w:rFonts w:hint="eastAsia" w:ascii="仿宋" w:hAnsi="仿宋" w:eastAsia="仿宋" w:cs="仿宋"/>
          <w:i w:val="0"/>
          <w:caps w:val="0"/>
          <w:color w:val="auto"/>
          <w:spacing w:val="0"/>
          <w:sz w:val="32"/>
          <w:szCs w:val="32"/>
          <w:shd w:val="clear" w:fill="FFFFFF"/>
        </w:rPr>
        <w:t>行政单位，内设办公室、</w:t>
      </w:r>
      <w:r>
        <w:rPr>
          <w:rFonts w:hint="eastAsia" w:ascii="仿宋" w:hAnsi="仿宋" w:eastAsia="仿宋" w:cs="仿宋"/>
          <w:i w:val="0"/>
          <w:caps w:val="0"/>
          <w:color w:val="auto"/>
          <w:spacing w:val="0"/>
          <w:sz w:val="32"/>
          <w:szCs w:val="32"/>
          <w:shd w:val="clear" w:fill="FFFFFF"/>
          <w:lang w:eastAsia="zh-CN"/>
        </w:rPr>
        <w:t>国土空间规划股、用地股、耕保股、利用股、执法股</w:t>
      </w:r>
      <w:r>
        <w:rPr>
          <w:rFonts w:hint="eastAsia" w:ascii="仿宋" w:hAnsi="仿宋" w:eastAsia="仿宋" w:cs="仿宋"/>
          <w:i w:val="0"/>
          <w:caps w:val="0"/>
          <w:color w:val="auto"/>
          <w:spacing w:val="0"/>
          <w:sz w:val="32"/>
          <w:szCs w:val="32"/>
          <w:shd w:val="clear" w:fill="FFFFFF"/>
        </w:rPr>
        <w:t>等</w:t>
      </w:r>
      <w:r>
        <w:rPr>
          <w:rFonts w:hint="eastAsia" w:ascii="Times New Roman" w:hAnsi="Times New Roman" w:cs="Times New Roman"/>
          <w:i w:val="0"/>
          <w:caps w:val="0"/>
          <w:color w:val="auto"/>
          <w:spacing w:val="0"/>
          <w:sz w:val="32"/>
          <w:szCs w:val="32"/>
          <w:shd w:val="clear" w:fill="FFFFFF"/>
          <w:lang w:val="en-US" w:eastAsia="zh-CN"/>
        </w:rPr>
        <w:t>8</w:t>
      </w:r>
      <w:r>
        <w:rPr>
          <w:rFonts w:hint="eastAsia" w:ascii="仿宋" w:hAnsi="仿宋" w:eastAsia="仿宋" w:cs="仿宋"/>
          <w:i w:val="0"/>
          <w:caps w:val="0"/>
          <w:color w:val="auto"/>
          <w:spacing w:val="0"/>
          <w:sz w:val="32"/>
          <w:szCs w:val="32"/>
          <w:shd w:val="clear" w:fill="FFFFFF"/>
        </w:rPr>
        <w:t>个职能股室，</w:t>
      </w:r>
      <w:r>
        <w:rPr>
          <w:rFonts w:hint="eastAsia" w:ascii="仿宋" w:hAnsi="仿宋" w:eastAsia="仿宋" w:cs="仿宋"/>
          <w:i w:val="0"/>
          <w:caps w:val="0"/>
          <w:color w:val="auto"/>
          <w:spacing w:val="0"/>
          <w:sz w:val="32"/>
          <w:szCs w:val="32"/>
          <w:shd w:val="clear" w:fill="FFFFFF"/>
          <w:lang w:eastAsia="zh-CN"/>
        </w:rPr>
        <w:t>下属</w:t>
      </w:r>
      <w:r>
        <w:rPr>
          <w:rFonts w:hint="eastAsia" w:ascii="仿宋" w:hAnsi="仿宋" w:eastAsia="仿宋" w:cs="仿宋"/>
          <w:i w:val="0"/>
          <w:caps w:val="0"/>
          <w:color w:val="auto"/>
          <w:spacing w:val="0"/>
          <w:sz w:val="32"/>
          <w:szCs w:val="32"/>
          <w:shd w:val="clear" w:fill="FFFFFF"/>
          <w:lang w:val="en-US" w:eastAsia="zh-CN"/>
        </w:rPr>
        <w:t>7个事业单位：财政补助事业单位：</w:t>
      </w:r>
      <w:r>
        <w:rPr>
          <w:rFonts w:hint="eastAsia" w:ascii="仿宋" w:hAnsi="仿宋" w:eastAsia="仿宋" w:cs="仿宋"/>
          <w:i w:val="0"/>
          <w:caps w:val="0"/>
          <w:color w:val="333333"/>
          <w:spacing w:val="0"/>
          <w:sz w:val="32"/>
          <w:szCs w:val="32"/>
          <w:shd w:val="clear" w:fill="FFFFFF"/>
        </w:rPr>
        <w:t>不动产登记中心</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建设用地服务中心</w:t>
      </w:r>
      <w:r>
        <w:rPr>
          <w:rFonts w:hint="eastAsia" w:ascii="仿宋" w:hAnsi="仿宋" w:eastAsia="仿宋" w:cs="仿宋"/>
          <w:i w:val="0"/>
          <w:caps w:val="0"/>
          <w:color w:val="333333"/>
          <w:spacing w:val="0"/>
          <w:sz w:val="32"/>
          <w:szCs w:val="32"/>
          <w:shd w:val="clear" w:fill="FFFFFF"/>
          <w:lang w:eastAsia="zh-CN"/>
        </w:rPr>
        <w:t>、林业工作站；</w:t>
      </w:r>
      <w:r>
        <w:rPr>
          <w:rFonts w:hint="eastAsia" w:ascii="仿宋" w:hAnsi="仿宋" w:eastAsia="仿宋" w:cs="仿宋"/>
          <w:i w:val="0"/>
          <w:caps w:val="0"/>
          <w:color w:val="auto"/>
          <w:spacing w:val="0"/>
          <w:sz w:val="32"/>
          <w:szCs w:val="32"/>
          <w:shd w:val="clear" w:fill="FFFFFF"/>
          <w:lang w:val="en-US" w:eastAsia="zh-CN"/>
        </w:rPr>
        <w:t>经费自理事业单位：</w:t>
      </w:r>
      <w:r>
        <w:rPr>
          <w:rFonts w:hint="eastAsia" w:ascii="仿宋" w:hAnsi="仿宋" w:eastAsia="仿宋" w:cs="仿宋"/>
          <w:i w:val="0"/>
          <w:caps w:val="0"/>
          <w:color w:val="333333"/>
          <w:spacing w:val="0"/>
          <w:sz w:val="32"/>
          <w:szCs w:val="32"/>
          <w:shd w:val="clear" w:fill="FFFFFF"/>
        </w:rPr>
        <w:t>土地储备中心</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土地整理中心</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国土资源所</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矿产资源管理所</w:t>
      </w:r>
      <w:r>
        <w:rPr>
          <w:rFonts w:hint="eastAsia" w:ascii="仿宋" w:hAnsi="仿宋" w:eastAsia="仿宋" w:cs="仿宋"/>
          <w:i w:val="0"/>
          <w:caps w:val="0"/>
          <w:color w:val="333333"/>
          <w:spacing w:val="0"/>
          <w:sz w:val="32"/>
          <w:szCs w:val="32"/>
          <w:shd w:val="clear" w:fill="FFFFFF"/>
          <w:lang w:val="en-US" w:eastAsia="zh-CN"/>
        </w:rPr>
        <w:t>。</w:t>
      </w:r>
    </w:p>
    <w:p w14:paraId="0AB74B9C">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6F7A3B29">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年部门决算收支完成情况如下：</w:t>
      </w:r>
    </w:p>
    <w:p w14:paraId="0022BB93">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1.全年收入为</w:t>
      </w:r>
      <w:bookmarkStart w:id="0" w:name="OLE_LINK6"/>
      <w:r>
        <w:rPr>
          <w:rFonts w:hint="eastAsia" w:ascii="仿宋" w:hAnsi="仿宋" w:eastAsia="仿宋" w:cs="仿宋"/>
          <w:color w:val="000000" w:themeColor="text1"/>
          <w:sz w:val="32"/>
          <w:szCs w:val="32"/>
          <w:lang w:val="en-US" w:eastAsia="zh-CN"/>
          <w14:textFill>
            <w14:solidFill>
              <w14:schemeClr w14:val="tx1"/>
            </w14:solidFill>
          </w14:textFill>
        </w:rPr>
        <w:t>8645.52</w:t>
      </w:r>
      <w:bookmarkEnd w:id="0"/>
      <w:r>
        <w:rPr>
          <w:rFonts w:hint="eastAsia" w:ascii="仿宋" w:hAnsi="仿宋" w:eastAsia="仿宋"/>
          <w:color w:val="000000" w:themeColor="text1"/>
          <w:sz w:val="32"/>
          <w:szCs w:val="32"/>
          <w:lang w:val="en-US" w:eastAsia="zh-CN"/>
          <w14:textFill>
            <w14:solidFill>
              <w14:schemeClr w14:val="tx1"/>
            </w14:solidFill>
          </w14:textFill>
        </w:rPr>
        <w:t>万</w:t>
      </w:r>
      <w:r>
        <w:rPr>
          <w:rFonts w:hint="eastAsia" w:ascii="仿宋" w:hAnsi="仿宋" w:eastAsia="仿宋" w:cs="仿宋"/>
          <w:color w:val="000000" w:themeColor="text1"/>
          <w:sz w:val="32"/>
          <w:szCs w:val="32"/>
          <w14:textFill>
            <w14:solidFill>
              <w14:schemeClr w14:val="tx1"/>
            </w14:solidFill>
          </w14:textFill>
        </w:rPr>
        <w:t>元，其中：</w:t>
      </w:r>
      <w:bookmarkStart w:id="10" w:name="_GoBack"/>
      <w:r>
        <w:rPr>
          <w:rFonts w:hint="eastAsia" w:ascii="仿宋" w:hAnsi="仿宋" w:eastAsia="仿宋" w:cs="仿宋"/>
          <w:color w:val="000000" w:themeColor="text1"/>
          <w:sz w:val="32"/>
          <w:szCs w:val="32"/>
          <w14:textFill>
            <w14:solidFill>
              <w14:schemeClr w14:val="tx1"/>
            </w14:solidFill>
          </w14:textFill>
        </w:rPr>
        <w:t>财政</w:t>
      </w:r>
      <w:r>
        <w:rPr>
          <w:rFonts w:hint="eastAsia" w:ascii="仿宋" w:hAnsi="仿宋" w:eastAsia="仿宋" w:cs="仿宋"/>
          <w:color w:val="000000" w:themeColor="text1"/>
          <w:sz w:val="32"/>
          <w:szCs w:val="32"/>
          <w:lang w:eastAsia="zh-CN"/>
          <w14:textFill>
            <w14:solidFill>
              <w14:schemeClr w14:val="tx1"/>
            </w14:solidFill>
          </w14:textFill>
        </w:rPr>
        <w:t>拨款</w:t>
      </w:r>
      <w:bookmarkEnd w:id="10"/>
      <w:r>
        <w:rPr>
          <w:rFonts w:hint="eastAsia" w:ascii="仿宋" w:hAnsi="仿宋" w:eastAsia="仿宋" w:cs="仿宋"/>
          <w:color w:val="000000" w:themeColor="text1"/>
          <w:sz w:val="32"/>
          <w:szCs w:val="32"/>
          <w14:textFill>
            <w14:solidFill>
              <w14:schemeClr w14:val="tx1"/>
            </w14:solidFill>
          </w14:textFill>
        </w:rPr>
        <w:t>收入</w:t>
      </w:r>
      <w:r>
        <w:rPr>
          <w:rFonts w:hint="eastAsia" w:ascii="仿宋" w:hAnsi="仿宋" w:eastAsia="仿宋" w:cs="仿宋"/>
          <w:color w:val="000000" w:themeColor="text1"/>
          <w:sz w:val="32"/>
          <w:szCs w:val="32"/>
          <w:lang w:val="en-US" w:eastAsia="zh-CN"/>
          <w14:textFill>
            <w14:solidFill>
              <w14:schemeClr w14:val="tx1"/>
            </w14:solidFill>
          </w14:textFill>
        </w:rPr>
        <w:t>8645.52</w:t>
      </w:r>
      <w:r>
        <w:rPr>
          <w:rFonts w:hint="eastAsia" w:ascii="仿宋" w:hAnsi="仿宋" w:eastAsia="仿宋"/>
          <w:color w:val="000000" w:themeColor="text1"/>
          <w:sz w:val="32"/>
          <w:szCs w:val="32"/>
          <w:lang w:val="en-US" w:eastAsia="zh-CN"/>
          <w14:textFill>
            <w14:solidFill>
              <w14:schemeClr w14:val="tx1"/>
            </w14:solidFill>
          </w14:textFill>
        </w:rPr>
        <w:t>万</w:t>
      </w:r>
      <w:r>
        <w:rPr>
          <w:rFonts w:hint="eastAsia" w:ascii="仿宋" w:hAnsi="仿宋" w:eastAsia="仿宋" w:cs="仿宋"/>
          <w:color w:val="000000" w:themeColor="text1"/>
          <w:sz w:val="32"/>
          <w:szCs w:val="32"/>
          <w14:textFill>
            <w14:solidFill>
              <w14:schemeClr w14:val="tx1"/>
            </w14:solidFill>
          </w14:textFill>
        </w:rPr>
        <w:t>元，非财政补助收入</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w:t>
      </w:r>
    </w:p>
    <w:p w14:paraId="0EB60A75">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2.</w:t>
      </w:r>
      <w:r>
        <w:rPr>
          <w:rFonts w:hint="eastAsia" w:ascii="仿宋" w:hAnsi="仿宋" w:eastAsia="仿宋" w:cs="仿宋"/>
          <w:color w:val="000000" w:themeColor="text1"/>
          <w:sz w:val="32"/>
          <w:szCs w:val="32"/>
          <w:lang w:eastAsia="zh-CN"/>
          <w14:textFill>
            <w14:solidFill>
              <w14:schemeClr w14:val="tx1"/>
            </w14:solidFill>
          </w14:textFill>
        </w:rPr>
        <w:t>全年支出为</w:t>
      </w:r>
      <w:r>
        <w:rPr>
          <w:rFonts w:hint="eastAsia" w:ascii="仿宋" w:hAnsi="仿宋" w:eastAsia="仿宋" w:cs="仿宋"/>
          <w:color w:val="000000" w:themeColor="text1"/>
          <w:sz w:val="32"/>
          <w:szCs w:val="32"/>
          <w:lang w:val="en-US" w:eastAsia="zh-CN"/>
          <w14:textFill>
            <w14:solidFill>
              <w14:schemeClr w14:val="tx1"/>
            </w14:solidFill>
          </w14:textFill>
        </w:rPr>
        <w:t>8645.52</w:t>
      </w:r>
      <w:r>
        <w:rPr>
          <w:rFonts w:hint="eastAsia" w:ascii="仿宋" w:hAnsi="仿宋" w:eastAsia="仿宋"/>
          <w:color w:val="000000" w:themeColor="text1"/>
          <w:sz w:val="32"/>
          <w:szCs w:val="32"/>
          <w:lang w:val="en-US" w:eastAsia="zh-CN"/>
          <w14:textFill>
            <w14:solidFill>
              <w14:schemeClr w14:val="tx1"/>
            </w14:solidFill>
          </w14:textFill>
        </w:rPr>
        <w:t>万</w:t>
      </w:r>
      <w:r>
        <w:rPr>
          <w:rFonts w:hint="eastAsia" w:ascii="仿宋" w:hAnsi="仿宋" w:eastAsia="仿宋" w:cs="仿宋"/>
          <w:color w:val="000000" w:themeColor="text1"/>
          <w:sz w:val="32"/>
          <w:szCs w:val="32"/>
          <w14:textFill>
            <w14:solidFill>
              <w14:schemeClr w14:val="tx1"/>
            </w14:solidFill>
          </w14:textFill>
        </w:rPr>
        <w:t>元</w:t>
      </w:r>
      <w:r>
        <w:rPr>
          <w:rFonts w:hint="eastAsia" w:ascii="仿宋" w:hAnsi="仿宋" w:eastAsia="仿宋"/>
          <w:color w:val="000000" w:themeColor="text1"/>
          <w:sz w:val="32"/>
          <w:szCs w:val="32"/>
          <w:lang w:eastAsia="zh-CN"/>
          <w14:textFill>
            <w14:solidFill>
              <w14:schemeClr w14:val="tx1"/>
            </w14:solidFill>
          </w14:textFill>
        </w:rPr>
        <w:t>。其中：行政支出：</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olor w:val="000000" w:themeColor="text1"/>
          <w:sz w:val="32"/>
          <w:szCs w:val="32"/>
          <w:lang w:eastAsia="zh-CN"/>
          <w14:textFill>
            <w14:solidFill>
              <w14:schemeClr w14:val="tx1"/>
            </w14:solidFill>
          </w14:textFill>
        </w:rPr>
        <w:t>元，项目支出</w:t>
      </w:r>
      <w:r>
        <w:rPr>
          <w:rFonts w:hint="eastAsia" w:ascii="仿宋" w:hAnsi="仿宋" w:eastAsia="仿宋" w:cs="仿宋"/>
          <w:color w:val="000000" w:themeColor="text1"/>
          <w:sz w:val="32"/>
          <w:szCs w:val="32"/>
          <w:lang w:val="en-US" w:eastAsia="zh-CN"/>
          <w14:textFill>
            <w14:solidFill>
              <w14:schemeClr w14:val="tx1"/>
            </w14:solidFill>
          </w14:textFill>
        </w:rPr>
        <w:t>8645.52</w:t>
      </w:r>
      <w:r>
        <w:rPr>
          <w:rFonts w:hint="eastAsia" w:ascii="仿宋" w:hAnsi="仿宋" w:eastAsia="仿宋"/>
          <w:color w:val="000000" w:themeColor="text1"/>
          <w:sz w:val="32"/>
          <w:szCs w:val="32"/>
          <w:lang w:val="en-US" w:eastAsia="zh-CN"/>
          <w14:textFill>
            <w14:solidFill>
              <w14:schemeClr w14:val="tx1"/>
            </w14:solidFill>
          </w14:textFill>
        </w:rPr>
        <w:t>万</w:t>
      </w:r>
      <w:r>
        <w:rPr>
          <w:rFonts w:hint="eastAsia" w:ascii="仿宋" w:hAnsi="仿宋" w:eastAsia="仿宋"/>
          <w:color w:val="000000" w:themeColor="text1"/>
          <w:sz w:val="32"/>
          <w:szCs w:val="32"/>
          <w:lang w:eastAsia="zh-CN"/>
          <w14:textFill>
            <w14:solidFill>
              <w14:schemeClr w14:val="tx1"/>
            </w14:solidFill>
          </w14:textFill>
        </w:rPr>
        <w:t>元。</w:t>
      </w:r>
    </w:p>
    <w:p w14:paraId="22030421">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3、资金结存情况：财政拨款结转结余</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元，其中财政拨款结转（项目结转）</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元，财政结余</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元，非财政拨款收入</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w:t>
      </w:r>
    </w:p>
    <w:p w14:paraId="70211348">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2024年部门预算完成情况如下：</w:t>
      </w:r>
    </w:p>
    <w:p w14:paraId="69097CB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202</w:t>
      </w:r>
      <w:r>
        <w:rPr>
          <w:rFonts w:hint="eastAsia" w:ascii="仿宋" w:hAnsi="仿宋" w:eastAsia="仿宋" w:cs="仿宋"/>
          <w:color w:val="000000" w:themeColor="text1"/>
          <w:sz w:val="32"/>
          <w:szCs w:val="32"/>
          <w:lang w:val="en-US" w:eastAsia="zh-CN"/>
          <w14:textFill>
            <w14:solidFill>
              <w14:schemeClr w14:val="tx1"/>
            </w14:solidFill>
          </w14:textFill>
        </w:rPr>
        <w:t>4</w:t>
      </w:r>
      <w:r>
        <w:rPr>
          <w:rFonts w:hint="eastAsia" w:ascii="仿宋" w:hAnsi="仿宋" w:eastAsia="仿宋" w:cs="仿宋"/>
          <w:color w:val="000000" w:themeColor="text1"/>
          <w:sz w:val="32"/>
          <w:szCs w:val="32"/>
          <w:lang w:eastAsia="zh-CN"/>
          <w14:textFill>
            <w14:solidFill>
              <w14:schemeClr w14:val="tx1"/>
            </w14:solidFill>
          </w14:textFill>
        </w:rPr>
        <w:t>年预算收入</w:t>
      </w:r>
      <w:r>
        <w:rPr>
          <w:rFonts w:hint="eastAsia" w:ascii="仿宋" w:hAnsi="仿宋" w:eastAsia="仿宋" w:cs="仿宋"/>
          <w:color w:val="000000" w:themeColor="text1"/>
          <w:sz w:val="32"/>
          <w:szCs w:val="32"/>
          <w:lang w:val="en-US" w:eastAsia="zh-CN"/>
          <w14:textFill>
            <w14:solidFill>
              <w14:schemeClr w14:val="tx1"/>
            </w14:solidFill>
          </w14:textFill>
        </w:rPr>
        <w:t>12193.87</w:t>
      </w:r>
      <w:r>
        <w:rPr>
          <w:rFonts w:hint="eastAsia" w:ascii="仿宋" w:hAnsi="仿宋" w:eastAsia="仿宋" w:cs="仿宋"/>
          <w:color w:val="000000" w:themeColor="text1"/>
          <w:sz w:val="32"/>
          <w:szCs w:val="32"/>
          <w:lang w:eastAsia="zh-CN"/>
          <w14:textFill>
            <w14:solidFill>
              <w14:schemeClr w14:val="tx1"/>
            </w14:solidFill>
          </w14:textFill>
        </w:rPr>
        <w:t>万元，其中：一般公共预算收入</w:t>
      </w:r>
      <w:bookmarkStart w:id="1" w:name="OLE_LINK3"/>
      <w:r>
        <w:rPr>
          <w:rFonts w:hint="eastAsia" w:ascii="仿宋" w:hAnsi="仿宋" w:eastAsia="仿宋" w:cs="仿宋"/>
          <w:color w:val="000000" w:themeColor="text1"/>
          <w:sz w:val="32"/>
          <w:szCs w:val="32"/>
          <w:lang w:val="en-US" w:eastAsia="zh-CN"/>
          <w14:textFill>
            <w14:solidFill>
              <w14:schemeClr w14:val="tx1"/>
            </w14:solidFill>
          </w14:textFill>
        </w:rPr>
        <w:t>3013.45</w:t>
      </w:r>
      <w:bookmarkEnd w:id="1"/>
      <w:r>
        <w:rPr>
          <w:rFonts w:hint="eastAsia" w:ascii="仿宋" w:hAnsi="仿宋" w:eastAsia="仿宋" w:cs="仿宋"/>
          <w:color w:val="000000" w:themeColor="text1"/>
          <w:sz w:val="32"/>
          <w:szCs w:val="32"/>
          <w:lang w:eastAsia="zh-CN"/>
          <w14:textFill>
            <w14:solidFill>
              <w14:schemeClr w14:val="tx1"/>
            </w14:solidFill>
          </w14:textFill>
        </w:rPr>
        <w:t>万元，基金预算收入</w:t>
      </w:r>
      <w:r>
        <w:rPr>
          <w:rFonts w:hint="eastAsia" w:ascii="仿宋" w:hAnsi="仿宋" w:eastAsia="仿宋" w:cs="仿宋"/>
          <w:color w:val="000000" w:themeColor="text1"/>
          <w:sz w:val="32"/>
          <w:szCs w:val="32"/>
          <w:lang w:val="en-US" w:eastAsia="zh-CN"/>
          <w14:textFill>
            <w14:solidFill>
              <w14:schemeClr w14:val="tx1"/>
            </w14:solidFill>
          </w14:textFill>
        </w:rPr>
        <w:t>9115.42</w:t>
      </w:r>
      <w:r>
        <w:rPr>
          <w:rFonts w:hint="eastAsia" w:ascii="仿宋" w:hAnsi="仿宋" w:eastAsia="仿宋" w:cs="仿宋"/>
          <w:color w:val="000000" w:themeColor="text1"/>
          <w:sz w:val="32"/>
          <w:szCs w:val="32"/>
          <w:lang w:eastAsia="zh-CN"/>
          <w14:textFill>
            <w14:solidFill>
              <w14:schemeClr w14:val="tx1"/>
            </w14:solidFill>
          </w14:textFill>
        </w:rPr>
        <w:t>万元，一般债券收入</w:t>
      </w:r>
      <w:r>
        <w:rPr>
          <w:rFonts w:hint="eastAsia" w:ascii="仿宋" w:hAnsi="仿宋" w:eastAsia="仿宋" w:cs="仿宋"/>
          <w:color w:val="000000" w:themeColor="text1"/>
          <w:sz w:val="32"/>
          <w:szCs w:val="32"/>
          <w:lang w:val="en-US" w:eastAsia="zh-CN"/>
          <w14:textFill>
            <w14:solidFill>
              <w14:schemeClr w14:val="tx1"/>
            </w14:solidFill>
          </w14:textFill>
        </w:rPr>
        <w:t>65万元，</w:t>
      </w:r>
      <w:r>
        <w:rPr>
          <w:rFonts w:hint="eastAsia" w:ascii="仿宋" w:hAnsi="仿宋" w:eastAsia="仿宋" w:cs="仿宋"/>
          <w:color w:val="000000" w:themeColor="text1"/>
          <w:sz w:val="32"/>
          <w:szCs w:val="32"/>
          <w:lang w:eastAsia="zh-CN"/>
          <w14:textFill>
            <w14:solidFill>
              <w14:schemeClr w14:val="tx1"/>
            </w14:solidFill>
          </w14:textFill>
        </w:rPr>
        <w:t>财政专户核拨收入0万元，其他来源收入</w:t>
      </w:r>
      <w:r>
        <w:rPr>
          <w:rFonts w:hint="eastAsia" w:ascii="仿宋" w:hAnsi="仿宋" w:eastAsia="仿宋" w:cs="仿宋"/>
          <w:color w:val="000000" w:themeColor="text1"/>
          <w:sz w:val="32"/>
          <w:szCs w:val="32"/>
          <w:lang w:val="en-US" w:eastAsia="zh-CN"/>
          <w14:textFill>
            <w14:solidFill>
              <w14:schemeClr w14:val="tx1"/>
            </w14:solidFill>
          </w14:textFill>
        </w:rPr>
        <w:t>0</w:t>
      </w:r>
      <w:r>
        <w:rPr>
          <w:rFonts w:hint="eastAsia" w:ascii="仿宋" w:hAnsi="仿宋" w:eastAsia="仿宋" w:cs="仿宋"/>
          <w:color w:val="000000" w:themeColor="text1"/>
          <w:sz w:val="32"/>
          <w:szCs w:val="32"/>
          <w:lang w:eastAsia="zh-CN"/>
          <w14:textFill>
            <w14:solidFill>
              <w14:schemeClr w14:val="tx1"/>
            </w14:solidFill>
          </w14:textFill>
        </w:rPr>
        <w:t>万元。</w:t>
      </w:r>
    </w:p>
    <w:p w14:paraId="2F883F5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41457469">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Times New Roman" w:hAnsi="Times New Roman" w:eastAsia="仿宋" w:cs="Times New Roman"/>
          <w:sz w:val="32"/>
          <w:szCs w:val="32"/>
        </w:rPr>
      </w:pPr>
      <w:r>
        <w:rPr>
          <w:rFonts w:hint="eastAsia" w:ascii="仿宋" w:hAnsi="仿宋" w:eastAsia="仿宋" w:cs="黑体"/>
          <w:sz w:val="32"/>
          <w:szCs w:val="32"/>
          <w:lang w:val="en-US" w:eastAsia="zh-CN"/>
        </w:rPr>
        <w:t>1.</w:t>
      </w:r>
      <w:r>
        <w:rPr>
          <w:rFonts w:hint="eastAsia" w:ascii="仿宋" w:hAnsi="仿宋" w:eastAsia="仿宋" w:cs="黑体"/>
          <w:sz w:val="32"/>
          <w:szCs w:val="32"/>
        </w:rPr>
        <w:t>部门总目标：</w:t>
      </w:r>
      <w:r>
        <w:rPr>
          <w:rFonts w:hint="eastAsia" w:ascii="Times New Roman" w:hAnsi="Times New Roman" w:eastAsia="仿宋" w:cs="Times New Roman"/>
          <w:sz w:val="32"/>
          <w:szCs w:val="32"/>
        </w:rPr>
        <w:t>围绕区域发展，强化规划编制，落实重大民生工程、公益性设施等项目指标的分配落实。聚集保障发展，优化土地供应，完成编制《</w:t>
      </w:r>
      <w:r>
        <w:rPr>
          <w:rFonts w:hint="eastAsia" w:eastAsia="仿宋" w:cs="Times New Roman"/>
          <w:sz w:val="32"/>
          <w:szCs w:val="32"/>
          <w:lang w:eastAsia="zh-CN"/>
        </w:rPr>
        <w:t>年度</w:t>
      </w:r>
      <w:r>
        <w:rPr>
          <w:rFonts w:hint="eastAsia" w:ascii="Times New Roman" w:hAnsi="Times New Roman" w:eastAsia="仿宋" w:cs="Times New Roman"/>
          <w:sz w:val="32"/>
          <w:szCs w:val="32"/>
        </w:rPr>
        <w:t>土地供应计划》，完成基本农田调查摸底和基本农田储备区划定工作的数据收集、整理、上报。管建并举，保护资源，提升土地执法规范化水平，加大动态巡查力度，严肃查处违法用地案件。以民为本，服务民生，全面提高办事效率和服务水平，实行首问首办负责制，一次性告知制度，实现“一个窗口”服务和管理。加强林业管理，高标准、高质量完成全年绿化任务，认真落实上级经济林验收工作，抓好林政资源保护。加强作风建设，积极进取，奋发有为，为我区经济社会发展作出应有的贡献。</w:t>
      </w:r>
    </w:p>
    <w:p w14:paraId="12570E7E">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default" w:ascii="仿宋" w:hAnsi="仿宋" w:eastAsia="仿宋" w:cs="仿宋_GB2312"/>
          <w:sz w:val="32"/>
          <w:szCs w:val="32"/>
          <w:lang w:val="en-US" w:eastAsia="zh-CN"/>
        </w:rPr>
      </w:pPr>
      <w:r>
        <w:rPr>
          <w:rFonts w:hint="eastAsia" w:ascii="仿宋" w:hAnsi="仿宋" w:eastAsia="仿宋" w:cs="仿宋_GB2312"/>
          <w:sz w:val="32"/>
          <w:szCs w:val="32"/>
          <w:lang w:val="en-US" w:eastAsia="zh-CN"/>
        </w:rPr>
        <w:t>2.</w:t>
      </w:r>
      <w:r>
        <w:rPr>
          <w:rFonts w:hint="eastAsia" w:ascii="仿宋" w:hAnsi="仿宋" w:eastAsia="仿宋" w:cs="仿宋_GB2312"/>
          <w:sz w:val="32"/>
          <w:szCs w:val="32"/>
        </w:rPr>
        <w:t>预决算公开：</w:t>
      </w:r>
      <w:r>
        <w:rPr>
          <w:rFonts w:hint="eastAsia" w:ascii="仿宋" w:hAnsi="仿宋" w:eastAsia="仿宋" w:cs="仿宋_GB2312"/>
          <w:sz w:val="32"/>
          <w:szCs w:val="32"/>
          <w:lang w:val="en-US" w:eastAsia="zh-CN"/>
        </w:rPr>
        <w:t>2024年度部门决算、部门预算、专项资金和部门整体支出预算绩效目标按财政规定及时规范完成地进行了申报，并在政府网上进行了公开。</w:t>
      </w:r>
    </w:p>
    <w:p w14:paraId="52C63EC2">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3.</w:t>
      </w:r>
      <w:r>
        <w:rPr>
          <w:rFonts w:hint="eastAsia" w:ascii="仿宋" w:hAnsi="仿宋" w:eastAsia="仿宋" w:cs="仿宋_GB2312"/>
          <w:sz w:val="32"/>
          <w:szCs w:val="32"/>
        </w:rPr>
        <w:t>资产管理：严格执行《固定资产管理制度》，实行固定资产统一管理，专人负责固定资产的分类，统一编号，建立固定资产档案，登记账卡，负责审批并办理验收、调拨、报废、封存、启用等事项，保证账、卡、物三相符。</w:t>
      </w:r>
    </w:p>
    <w:p w14:paraId="693D472F">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4.</w:t>
      </w:r>
      <w:r>
        <w:rPr>
          <w:rFonts w:hint="eastAsia" w:ascii="仿宋" w:hAnsi="仿宋" w:eastAsia="仿宋" w:cs="仿宋_GB2312"/>
          <w:sz w:val="32"/>
          <w:szCs w:val="32"/>
        </w:rPr>
        <w:t>三公经费控制情况：我局在认真贯彻落实厉行节约、严控“三公”经费、降低一般运行经费、加强项目支出管理等方面取得了一定的成绩。</w:t>
      </w:r>
      <w:r>
        <w:rPr>
          <w:rFonts w:hint="eastAsia" w:ascii="仿宋" w:hAnsi="仿宋" w:eastAsia="仿宋" w:cs="仿宋_GB2312"/>
          <w:sz w:val="32"/>
          <w:szCs w:val="32"/>
          <w:lang w:eastAsia="zh-CN"/>
        </w:rPr>
        <w:t>按照区财政要求，</w:t>
      </w:r>
      <w:r>
        <w:rPr>
          <w:rFonts w:hint="eastAsia" w:ascii="仿宋" w:hAnsi="仿宋" w:eastAsia="仿宋" w:cs="仿宋_GB2312"/>
          <w:sz w:val="32"/>
          <w:szCs w:val="32"/>
        </w:rPr>
        <w:t>实行“三公”经费预算和公示制度，有效地控制“三公”经费支出。实际支出没有超出预算规模、范围和标准，没有挤占、摊派、乱收费和转移“三公”经费支出的行为。公务接待费无出国（境）差旅费。</w:t>
      </w:r>
    </w:p>
    <w:p w14:paraId="5DB58C8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5.</w:t>
      </w:r>
      <w:r>
        <w:rPr>
          <w:rFonts w:hint="eastAsia" w:ascii="仿宋" w:hAnsi="仿宋" w:eastAsia="仿宋" w:cs="仿宋_GB2312"/>
          <w:sz w:val="32"/>
          <w:szCs w:val="32"/>
        </w:rPr>
        <w:t>内部管理制度建设：</w:t>
      </w:r>
      <w:r>
        <w:rPr>
          <w:rFonts w:hint="eastAsia" w:ascii="仿宋" w:hAnsi="仿宋" w:eastAsia="仿宋" w:cs="仿宋_GB2312"/>
          <w:sz w:val="32"/>
          <w:szCs w:val="32"/>
          <w:lang w:eastAsia="zh-CN"/>
        </w:rPr>
        <w:t>我局建立了一系列内部管理制度：《部门预算绩效管理制度》、《内部控制制度》、《重大经济事项决策制度》等，制度建设较为完善。</w:t>
      </w:r>
    </w:p>
    <w:p w14:paraId="24120D5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lang w:val="en-US" w:eastAsia="zh-CN"/>
        </w:rPr>
        <w:t>6.</w:t>
      </w:r>
      <w:r>
        <w:rPr>
          <w:rFonts w:hint="eastAsia" w:ascii="仿宋" w:hAnsi="仿宋" w:eastAsia="仿宋" w:cs="仿宋_GB2312"/>
          <w:sz w:val="32"/>
          <w:szCs w:val="32"/>
        </w:rPr>
        <w:t>项目绩效总目标完成情况</w:t>
      </w:r>
      <w:r>
        <w:rPr>
          <w:rFonts w:hint="eastAsia" w:ascii="仿宋" w:hAnsi="仿宋" w:eastAsia="仿宋" w:cs="仿宋_GB2312"/>
          <w:sz w:val="32"/>
          <w:szCs w:val="32"/>
          <w:lang w:eastAsia="zh-CN"/>
        </w:rPr>
        <w:t>：我局重视项目资金的管理，各项开支专款专用。各项目按照财政要求进行绩效自评工作。总体来说，各项目执行与绩效目标基本一致，项目完成率较高。</w:t>
      </w:r>
    </w:p>
    <w:p w14:paraId="2AE03F3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rPr>
        <w:t>从整体情况来看</w:t>
      </w:r>
      <w:r>
        <w:rPr>
          <w:rFonts w:hint="eastAsia" w:ascii="仿宋" w:hAnsi="仿宋" w:eastAsia="仿宋" w:cs="仿宋_GB2312"/>
          <w:sz w:val="32"/>
          <w:szCs w:val="32"/>
          <w:lang w:eastAsia="zh-CN"/>
        </w:rPr>
        <w:t>，</w:t>
      </w:r>
      <w:r>
        <w:rPr>
          <w:rFonts w:ascii="仿宋" w:hAnsi="仿宋" w:eastAsia="仿宋" w:cs="仿宋"/>
          <w:i w:val="0"/>
          <w:caps w:val="0"/>
          <w:color w:val="333333"/>
          <w:spacing w:val="0"/>
          <w:sz w:val="32"/>
          <w:szCs w:val="32"/>
          <w:shd w:val="clear" w:fill="FFFFFF"/>
        </w:rPr>
        <w:t>我局严格按照年初预算使用经费。</w:t>
      </w:r>
      <w:r>
        <w:rPr>
          <w:rFonts w:hint="eastAsia" w:ascii="仿宋" w:hAnsi="仿宋" w:eastAsia="仿宋" w:cs="仿宋_GB2312"/>
          <w:sz w:val="32"/>
          <w:szCs w:val="32"/>
          <w:lang w:eastAsia="zh-CN"/>
        </w:rPr>
        <w:t>在支出管理方面，我们坚决贯彻落实省委省政府关于落实党政机关“过紧日子”的有关精神，严格控制单位行政运行基本支出，有效地降低了行政成本。</w:t>
      </w:r>
      <w:r>
        <w:rPr>
          <w:rFonts w:ascii="仿宋" w:hAnsi="仿宋" w:eastAsia="仿宋" w:cs="仿宋"/>
          <w:i w:val="0"/>
          <w:caps w:val="0"/>
          <w:color w:val="333333"/>
          <w:spacing w:val="0"/>
          <w:sz w:val="32"/>
          <w:szCs w:val="32"/>
          <w:shd w:val="clear" w:fill="FFFFFF"/>
        </w:rPr>
        <w:t>部门支出严格遵守各项规章制度，</w:t>
      </w:r>
      <w:r>
        <w:rPr>
          <w:rFonts w:hint="eastAsia" w:ascii="仿宋" w:hAnsi="仿宋" w:eastAsia="仿宋" w:cs="仿宋"/>
          <w:i w:val="0"/>
          <w:caps w:val="0"/>
          <w:color w:val="333333"/>
          <w:spacing w:val="0"/>
          <w:sz w:val="32"/>
          <w:szCs w:val="32"/>
          <w:shd w:val="clear" w:fill="FFFFFF"/>
        </w:rPr>
        <w:t>在专项经费支出上，严格执行了专款专用制度，无截留、无挪用等现象。</w:t>
      </w:r>
    </w:p>
    <w:p w14:paraId="44E0F135">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6D1417B6">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097DED8B">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val="en-US" w:eastAsia="zh-CN"/>
        </w:rPr>
        <w:t>按照上级文件的有关要求，结合我单位实际情况，经局办公会研究决定，成立了以梁喜辉局长为组长的自评领导小组，明确了主管领导及业务科室等相关负责人，制定了2024年自评工作方案，为自评工作做好准备。</w:t>
      </w:r>
    </w:p>
    <w:p w14:paraId="27A733B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06ABCE18">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2024年我单位自评绩效项目共有21个，由自评工作小组负责实施项目绩效自评工作，首先对2024年度21个项目的实际完成情况进行了解，与年初预算制定的绩效目标相比较，均已完成年初预算绩效目标；其次对项目资金的使用情况进行评价，通过查阅有关项目收入支出明细账，审核项目资金是否专款专用、支出进度是否达到年初计划；最后，对项目实施过程中存在的问题进行分析讨论，并提出可行性建议和措施。</w:t>
      </w:r>
    </w:p>
    <w:p w14:paraId="2B8E65B9">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rPr>
      </w:pPr>
      <w:r>
        <w:rPr>
          <w:rFonts w:hint="eastAsia" w:ascii="仿宋" w:hAnsi="仿宋" w:eastAsia="仿宋" w:cs="仿宋"/>
          <w:sz w:val="32"/>
          <w:szCs w:val="32"/>
          <w:lang w:val="en-US" w:eastAsia="zh-CN"/>
        </w:rPr>
        <w:t>经自评得出，2024年我单位自评绩效项目共21个，其中，政府性基金项目8个，一般公共预算项目12个，一般债券项目1个</w:t>
      </w:r>
      <w:r>
        <w:rPr>
          <w:rFonts w:hint="eastAsia" w:ascii="仿宋" w:hAnsi="仿宋" w:eastAsia="仿宋" w:cs="仿宋"/>
          <w:color w:val="auto"/>
          <w:sz w:val="32"/>
          <w:szCs w:val="32"/>
          <w:lang w:val="en-US" w:eastAsia="zh-CN"/>
        </w:rPr>
        <w:t>；自评</w:t>
      </w:r>
      <w:r>
        <w:rPr>
          <w:rFonts w:hint="eastAsia" w:ascii="仿宋" w:hAnsi="仿宋" w:eastAsia="仿宋" w:cs="仿宋"/>
          <w:color w:val="auto"/>
          <w:sz w:val="32"/>
          <w:szCs w:val="32"/>
          <w:lang w:eastAsia="zh-CN"/>
        </w:rPr>
        <w:t>绩效项目资金</w:t>
      </w:r>
      <w:r>
        <w:rPr>
          <w:rFonts w:hint="eastAsia" w:ascii="仿宋" w:hAnsi="仿宋" w:eastAsia="仿宋" w:cs="仿宋"/>
          <w:color w:val="auto"/>
          <w:sz w:val="32"/>
          <w:szCs w:val="32"/>
          <w:lang w:val="en-US" w:eastAsia="zh-CN"/>
        </w:rPr>
        <w:t>9795.52万元，其中，政府性基金7031.47万元（上级下达资金1823.23万元），一般公共预算资金2699.05万元（上级下达资金174.39万元），21个项目的资金预算安排较为合理，实际资金与预算资金基本一致。</w:t>
      </w:r>
    </w:p>
    <w:p w14:paraId="5410A605">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01662F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5E6E1AEC">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仿宋_GB2312" w:hAnsi="仿宋_GB2312" w:eastAsia="仿宋_GB2312" w:cs="仿宋_GB2312"/>
          <w:sz w:val="32"/>
          <w:szCs w:val="32"/>
          <w:highlight w:val="none"/>
          <w:lang w:eastAsia="zh-CN"/>
        </w:rPr>
      </w:pPr>
      <w:bookmarkStart w:id="2" w:name="OLE_LINK8"/>
      <w:r>
        <w:rPr>
          <w:rFonts w:hint="eastAsia" w:ascii="仿宋" w:hAnsi="仿宋" w:eastAsia="仿宋" w:cs="仿宋"/>
          <w:sz w:val="32"/>
          <w:szCs w:val="32"/>
          <w:lang w:val="en-US" w:eastAsia="zh-CN"/>
        </w:rPr>
        <w:t>2024年我单位较高效率地使用了各专项资金，基本完成了各项目的绩效目标，圆满完成了土地规划利用、不动产登记、林业占地补助等各项工作，根据各项目执行情况、项目绩效情况和指标体系，项目综合评价均为优秀。</w:t>
      </w:r>
      <w:bookmarkEnd w:id="2"/>
    </w:p>
    <w:p w14:paraId="56DB32A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分项绩效目标实现情况及指标分析</w:t>
      </w:r>
    </w:p>
    <w:p w14:paraId="2DE4E02B">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仿宋" w:hAnsi="仿宋" w:eastAsia="仿宋"/>
          <w:sz w:val="32"/>
          <w:szCs w:val="32"/>
          <w:lang w:eastAsia="zh-CN"/>
        </w:rPr>
      </w:pPr>
      <w:r>
        <w:rPr>
          <w:rFonts w:hint="eastAsia" w:ascii="仿宋" w:hAnsi="仿宋" w:eastAsia="仿宋" w:cs="仿宋"/>
          <w:sz w:val="32"/>
          <w:szCs w:val="32"/>
          <w:lang w:val="en-US" w:eastAsia="zh-CN"/>
        </w:rPr>
        <w:t>1.2021-2024出让金相关费用。该项目资金用于按时完成全年土地出让金缴纳的税费</w:t>
      </w:r>
      <w:r>
        <w:rPr>
          <w:rFonts w:hint="eastAsia" w:ascii="仿宋" w:hAnsi="仿宋" w:eastAsia="仿宋"/>
          <w:sz w:val="32"/>
          <w:szCs w:val="32"/>
          <w:lang w:eastAsia="zh-CN"/>
        </w:rPr>
        <w:t>，需要</w:t>
      </w:r>
      <w:r>
        <w:rPr>
          <w:rFonts w:hint="eastAsia" w:ascii="仿宋" w:hAnsi="仿宋" w:eastAsia="仿宋"/>
          <w:sz w:val="32"/>
          <w:szCs w:val="32"/>
          <w:lang w:val="en-US" w:eastAsia="zh-CN"/>
        </w:rPr>
        <w:t>180.99</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180.99</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179.62</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99.25</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99.25%</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0FECB51D">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jc w:val="left"/>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2.拨付土地收储前期费用。</w:t>
      </w:r>
      <w:r>
        <w:rPr>
          <w:rFonts w:hint="eastAsia" w:ascii="仿宋" w:hAnsi="仿宋" w:eastAsia="仿宋" w:cs="仿宋"/>
          <w:sz w:val="32"/>
          <w:szCs w:val="32"/>
          <w:lang w:val="en-US" w:eastAsia="zh-CN"/>
        </w:rPr>
        <w:t>该项目资金用于缴纳耕地占用税，顺利完成土地出让工作</w:t>
      </w:r>
      <w:r>
        <w:rPr>
          <w:rFonts w:hint="eastAsia" w:ascii="仿宋" w:hAnsi="仿宋" w:eastAsia="仿宋"/>
          <w:sz w:val="32"/>
          <w:szCs w:val="32"/>
          <w:lang w:eastAsia="zh-CN"/>
        </w:rPr>
        <w:t>，需要</w:t>
      </w:r>
      <w:bookmarkStart w:id="3" w:name="OLE_LINK1"/>
      <w:r>
        <w:rPr>
          <w:rFonts w:hint="eastAsia" w:ascii="仿宋" w:hAnsi="仿宋" w:eastAsia="仿宋"/>
          <w:sz w:val="32"/>
          <w:szCs w:val="32"/>
          <w:lang w:val="en-US" w:eastAsia="zh-CN"/>
        </w:rPr>
        <w:t>3981.37</w:t>
      </w:r>
      <w:bookmarkEnd w:id="3"/>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3981.37</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3981.37</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63B9B769">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3.补发申华敏、彭彦霞、石峰三人工资及单位应补缴费用（2020-2021）。</w:t>
      </w:r>
      <w:r>
        <w:rPr>
          <w:rFonts w:hint="eastAsia" w:ascii="仿宋" w:hAnsi="仿宋" w:eastAsia="仿宋"/>
          <w:sz w:val="32"/>
          <w:szCs w:val="32"/>
          <w:lang w:eastAsia="zh-CN"/>
        </w:rPr>
        <w:t>该项目资金用于补发职工工资，需要</w:t>
      </w:r>
      <w:r>
        <w:rPr>
          <w:rFonts w:hint="eastAsia" w:ascii="仿宋" w:hAnsi="仿宋" w:eastAsia="仿宋"/>
          <w:sz w:val="32"/>
          <w:szCs w:val="32"/>
          <w:lang w:val="en-US" w:eastAsia="zh-CN"/>
        </w:rPr>
        <w:t>7.82</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7.82</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7.82</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361F0EE3">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4.京石高铁、石黄及307国道、京港澳高速绿化带占地补。</w:t>
      </w:r>
      <w:r>
        <w:rPr>
          <w:rFonts w:hint="eastAsia" w:ascii="仿宋" w:hAnsi="仿宋" w:eastAsia="仿宋"/>
          <w:sz w:val="32"/>
          <w:szCs w:val="32"/>
          <w:lang w:eastAsia="zh-CN"/>
        </w:rPr>
        <w:t>该项目资金用于兑现京石高铁、石黄及307国道、京港澳高速绿化带绿化占地补，需要631万元。资金预算安排为631万元，实际到位数和执行数为631万元，资金到位率100%，预算执行率100%。根据项目执行情况和项目绩效情况，总得分</w:t>
      </w:r>
      <w:r>
        <w:rPr>
          <w:rFonts w:hint="eastAsia" w:ascii="仿宋" w:hAnsi="仿宋" w:eastAsia="仿宋"/>
          <w:sz w:val="32"/>
          <w:szCs w:val="32"/>
          <w:lang w:val="en-US" w:eastAsia="zh-CN"/>
        </w:rPr>
        <w:t>99</w:t>
      </w:r>
      <w:r>
        <w:rPr>
          <w:rFonts w:hint="eastAsia" w:ascii="仿宋" w:hAnsi="仿宋" w:eastAsia="仿宋"/>
          <w:sz w:val="32"/>
          <w:szCs w:val="32"/>
          <w:lang w:eastAsia="zh-CN"/>
        </w:rPr>
        <w:t>分，项目综合绩效评价等级优秀。</w:t>
      </w:r>
    </w:p>
    <w:p w14:paraId="4B01A8F2">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jc w:val="left"/>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5.</w:t>
      </w:r>
      <w:r>
        <w:rPr>
          <w:rFonts w:hint="eastAsia" w:ascii="仿宋" w:hAnsi="仿宋" w:eastAsia="仿宋"/>
          <w:sz w:val="32"/>
          <w:szCs w:val="32"/>
          <w:lang w:eastAsia="zh-CN"/>
        </w:rPr>
        <w:t>劳务派遣和保安保洁人员工资。该项目资金用于劳务派遣人员的工资、保险、差旅费、中介管理费等基本支出，需要</w:t>
      </w:r>
      <w:bookmarkStart w:id="4" w:name="OLE_LINK4"/>
      <w:r>
        <w:rPr>
          <w:rFonts w:hint="eastAsia" w:ascii="仿宋" w:hAnsi="仿宋" w:eastAsia="仿宋"/>
          <w:sz w:val="32"/>
          <w:szCs w:val="32"/>
          <w:lang w:eastAsia="zh-CN"/>
        </w:rPr>
        <w:t>253.1</w:t>
      </w:r>
      <w:r>
        <w:rPr>
          <w:rFonts w:hint="eastAsia" w:ascii="仿宋" w:hAnsi="仿宋" w:eastAsia="仿宋"/>
          <w:sz w:val="32"/>
          <w:szCs w:val="32"/>
          <w:lang w:val="en-US" w:eastAsia="zh-CN"/>
        </w:rPr>
        <w:t>4</w:t>
      </w:r>
      <w:bookmarkEnd w:id="4"/>
      <w:r>
        <w:rPr>
          <w:rFonts w:hint="eastAsia" w:ascii="仿宋" w:hAnsi="仿宋" w:eastAsia="仿宋"/>
          <w:sz w:val="32"/>
          <w:szCs w:val="32"/>
          <w:lang w:eastAsia="zh-CN"/>
        </w:rPr>
        <w:t>万元。资金预算安排为253.1</w:t>
      </w:r>
      <w:r>
        <w:rPr>
          <w:rFonts w:hint="eastAsia" w:ascii="仿宋" w:hAnsi="仿宋" w:eastAsia="仿宋"/>
          <w:sz w:val="32"/>
          <w:szCs w:val="32"/>
          <w:lang w:val="en-US" w:eastAsia="zh-CN"/>
        </w:rPr>
        <w:t>4</w:t>
      </w:r>
      <w:r>
        <w:rPr>
          <w:rFonts w:hint="eastAsia" w:ascii="仿宋" w:hAnsi="仿宋" w:eastAsia="仿宋"/>
          <w:sz w:val="32"/>
          <w:szCs w:val="32"/>
          <w:lang w:eastAsia="zh-CN"/>
        </w:rPr>
        <w:t>万元，实际到位数和执行数为251.38万元，资金到位率99.31%，预算执行率99.31%。根据项目执行情况和项目绩效情况，总得分98.5分，项目综合绩效评价等级优秀。</w:t>
      </w:r>
    </w:p>
    <w:p w14:paraId="4388DF4C">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jc w:val="left"/>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6.</w:t>
      </w:r>
      <w:r>
        <w:rPr>
          <w:rFonts w:hint="eastAsia" w:ascii="仿宋" w:hAnsi="仿宋" w:eastAsia="仿宋"/>
          <w:sz w:val="32"/>
          <w:szCs w:val="32"/>
          <w:lang w:eastAsia="zh-CN"/>
        </w:rPr>
        <w:t>周汉河两侧、汪洋沟绿化占地补。该项目资金用于兑现周汉河两侧、汪洋沟绿化占地补，需要</w:t>
      </w:r>
      <w:bookmarkStart w:id="5" w:name="OLE_LINK5"/>
      <w:r>
        <w:rPr>
          <w:rFonts w:hint="eastAsia" w:ascii="仿宋" w:hAnsi="仿宋" w:eastAsia="仿宋"/>
          <w:sz w:val="32"/>
          <w:szCs w:val="32"/>
          <w:lang w:val="en-US" w:eastAsia="zh-CN"/>
        </w:rPr>
        <w:t>229</w:t>
      </w:r>
      <w:bookmarkEnd w:id="5"/>
      <w:r>
        <w:rPr>
          <w:rFonts w:hint="eastAsia" w:ascii="仿宋" w:hAnsi="仿宋" w:eastAsia="仿宋"/>
          <w:sz w:val="32"/>
          <w:szCs w:val="32"/>
          <w:lang w:eastAsia="zh-CN"/>
        </w:rPr>
        <w:t>万元。资金预算安排为</w:t>
      </w:r>
      <w:r>
        <w:rPr>
          <w:rFonts w:hint="eastAsia" w:ascii="仿宋" w:hAnsi="仿宋" w:eastAsia="仿宋"/>
          <w:sz w:val="32"/>
          <w:szCs w:val="32"/>
          <w:lang w:val="en-US" w:eastAsia="zh-CN"/>
        </w:rPr>
        <w:t>229</w:t>
      </w:r>
      <w:r>
        <w:rPr>
          <w:rFonts w:hint="eastAsia" w:ascii="仿宋" w:hAnsi="仿宋" w:eastAsia="仿宋"/>
          <w:sz w:val="32"/>
          <w:szCs w:val="32"/>
          <w:lang w:eastAsia="zh-CN"/>
        </w:rPr>
        <w:t>万元，实际到位数和执行数为</w:t>
      </w:r>
      <w:r>
        <w:rPr>
          <w:rFonts w:hint="eastAsia" w:ascii="仿宋" w:hAnsi="仿宋" w:eastAsia="仿宋"/>
          <w:sz w:val="32"/>
          <w:szCs w:val="32"/>
          <w:lang w:val="en-US" w:eastAsia="zh-CN"/>
        </w:rPr>
        <w:t>229</w:t>
      </w:r>
      <w:r>
        <w:rPr>
          <w:rFonts w:hint="eastAsia" w:ascii="仿宋" w:hAnsi="仿宋" w:eastAsia="仿宋"/>
          <w:sz w:val="32"/>
          <w:szCs w:val="32"/>
          <w:lang w:eastAsia="zh-CN"/>
        </w:rPr>
        <w:t>万元，资金到位率100%，预算执行率100%。根据项目执行情况和项目绩效情况，总得分99分，项目综合绩效评价等级优秀。</w:t>
      </w:r>
    </w:p>
    <w:p w14:paraId="1BE106F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7.</w:t>
      </w:r>
      <w:r>
        <w:rPr>
          <w:rFonts w:hint="eastAsia" w:ascii="仿宋" w:hAnsi="仿宋" w:eastAsia="仿宋"/>
          <w:sz w:val="32"/>
          <w:szCs w:val="32"/>
          <w:lang w:eastAsia="zh-CN"/>
        </w:rPr>
        <w:t>省县道绿化带占地补。该项目资金用于兑现省县道两侧绿化占地补，需要</w:t>
      </w:r>
      <w:r>
        <w:rPr>
          <w:rFonts w:hint="eastAsia" w:ascii="仿宋" w:hAnsi="仿宋" w:eastAsia="仿宋"/>
          <w:sz w:val="32"/>
          <w:szCs w:val="32"/>
          <w:lang w:val="en-US" w:eastAsia="zh-CN"/>
        </w:rPr>
        <w:t>102</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102</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102</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310E36B8">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8.</w:t>
      </w:r>
      <w:r>
        <w:rPr>
          <w:rFonts w:hint="eastAsia" w:ascii="仿宋" w:hAnsi="仿宋" w:eastAsia="仿宋"/>
          <w:sz w:val="32"/>
          <w:szCs w:val="32"/>
          <w:lang w:eastAsia="zh-CN"/>
        </w:rPr>
        <w:t>不动产登记中心租金及办公经费。该项目资金用于为不动产登记中心租赁办公场所，并支付水电物业等办公费用，需要</w:t>
      </w:r>
      <w:r>
        <w:rPr>
          <w:rFonts w:hint="eastAsia" w:ascii="仿宋" w:hAnsi="仿宋" w:eastAsia="仿宋"/>
          <w:sz w:val="32"/>
          <w:szCs w:val="32"/>
          <w:lang w:val="en-US" w:eastAsia="zh-CN"/>
        </w:rPr>
        <w:t>79.71</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79.71</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77.27</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96.94%</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96.94%</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209B628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9.</w:t>
      </w:r>
      <w:r>
        <w:rPr>
          <w:rFonts w:hint="eastAsia" w:ascii="仿宋" w:hAnsi="仿宋" w:eastAsia="仿宋"/>
          <w:sz w:val="32"/>
          <w:szCs w:val="32"/>
          <w:lang w:eastAsia="zh-CN"/>
        </w:rPr>
        <w:t>石财城[2022]67号下达新增建设用地土地有偿使用费（第二批）。该项目资金用于支付新增建设用地土地有偿使用费，需要</w:t>
      </w:r>
      <w:r>
        <w:rPr>
          <w:rFonts w:hint="eastAsia" w:ascii="仿宋" w:hAnsi="仿宋" w:eastAsia="仿宋"/>
          <w:sz w:val="32"/>
          <w:szCs w:val="32"/>
          <w:lang w:val="en-US" w:eastAsia="zh-CN"/>
        </w:rPr>
        <w:t>3</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3万元，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13B3F7C9">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10.</w:t>
      </w:r>
      <w:r>
        <w:rPr>
          <w:rFonts w:hint="eastAsia" w:ascii="仿宋" w:hAnsi="仿宋" w:eastAsia="仿宋"/>
          <w:sz w:val="32"/>
          <w:szCs w:val="32"/>
          <w:lang w:eastAsia="zh-CN"/>
        </w:rPr>
        <w:t>石财农【2023】101号提前下达2024年省级林业改革发展补助资金（造林绿化重点工程奖补-村庄绿化提升村）。该项目资金用于提高村庄绿化面积，创建绿化提升村，需要</w:t>
      </w:r>
      <w:r>
        <w:rPr>
          <w:rFonts w:hint="eastAsia" w:ascii="仿宋" w:hAnsi="仿宋" w:eastAsia="仿宋"/>
          <w:sz w:val="32"/>
          <w:szCs w:val="32"/>
          <w:lang w:val="en-US" w:eastAsia="zh-CN"/>
        </w:rPr>
        <w:t>12</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12</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12</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2AD786E0">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11.石财农【2023】101号提前下达2024年省级林业改革发展补助资金（造林绿化重点工程奖补-省级森林乡村奖补）。</w:t>
      </w:r>
      <w:bookmarkStart w:id="6" w:name="OLE_LINK2"/>
      <w:r>
        <w:rPr>
          <w:rFonts w:hint="eastAsia" w:ascii="仿宋" w:hAnsi="仿宋" w:eastAsia="仿宋"/>
          <w:sz w:val="32"/>
          <w:szCs w:val="32"/>
          <w:lang w:eastAsia="zh-CN"/>
        </w:rPr>
        <w:t>该项目资金用于创建省级森林乡村，需要</w:t>
      </w:r>
      <w:r>
        <w:rPr>
          <w:rFonts w:hint="eastAsia" w:ascii="仿宋" w:hAnsi="仿宋" w:eastAsia="仿宋"/>
          <w:sz w:val="32"/>
          <w:szCs w:val="32"/>
          <w:lang w:val="en-US" w:eastAsia="zh-CN"/>
        </w:rPr>
        <w:t>10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bookmarkEnd w:id="6"/>
    <w:p w14:paraId="6315B56C">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12.</w:t>
      </w:r>
      <w:r>
        <w:rPr>
          <w:rFonts w:hint="default" w:ascii="仿宋" w:hAnsi="仿宋" w:eastAsia="仿宋"/>
          <w:sz w:val="32"/>
          <w:szCs w:val="32"/>
          <w:lang w:val="en-US" w:eastAsia="zh-CN"/>
        </w:rPr>
        <w:t>石财农[2023]39号下达2023年中央林业草原改革发展资金</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w:t>
      </w:r>
      <w:r>
        <w:rPr>
          <w:rFonts w:hint="default" w:ascii="仿宋" w:hAnsi="仿宋" w:eastAsia="仿宋"/>
          <w:sz w:val="32"/>
          <w:szCs w:val="32"/>
          <w:lang w:val="en-US" w:eastAsia="zh-CN"/>
        </w:rPr>
        <w:t>完成林业有害生物防治面积3.16万亩</w:t>
      </w:r>
      <w:r>
        <w:rPr>
          <w:rFonts w:hint="eastAsia" w:ascii="仿宋" w:hAnsi="仿宋" w:eastAsia="仿宋"/>
          <w:sz w:val="32"/>
          <w:szCs w:val="32"/>
          <w:lang w:eastAsia="zh-CN"/>
        </w:rPr>
        <w:t>，需要</w:t>
      </w:r>
      <w:r>
        <w:rPr>
          <w:rFonts w:hint="eastAsia" w:ascii="仿宋" w:hAnsi="仿宋" w:eastAsia="仿宋"/>
          <w:sz w:val="32"/>
          <w:szCs w:val="32"/>
          <w:lang w:val="en-US" w:eastAsia="zh-CN"/>
        </w:rPr>
        <w:t>10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091235A1">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13.石财农[2023]84号下达2023年中央林业草原改革发展资金。</w:t>
      </w:r>
      <w:r>
        <w:rPr>
          <w:rFonts w:hint="eastAsia" w:ascii="仿宋" w:hAnsi="仿宋" w:eastAsia="仿宋"/>
          <w:sz w:val="32"/>
          <w:szCs w:val="32"/>
          <w:lang w:eastAsia="zh-CN"/>
        </w:rPr>
        <w:t>该项目资金用于完成林业有害生物防治面积</w:t>
      </w:r>
      <w:r>
        <w:rPr>
          <w:rFonts w:hint="eastAsia" w:ascii="仿宋" w:hAnsi="仿宋" w:eastAsia="仿宋"/>
          <w:sz w:val="32"/>
          <w:szCs w:val="32"/>
          <w:lang w:val="en-US" w:eastAsia="zh-CN"/>
        </w:rPr>
        <w:t>2.55</w:t>
      </w:r>
      <w:r>
        <w:rPr>
          <w:rFonts w:hint="eastAsia" w:ascii="仿宋" w:hAnsi="仿宋" w:eastAsia="仿宋"/>
          <w:sz w:val="32"/>
          <w:szCs w:val="32"/>
          <w:lang w:eastAsia="zh-CN"/>
        </w:rPr>
        <w:t>万亩，需要</w:t>
      </w:r>
      <w:r>
        <w:rPr>
          <w:rFonts w:hint="eastAsia" w:ascii="仿宋" w:hAnsi="仿宋" w:eastAsia="仿宋"/>
          <w:sz w:val="32"/>
          <w:szCs w:val="32"/>
          <w:lang w:val="en-US" w:eastAsia="zh-CN"/>
        </w:rPr>
        <w:t>10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3657E8F0">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14.石财农〔2022〕100号提前下达2023年市级林业改革发展补助资金（环城林带建设项目)。</w:t>
      </w:r>
      <w:r>
        <w:rPr>
          <w:rFonts w:hint="eastAsia" w:ascii="仿宋" w:hAnsi="仿宋" w:eastAsia="仿宋"/>
          <w:sz w:val="32"/>
          <w:szCs w:val="32"/>
          <w:lang w:eastAsia="zh-CN"/>
        </w:rPr>
        <w:t>该项目资金用于对京港澳高速两侧进行林带建设，打造道路两侧绿色廊道，改善全区生态环境，需要</w:t>
      </w:r>
      <w:r>
        <w:rPr>
          <w:rFonts w:hint="eastAsia" w:ascii="仿宋" w:hAnsi="仿宋" w:eastAsia="仿宋"/>
          <w:sz w:val="32"/>
          <w:szCs w:val="32"/>
          <w:lang w:val="en-US" w:eastAsia="zh-CN"/>
        </w:rPr>
        <w:t>1819.89</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1819.89</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475.45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26</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26%</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471C837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b w:val="0"/>
          <w:bCs w:val="0"/>
          <w:sz w:val="32"/>
          <w:szCs w:val="32"/>
          <w:lang w:val="en-US" w:eastAsia="zh-CN"/>
        </w:rPr>
        <w:t>15.</w:t>
      </w:r>
      <w:r>
        <w:rPr>
          <w:rFonts w:hint="eastAsia" w:ascii="仿宋" w:hAnsi="仿宋" w:eastAsia="仿宋"/>
          <w:b w:val="0"/>
          <w:bCs w:val="0"/>
          <w:sz w:val="32"/>
          <w:szCs w:val="32"/>
          <w:lang w:eastAsia="zh-CN"/>
        </w:rPr>
        <w:t>石财农〔2022〕100号提前下达2023年市级林业改革发展补助资金（太行山和京昆高速及京石高铁两侧绿化补助）。</w:t>
      </w:r>
      <w:r>
        <w:rPr>
          <w:rFonts w:hint="eastAsia" w:ascii="仿宋" w:hAnsi="仿宋" w:eastAsia="仿宋"/>
          <w:sz w:val="32"/>
          <w:szCs w:val="32"/>
          <w:lang w:eastAsia="zh-CN"/>
        </w:rPr>
        <w:t>该项目资金用于兑现京石高铁绿化占地补贴，需要</w:t>
      </w:r>
      <w:r>
        <w:rPr>
          <w:rFonts w:hint="eastAsia" w:ascii="仿宋" w:hAnsi="仿宋" w:eastAsia="仿宋"/>
          <w:sz w:val="32"/>
          <w:szCs w:val="32"/>
          <w:lang w:val="en-US" w:eastAsia="zh-CN"/>
        </w:rPr>
        <w:t>3.94</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3.94</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3.94</w:t>
      </w:r>
      <w:r>
        <w:rPr>
          <w:rFonts w:hint="eastAsia" w:ascii="仿宋" w:hAnsi="仿宋" w:eastAsia="仿宋" w:cs="仿宋"/>
          <w:b w:val="0"/>
          <w:bCs w:val="0"/>
          <w:sz w:val="32"/>
          <w:szCs w:val="32"/>
        </w:rPr>
        <w:t>万元，资金到位率</w:t>
      </w:r>
      <w:bookmarkStart w:id="7" w:name="OLE_LINK7"/>
      <w:r>
        <w:rPr>
          <w:rFonts w:hint="eastAsia" w:ascii="仿宋" w:hAnsi="仿宋" w:eastAsia="仿宋" w:cs="仿宋"/>
          <w:b w:val="0"/>
          <w:bCs w:val="0"/>
          <w:sz w:val="32"/>
          <w:szCs w:val="32"/>
          <w:lang w:val="en-US" w:eastAsia="zh-CN"/>
        </w:rPr>
        <w:t>100</w:t>
      </w:r>
      <w:bookmarkEnd w:id="7"/>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10C3CB27">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jc w:val="left"/>
        <w:textAlignment w:val="auto"/>
        <w:outlineLvl w:val="9"/>
        <w:rPr>
          <w:rFonts w:hint="eastAsia" w:ascii="仿宋" w:hAnsi="仿宋" w:eastAsia="仿宋"/>
          <w:sz w:val="32"/>
          <w:szCs w:val="32"/>
          <w:lang w:eastAsia="zh-CN"/>
        </w:rPr>
      </w:pPr>
      <w:r>
        <w:rPr>
          <w:rFonts w:hint="eastAsia" w:ascii="仿宋" w:hAnsi="仿宋" w:eastAsia="仿宋"/>
          <w:b w:val="0"/>
          <w:bCs w:val="0"/>
          <w:sz w:val="32"/>
          <w:szCs w:val="32"/>
          <w:lang w:val="en-US" w:eastAsia="zh-CN"/>
        </w:rPr>
        <w:t>16.</w:t>
      </w:r>
      <w:r>
        <w:rPr>
          <w:rFonts w:hint="eastAsia" w:ascii="仿宋" w:hAnsi="仿宋" w:eastAsia="仿宋"/>
          <w:b w:val="0"/>
          <w:bCs w:val="0"/>
          <w:sz w:val="32"/>
          <w:szCs w:val="32"/>
          <w:lang w:eastAsia="zh-CN"/>
        </w:rPr>
        <w:t>聘请第三方服务经费（藁城区中心城区总体城市设计）。</w:t>
      </w:r>
      <w:r>
        <w:rPr>
          <w:rFonts w:hint="eastAsia" w:ascii="仿宋" w:hAnsi="仿宋" w:eastAsia="仿宋"/>
          <w:sz w:val="32"/>
          <w:szCs w:val="32"/>
          <w:lang w:eastAsia="zh-CN"/>
        </w:rPr>
        <w:t>该项目资金用于编制完成藁城区中心城区总体城市设计，组织城市开放空间系统、划定城市特色风貌区，需要</w:t>
      </w:r>
      <w:r>
        <w:rPr>
          <w:rFonts w:hint="eastAsia" w:ascii="仿宋" w:hAnsi="仿宋" w:eastAsia="仿宋"/>
          <w:sz w:val="32"/>
          <w:szCs w:val="32"/>
          <w:lang w:val="en-US" w:eastAsia="zh-CN"/>
        </w:rPr>
        <w:t>35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30D5C8D8">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jc w:val="left"/>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17.</w:t>
      </w:r>
      <w:r>
        <w:rPr>
          <w:rFonts w:hint="eastAsia" w:ascii="仿宋" w:hAnsi="仿宋" w:eastAsia="仿宋"/>
          <w:sz w:val="32"/>
          <w:szCs w:val="32"/>
          <w:lang w:eastAsia="zh-CN"/>
        </w:rPr>
        <w:t>石财农〔2022〕101号提前下达2023年中央财政林业改革发展资金（造林补助）。该项目资金用于全年完成造林</w:t>
      </w:r>
      <w:r>
        <w:rPr>
          <w:rFonts w:hint="eastAsia" w:ascii="仿宋" w:hAnsi="仿宋" w:eastAsia="仿宋"/>
          <w:sz w:val="32"/>
          <w:szCs w:val="32"/>
          <w:lang w:val="en-US" w:eastAsia="zh-CN"/>
        </w:rPr>
        <w:t>2800</w:t>
      </w:r>
      <w:r>
        <w:rPr>
          <w:rFonts w:hint="eastAsia" w:ascii="仿宋" w:hAnsi="仿宋" w:eastAsia="仿宋"/>
          <w:sz w:val="32"/>
          <w:szCs w:val="32"/>
          <w:lang w:eastAsia="zh-CN"/>
        </w:rPr>
        <w:t>亩，需要131.91万元。资金预算安排为131.91万元，实际到位数和执行数为131.91万元，资金到位率100%，预算执行率100%。根据项目执行情况和项目绩效情况，总得分9</w:t>
      </w:r>
      <w:r>
        <w:rPr>
          <w:rFonts w:hint="eastAsia" w:ascii="仿宋" w:hAnsi="仿宋" w:eastAsia="仿宋"/>
          <w:sz w:val="32"/>
          <w:szCs w:val="32"/>
          <w:lang w:val="en-US" w:eastAsia="zh-CN"/>
        </w:rPr>
        <w:t>9</w:t>
      </w:r>
      <w:r>
        <w:rPr>
          <w:rFonts w:hint="eastAsia" w:ascii="仿宋" w:hAnsi="仿宋" w:eastAsia="仿宋"/>
          <w:sz w:val="32"/>
          <w:szCs w:val="32"/>
          <w:lang w:eastAsia="zh-CN"/>
        </w:rPr>
        <w:t>分，项目综合绩效评价等级优秀。</w:t>
      </w:r>
    </w:p>
    <w:p w14:paraId="3E890252">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jc w:val="left"/>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18.石财农〔2022〕101号提前下达2023年中央财政林业改革发展资金-林业有害生物防治补助</w:t>
      </w:r>
      <w:r>
        <w:rPr>
          <w:rFonts w:hint="eastAsia" w:ascii="仿宋" w:hAnsi="仿宋" w:eastAsia="仿宋"/>
          <w:sz w:val="32"/>
          <w:szCs w:val="32"/>
          <w:lang w:eastAsia="zh-CN"/>
        </w:rPr>
        <w:t>。该项目资金用于完成林业有害生物防治面积1000亩，需要</w:t>
      </w:r>
      <w:bookmarkStart w:id="8" w:name="OLE_LINK9"/>
      <w:r>
        <w:rPr>
          <w:rFonts w:hint="eastAsia" w:ascii="仿宋" w:hAnsi="仿宋" w:eastAsia="仿宋"/>
          <w:sz w:val="32"/>
          <w:szCs w:val="32"/>
          <w:lang w:val="en-US" w:eastAsia="zh-CN"/>
        </w:rPr>
        <w:t>0.48</w:t>
      </w:r>
      <w:bookmarkEnd w:id="8"/>
      <w:r>
        <w:rPr>
          <w:rFonts w:hint="eastAsia" w:ascii="仿宋" w:hAnsi="仿宋" w:eastAsia="仿宋"/>
          <w:sz w:val="32"/>
          <w:szCs w:val="32"/>
          <w:lang w:eastAsia="zh-CN"/>
        </w:rPr>
        <w:t>万元。资金预算安排为</w:t>
      </w:r>
      <w:r>
        <w:rPr>
          <w:rFonts w:hint="eastAsia" w:ascii="仿宋" w:hAnsi="仿宋" w:eastAsia="仿宋"/>
          <w:sz w:val="32"/>
          <w:szCs w:val="32"/>
          <w:lang w:val="en-US" w:eastAsia="zh-CN"/>
        </w:rPr>
        <w:t>0.48</w:t>
      </w:r>
      <w:r>
        <w:rPr>
          <w:rFonts w:hint="eastAsia" w:ascii="仿宋" w:hAnsi="仿宋" w:eastAsia="仿宋"/>
          <w:sz w:val="32"/>
          <w:szCs w:val="32"/>
          <w:lang w:eastAsia="zh-CN"/>
        </w:rPr>
        <w:t>万元，实际到位数和执行数为</w:t>
      </w:r>
      <w:r>
        <w:rPr>
          <w:rFonts w:hint="eastAsia" w:ascii="仿宋" w:hAnsi="仿宋" w:eastAsia="仿宋"/>
          <w:sz w:val="32"/>
          <w:szCs w:val="32"/>
          <w:lang w:val="en-US" w:eastAsia="zh-CN"/>
        </w:rPr>
        <w:t>0.48</w:t>
      </w:r>
      <w:r>
        <w:rPr>
          <w:rFonts w:hint="eastAsia" w:ascii="仿宋" w:hAnsi="仿宋" w:eastAsia="仿宋"/>
          <w:sz w:val="32"/>
          <w:szCs w:val="32"/>
          <w:lang w:eastAsia="zh-CN"/>
        </w:rPr>
        <w:t>万元，资金到位率</w:t>
      </w:r>
      <w:r>
        <w:rPr>
          <w:rFonts w:hint="eastAsia" w:ascii="仿宋" w:hAnsi="仿宋" w:eastAsia="仿宋"/>
          <w:sz w:val="32"/>
          <w:szCs w:val="32"/>
          <w:lang w:val="en-US" w:eastAsia="zh-CN"/>
        </w:rPr>
        <w:t>100</w:t>
      </w:r>
      <w:r>
        <w:rPr>
          <w:rFonts w:hint="eastAsia" w:ascii="仿宋" w:hAnsi="仿宋" w:eastAsia="仿宋"/>
          <w:sz w:val="32"/>
          <w:szCs w:val="32"/>
          <w:lang w:eastAsia="zh-CN"/>
        </w:rPr>
        <w:t>%，预算执行率</w:t>
      </w:r>
      <w:r>
        <w:rPr>
          <w:rFonts w:hint="eastAsia" w:ascii="仿宋" w:hAnsi="仿宋" w:eastAsia="仿宋"/>
          <w:sz w:val="32"/>
          <w:szCs w:val="32"/>
          <w:lang w:val="en-US" w:eastAsia="zh-CN"/>
        </w:rPr>
        <w:t>100</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98</w:t>
      </w:r>
      <w:r>
        <w:rPr>
          <w:rFonts w:hint="eastAsia" w:ascii="仿宋" w:hAnsi="仿宋" w:eastAsia="仿宋"/>
          <w:sz w:val="32"/>
          <w:szCs w:val="32"/>
          <w:lang w:eastAsia="zh-CN"/>
        </w:rPr>
        <w:t>分，项目综合绩效评价等级优秀。</w:t>
      </w:r>
    </w:p>
    <w:p w14:paraId="6839ECA3">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jc w:val="left"/>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19.</w:t>
      </w:r>
      <w:r>
        <w:rPr>
          <w:rFonts w:hint="eastAsia" w:ascii="仿宋" w:hAnsi="仿宋" w:eastAsia="仿宋"/>
          <w:sz w:val="32"/>
          <w:szCs w:val="32"/>
          <w:lang w:eastAsia="zh-CN"/>
        </w:rPr>
        <w:t>石财农〔2022〕112号提前下达2023年省级林业改革发展补助资金（太行山绿化及其他重点区域奖补)。该项目资金用于兑现绿化补贴2800亩，需要65万元。资金预算安排为65万元，实际到位数和执行数为65万元，资金到位率100%，预算执行率100%。根据项目执行情况和项目绩效情况，总得分99分，项目综合绩效评价等级优秀。</w:t>
      </w:r>
    </w:p>
    <w:p w14:paraId="403172AE">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jc w:val="left"/>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20.石家庄市藁城区2023年度提质改造项目。</w:t>
      </w:r>
      <w:r>
        <w:rPr>
          <w:rFonts w:hint="eastAsia" w:ascii="仿宋" w:hAnsi="仿宋" w:eastAsia="仿宋"/>
          <w:sz w:val="32"/>
          <w:szCs w:val="32"/>
          <w:lang w:eastAsia="zh-CN"/>
        </w:rPr>
        <w:t>该项目资金用于完成藁城区高标准农田产能提升项目涉及的图件编写、报告编写等工作，需要2000万元。资金预算安排为2000万元，实际到位数和执行数为2000万元，资金到位率100%，预算执行率100%。根据项目执行情况和项目绩效情况，总得分9</w:t>
      </w:r>
      <w:r>
        <w:rPr>
          <w:rFonts w:hint="eastAsia" w:ascii="仿宋" w:hAnsi="仿宋" w:eastAsia="仿宋"/>
          <w:sz w:val="32"/>
          <w:szCs w:val="32"/>
          <w:lang w:val="en-US" w:eastAsia="zh-CN"/>
        </w:rPr>
        <w:t>8</w:t>
      </w:r>
      <w:r>
        <w:rPr>
          <w:rFonts w:hint="eastAsia" w:ascii="仿宋" w:hAnsi="仿宋" w:eastAsia="仿宋"/>
          <w:sz w:val="32"/>
          <w:szCs w:val="32"/>
          <w:lang w:eastAsia="zh-CN"/>
        </w:rPr>
        <w:t>分，项目综合绩效评价等级优秀。</w:t>
      </w:r>
    </w:p>
    <w:p w14:paraId="1ED221D3">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jc w:val="left"/>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21.专项债券付息支出。</w:t>
      </w:r>
      <w:r>
        <w:rPr>
          <w:rFonts w:hint="eastAsia" w:ascii="仿宋" w:hAnsi="仿宋" w:eastAsia="仿宋"/>
          <w:sz w:val="32"/>
          <w:szCs w:val="32"/>
          <w:lang w:eastAsia="zh-CN"/>
        </w:rPr>
        <w:t>该项目资金用于偿还到期利息，利于后期债券申请工作，需要229.27万元。资金预算安排为229.27万元，实际到位数和执行数为229.27万元，资金到位率100%，预算执行率100%。根据项目执行情况和项目绩效情况，总得分</w:t>
      </w:r>
      <w:r>
        <w:rPr>
          <w:rFonts w:hint="eastAsia" w:ascii="仿宋" w:hAnsi="仿宋" w:eastAsia="仿宋"/>
          <w:sz w:val="32"/>
          <w:szCs w:val="32"/>
          <w:lang w:val="en-US" w:eastAsia="zh-CN"/>
        </w:rPr>
        <w:t>97.8</w:t>
      </w:r>
      <w:r>
        <w:rPr>
          <w:rFonts w:hint="eastAsia" w:ascii="仿宋" w:hAnsi="仿宋" w:eastAsia="仿宋"/>
          <w:sz w:val="32"/>
          <w:szCs w:val="32"/>
          <w:lang w:eastAsia="zh-CN"/>
        </w:rPr>
        <w:t>分，项目综合绩效评价等级优秀。</w:t>
      </w:r>
    </w:p>
    <w:p w14:paraId="79509F1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41E4DD01">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rPr>
        <w:t>通过对全年项目进行绩效评价，逐项分析每个项目产出和效果指标完成情况，总得分</w:t>
      </w:r>
      <w:r>
        <w:rPr>
          <w:rFonts w:hint="eastAsia" w:ascii="仿宋" w:hAnsi="仿宋" w:eastAsia="仿宋" w:cs="仿宋"/>
          <w:sz w:val="32"/>
          <w:szCs w:val="32"/>
          <w:lang w:val="en-US" w:eastAsia="zh-CN"/>
        </w:rPr>
        <w:t>100</w:t>
      </w:r>
      <w:r>
        <w:rPr>
          <w:rFonts w:hint="eastAsia" w:ascii="仿宋" w:hAnsi="仿宋" w:eastAsia="仿宋" w:cs="仿宋"/>
          <w:sz w:val="32"/>
          <w:szCs w:val="32"/>
        </w:rPr>
        <w:t>分，得出综合评价结论和项目综合绩效评价等级为优秀。</w:t>
      </w:r>
    </w:p>
    <w:p w14:paraId="71616081">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6B7AE4EB">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0C67509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Cs/>
          <w:sz w:val="32"/>
          <w:szCs w:val="32"/>
        </w:rPr>
      </w:pPr>
      <w:bookmarkStart w:id="9" w:name="OLE_LINK10"/>
      <w:r>
        <w:rPr>
          <w:rFonts w:hint="eastAsia" w:ascii="仿宋" w:hAnsi="仿宋" w:eastAsia="仿宋" w:cs="仿宋"/>
          <w:b w:val="0"/>
          <w:bCs w:val="0"/>
          <w:sz w:val="32"/>
          <w:szCs w:val="32"/>
          <w:lang w:val="en-US" w:eastAsia="zh-CN"/>
        </w:rPr>
        <w:t>2024</w:t>
      </w:r>
      <w:r>
        <w:rPr>
          <w:rFonts w:hint="eastAsia" w:ascii="仿宋" w:hAnsi="仿宋" w:eastAsia="仿宋" w:cs="仿宋"/>
          <w:b w:val="0"/>
          <w:bCs w:val="0"/>
          <w:sz w:val="32"/>
          <w:szCs w:val="32"/>
        </w:rPr>
        <w:t>年，</w:t>
      </w:r>
      <w:r>
        <w:rPr>
          <w:rFonts w:hint="eastAsia" w:ascii="仿宋" w:hAnsi="仿宋" w:eastAsia="仿宋" w:cs="仿宋"/>
          <w:b w:val="0"/>
          <w:bCs w:val="0"/>
          <w:sz w:val="32"/>
          <w:szCs w:val="32"/>
          <w:lang w:eastAsia="zh-CN"/>
        </w:rPr>
        <w:t>我单位</w:t>
      </w:r>
      <w:r>
        <w:rPr>
          <w:rFonts w:hint="eastAsia" w:ascii="仿宋" w:hAnsi="仿宋" w:eastAsia="仿宋" w:cs="仿宋"/>
          <w:b w:val="0"/>
          <w:bCs w:val="0"/>
          <w:sz w:val="32"/>
          <w:szCs w:val="32"/>
        </w:rPr>
        <w:t>严格按照</w:t>
      </w:r>
      <w:r>
        <w:rPr>
          <w:rFonts w:hint="eastAsia" w:ascii="仿宋" w:hAnsi="仿宋" w:eastAsia="仿宋" w:cs="仿宋"/>
          <w:sz w:val="32"/>
          <w:szCs w:val="32"/>
        </w:rPr>
        <w:t>预算项目绩效自评管理办法</w:t>
      </w:r>
      <w:r>
        <w:rPr>
          <w:rFonts w:hint="eastAsia" w:ascii="仿宋" w:hAnsi="仿宋" w:eastAsia="仿宋" w:cs="仿宋"/>
          <w:b w:val="0"/>
          <w:bCs w:val="0"/>
          <w:sz w:val="32"/>
          <w:szCs w:val="32"/>
        </w:rPr>
        <w:t>，及时开展项目落实，为全年工作的开展提供了保障，但还是存在绩效制度不健全、绩效管理质量不高、年初预算</w:t>
      </w:r>
      <w:r>
        <w:rPr>
          <w:rFonts w:hint="eastAsia" w:ascii="仿宋" w:hAnsi="仿宋" w:eastAsia="仿宋" w:cs="仿宋"/>
          <w:b w:val="0"/>
          <w:bCs w:val="0"/>
          <w:sz w:val="32"/>
          <w:szCs w:val="32"/>
          <w:lang w:eastAsia="zh-CN"/>
        </w:rPr>
        <w:t>有</w:t>
      </w:r>
      <w:r>
        <w:rPr>
          <w:rFonts w:hint="eastAsia" w:ascii="仿宋" w:hAnsi="仿宋" w:eastAsia="仿宋" w:cs="仿宋"/>
          <w:b w:val="0"/>
          <w:bCs w:val="0"/>
          <w:sz w:val="32"/>
          <w:szCs w:val="32"/>
        </w:rPr>
        <w:t>偏差的问题</w:t>
      </w:r>
      <w:r>
        <w:rPr>
          <w:rFonts w:hint="eastAsia" w:ascii="仿宋" w:hAnsi="仿宋" w:eastAsia="仿宋" w:cs="仿宋"/>
          <w:b w:val="0"/>
          <w:bCs w:val="0"/>
          <w:sz w:val="32"/>
          <w:szCs w:val="32"/>
          <w:lang w:eastAsia="zh-CN"/>
        </w:rPr>
        <w:t>。</w:t>
      </w:r>
      <w:bookmarkEnd w:id="9"/>
    </w:p>
    <w:p w14:paraId="50DA0FC2">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729C024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一是加强绩效制度建设。完善绩效管理和评价制度，加强预算编制的前瞻性。编制预算时充分考虑本部门的发展规划，结合上一年度预算执行情况和本年度预算收支变化因素，科学、合理地编制预算草案。</w:t>
      </w:r>
    </w:p>
    <w:p w14:paraId="12FA567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二是强化绩效目标管理。把绩效目标作为项目实施的前置条件，提高资金使用的合理性和科学性。严格按各项法律、法规、规章制度执行财务核算，尽可能地做到决算与预算相互衔接。</w:t>
      </w:r>
    </w:p>
    <w:p w14:paraId="6BC35B7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三是加强绩效运行监管。加强重大项目的事前、事中、事后监督管理，将资金同项目实施质量挂钩，提升资金的使用效能。</w:t>
      </w:r>
    </w:p>
    <w:p w14:paraId="34EFE7DE">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3B3A5BB-516A-432B-9E74-23F885AC2BD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CA3E9D95-6878-41B5-AD89-4AB3349876DA}"/>
  </w:font>
  <w:font w:name="方正小标宋简体">
    <w:panose1 w:val="02000000000000000000"/>
    <w:charset w:val="86"/>
    <w:family w:val="auto"/>
    <w:pitch w:val="default"/>
    <w:sig w:usb0="00000001" w:usb1="08000000" w:usb2="00000000" w:usb3="00000000" w:csb0="00040000" w:csb1="00000000"/>
    <w:embedRegular r:id="rId3" w:fontKey="{7FB1D3D6-AD33-46A1-A0C1-C892EE8D50A3}"/>
  </w:font>
  <w:font w:name="仿宋_GB2312">
    <w:panose1 w:val="02010609030101010101"/>
    <w:charset w:val="86"/>
    <w:family w:val="auto"/>
    <w:pitch w:val="default"/>
    <w:sig w:usb0="00000001" w:usb1="080E0000" w:usb2="00000000" w:usb3="00000000" w:csb0="00040000" w:csb1="00000000"/>
    <w:embedRegular r:id="rId4" w:fontKey="{B60666CA-B97D-4DF7-8CCA-A52C0BD4A764}"/>
  </w:font>
  <w:font w:name="楷体_GB2312">
    <w:panose1 w:val="02010609030101010101"/>
    <w:charset w:val="86"/>
    <w:family w:val="auto"/>
    <w:pitch w:val="default"/>
    <w:sig w:usb0="00000001" w:usb1="080E0000" w:usb2="00000000" w:usb3="00000000" w:csb0="00040000" w:csb1="00000000"/>
    <w:embedRegular r:id="rId5" w:fontKey="{8E9245D9-BE1A-4DB4-B0ED-95679F5782DF}"/>
  </w:font>
  <w:font w:name="仿宋">
    <w:panose1 w:val="02010609060101010101"/>
    <w:charset w:val="86"/>
    <w:family w:val="auto"/>
    <w:pitch w:val="default"/>
    <w:sig w:usb0="800002BF" w:usb1="38CF7CFA" w:usb2="00000016" w:usb3="00000000" w:csb0="00040001" w:csb1="00000000"/>
    <w:embedRegular r:id="rId6" w:fontKey="{FCEC3054-EF8D-4212-BE30-DD8FF74C526C}"/>
  </w:font>
  <w:font w:name="WPSEMBED25">
    <w:panose1 w:val="02000000000000000000"/>
    <w:charset w:val="86"/>
    <w:family w:val="auto"/>
    <w:pitch w:val="default"/>
    <w:sig w:usb0="00000001" w:usb1="08000000" w:usb2="00000000" w:usb3="00000000" w:csb0="00040000" w:csb1="00000000"/>
  </w:font>
  <w:font w:name="WPSEMBED26">
    <w:panose1 w:val="02010609030101010101"/>
    <w:charset w:val="86"/>
    <w:family w:val="auto"/>
    <w:pitch w:val="default"/>
    <w:sig w:usb0="00000001" w:usb1="080E0000" w:usb2="00000000" w:usb3="00000000" w:csb0="00040000" w:csb1="00000000"/>
  </w:font>
  <w:font w:name="WPSEMBED27">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A54754">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632F810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632F810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781DB">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55466D"/>
    <w:multiLevelType w:val="singleLevel"/>
    <w:tmpl w:val="9855466D"/>
    <w:lvl w:ilvl="0" w:tentative="0">
      <w:start w:val="1"/>
      <w:numFmt w:val="chineseCounting"/>
      <w:suff w:val="nothing"/>
      <w:lvlText w:val="（%1）"/>
      <w:lvlJc w:val="left"/>
      <w:rPr>
        <w:rFonts w:hint="eastAsia"/>
      </w:r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4935F6DB"/>
    <w:multiLevelType w:val="singleLevel"/>
    <w:tmpl w:val="4935F6DB"/>
    <w:lvl w:ilvl="0" w:tentative="0">
      <w:start w:val="2"/>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09829E5"/>
    <w:rsid w:val="02A74DFC"/>
    <w:rsid w:val="02B1196D"/>
    <w:rsid w:val="046A1D4D"/>
    <w:rsid w:val="05581534"/>
    <w:rsid w:val="07EE6CEA"/>
    <w:rsid w:val="09A8392C"/>
    <w:rsid w:val="0B047943"/>
    <w:rsid w:val="0BBE0E6F"/>
    <w:rsid w:val="0CD6043D"/>
    <w:rsid w:val="0D3B442E"/>
    <w:rsid w:val="1155297A"/>
    <w:rsid w:val="11BF0CFF"/>
    <w:rsid w:val="12780FB2"/>
    <w:rsid w:val="128A3576"/>
    <w:rsid w:val="134F6B82"/>
    <w:rsid w:val="13955CCA"/>
    <w:rsid w:val="17604CB3"/>
    <w:rsid w:val="1B8E3C4A"/>
    <w:rsid w:val="1BFF06B7"/>
    <w:rsid w:val="1D9D704A"/>
    <w:rsid w:val="1DCE10F1"/>
    <w:rsid w:val="1E6B59C8"/>
    <w:rsid w:val="1E6F3D5D"/>
    <w:rsid w:val="1EC05702"/>
    <w:rsid w:val="200A27A7"/>
    <w:rsid w:val="208B3EA8"/>
    <w:rsid w:val="24DC70AF"/>
    <w:rsid w:val="25D51B24"/>
    <w:rsid w:val="26072E36"/>
    <w:rsid w:val="266A5EB4"/>
    <w:rsid w:val="2C024615"/>
    <w:rsid w:val="2E252585"/>
    <w:rsid w:val="2EE639FB"/>
    <w:rsid w:val="2F4D4974"/>
    <w:rsid w:val="330A5405"/>
    <w:rsid w:val="354F1475"/>
    <w:rsid w:val="3712308A"/>
    <w:rsid w:val="38967090"/>
    <w:rsid w:val="38FA04D1"/>
    <w:rsid w:val="3C1B7FDE"/>
    <w:rsid w:val="3C667932"/>
    <w:rsid w:val="3DDE37D0"/>
    <w:rsid w:val="3E522137"/>
    <w:rsid w:val="3EDA23F3"/>
    <w:rsid w:val="424F2231"/>
    <w:rsid w:val="43AE2B48"/>
    <w:rsid w:val="44933707"/>
    <w:rsid w:val="45445137"/>
    <w:rsid w:val="456E2400"/>
    <w:rsid w:val="496A714E"/>
    <w:rsid w:val="503A6865"/>
    <w:rsid w:val="5132303B"/>
    <w:rsid w:val="51CE4D28"/>
    <w:rsid w:val="52F86662"/>
    <w:rsid w:val="530A737B"/>
    <w:rsid w:val="5449019D"/>
    <w:rsid w:val="5551726F"/>
    <w:rsid w:val="57365A1D"/>
    <w:rsid w:val="58B01C10"/>
    <w:rsid w:val="58B8456C"/>
    <w:rsid w:val="58E678BA"/>
    <w:rsid w:val="59F71282"/>
    <w:rsid w:val="5D25471B"/>
    <w:rsid w:val="5DE60DC0"/>
    <w:rsid w:val="5E8203F8"/>
    <w:rsid w:val="60DF2E47"/>
    <w:rsid w:val="626C687E"/>
    <w:rsid w:val="64FF0C2E"/>
    <w:rsid w:val="652C5AB9"/>
    <w:rsid w:val="67544434"/>
    <w:rsid w:val="685565E3"/>
    <w:rsid w:val="69206851"/>
    <w:rsid w:val="6994667A"/>
    <w:rsid w:val="6AC4415C"/>
    <w:rsid w:val="6B122396"/>
    <w:rsid w:val="6C310156"/>
    <w:rsid w:val="6C7B07B0"/>
    <w:rsid w:val="6CA878D4"/>
    <w:rsid w:val="6DD13B33"/>
    <w:rsid w:val="6DD269B3"/>
    <w:rsid w:val="6EC613B8"/>
    <w:rsid w:val="739F097E"/>
    <w:rsid w:val="73E46355"/>
    <w:rsid w:val="751627CE"/>
    <w:rsid w:val="75440493"/>
    <w:rsid w:val="7A787B10"/>
    <w:rsid w:val="7B736C7B"/>
    <w:rsid w:val="7C705EEB"/>
    <w:rsid w:val="7D282C52"/>
    <w:rsid w:val="7E2D20AD"/>
    <w:rsid w:val="7E901328"/>
    <w:rsid w:val="7FA203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12</Pages>
  <Words>5812</Words>
  <Characters>6457</Characters>
  <Lines>0</Lines>
  <Paragraphs>31</Paragraphs>
  <TotalTime>6</TotalTime>
  <ScaleCrop>false</ScaleCrop>
  <LinksUpToDate>false</LinksUpToDate>
  <CharactersWithSpaces>6457</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2025-12-18T08:38:58Z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28C64EFCB758481798A31117B3E7B5E3</vt:lpwstr>
  </property>
  <property fmtid="{D5CDD505-2E9C-101B-9397-08002B2CF9AE}" pid="4" name="KSOTemplateDocerSaveRecord">
    <vt:lpwstr>eyJoZGlkIjoiZTNhMzhmNjU3NDU2YjNiYWExNDJlM2Y4YTNjMzYyNWIiLCJ1c2VySWQiOiIxNTUwMjQwMDk2In0=</vt:lpwstr>
  </property>
</Properties>
</file>