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B0CE88">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75F4075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6D8A592D">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藁城区投促局</w:t>
      </w:r>
      <w:r>
        <w:rPr>
          <w:rFonts w:hint="eastAsia" w:ascii="方正小标宋简体" w:hAnsi="方正小标宋简体" w:eastAsia="方正小标宋简体" w:cs="方正小标宋简体"/>
          <w:b w:val="0"/>
          <w:bCs w:val="0"/>
          <w:sz w:val="44"/>
          <w:szCs w:val="44"/>
        </w:rPr>
        <w:t>部门</w:t>
      </w:r>
    </w:p>
    <w:p w14:paraId="7D59C281">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14:paraId="6D77A4AD">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p>
    <w:p w14:paraId="0EB3DA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w:t>
      </w:r>
      <w:r>
        <w:rPr>
          <w:rFonts w:hint="eastAsia" w:ascii="仿宋_GB2312" w:hAnsi="仿宋_GB2312" w:eastAsia="仿宋_GB2312" w:cs="仿宋_GB2312"/>
          <w:sz w:val="32"/>
          <w:szCs w:val="32"/>
          <w:highlight w:val="none"/>
          <w:lang w:val="en-US" w:eastAsia="zh-CN"/>
        </w:rPr>
        <w:t>投促局</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543B6DA7">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5FBA23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BF00C23">
      <w:pPr>
        <w:pStyle w:val="11"/>
        <w:numPr>
          <w:ilvl w:val="0"/>
          <w:numId w:val="1"/>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部门基本职责情况</w:t>
      </w:r>
    </w:p>
    <w:p w14:paraId="211AA2F6">
      <w:pPr>
        <w:pStyle w:val="5"/>
        <w:spacing w:before="0" w:beforeAutospacing="0" w:after="0" w:afterAutospacing="0" w:line="56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区投资促进局主要职责：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w:t>
      </w:r>
    </w:p>
    <w:p w14:paraId="2DB52B80">
      <w:pPr>
        <w:pStyle w:val="11"/>
        <w:numPr>
          <w:ilvl w:val="0"/>
          <w:numId w:val="1"/>
        </w:numPr>
        <w:ind w:left="0" w:leftChars="0" w:firstLine="960" w:firstLineChars="3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部门组织机构及人员情况</w:t>
      </w:r>
    </w:p>
    <w:p w14:paraId="708CDB0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藁城区投促局规格为正科级，1个区投促局本级单位，一级预算单位，一个下属单位为藁城区投资促进服务中心。领导职数1正2副，核定行政编制10名。设内设机构3个，办公室、经济技术协作与外国投资管理股、投资促进股，核定股级领导职数3名。单位性质为行政机关，资金保障形式为财政拨款。年末总人数5人，全部是行政编制。</w:t>
      </w:r>
    </w:p>
    <w:p w14:paraId="72DA529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下属事业单位藁城区投资促进服务中心，规格股级，核定全额事业编制15名，设主任1名，副主任1名。</w:t>
      </w:r>
    </w:p>
    <w:p w14:paraId="0D5BD1D3">
      <w:pPr>
        <w:pStyle w:val="2"/>
        <w:numPr>
          <w:ilvl w:val="0"/>
          <w:numId w:val="1"/>
        </w:numPr>
        <w:ind w:left="0" w:leftChars="0" w:firstLine="960" w:firstLineChars="3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部门资产情况</w:t>
      </w:r>
    </w:p>
    <w:p w14:paraId="286D2331">
      <w:pPr>
        <w:pStyle w:val="2"/>
        <w:numPr>
          <w:ilvl w:val="0"/>
          <w:numId w:val="0"/>
        </w:numPr>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截止202</w:t>
      </w:r>
      <w:r>
        <w:rPr>
          <w:rFonts w:hint="eastAsia" w:cs="仿宋_GB2312"/>
          <w:kern w:val="2"/>
          <w:sz w:val="32"/>
          <w:szCs w:val="32"/>
          <w:highlight w:val="none"/>
          <w:lang w:val="en-US" w:eastAsia="zh-CN" w:bidi="ar-SA"/>
        </w:rPr>
        <w:t>4</w:t>
      </w:r>
      <w:r>
        <w:rPr>
          <w:rFonts w:hint="eastAsia" w:ascii="仿宋_GB2312" w:hAnsi="仿宋_GB2312" w:eastAsia="仿宋_GB2312" w:cs="仿宋_GB2312"/>
          <w:kern w:val="2"/>
          <w:sz w:val="32"/>
          <w:szCs w:val="32"/>
          <w:highlight w:val="none"/>
          <w:lang w:val="en-US" w:eastAsia="zh-CN" w:bidi="ar-SA"/>
        </w:rPr>
        <w:t>年12月31日，资产总额</w:t>
      </w:r>
      <w:r>
        <w:rPr>
          <w:rFonts w:hint="eastAsia" w:cs="仿宋_GB2312"/>
          <w:kern w:val="2"/>
          <w:sz w:val="32"/>
          <w:szCs w:val="32"/>
          <w:highlight w:val="none"/>
          <w:lang w:val="en-US" w:eastAsia="zh-CN" w:bidi="ar-SA"/>
        </w:rPr>
        <w:t>21.46</w:t>
      </w:r>
      <w:r>
        <w:rPr>
          <w:rFonts w:hint="eastAsia" w:ascii="仿宋_GB2312" w:hAnsi="仿宋_GB2312" w:eastAsia="仿宋_GB2312" w:cs="仿宋_GB2312"/>
          <w:kern w:val="2"/>
          <w:sz w:val="32"/>
          <w:szCs w:val="32"/>
          <w:highlight w:val="none"/>
          <w:lang w:val="en-US" w:eastAsia="zh-CN" w:bidi="ar-SA"/>
        </w:rPr>
        <w:t>万元，其中行政单位国有资产</w:t>
      </w:r>
      <w:r>
        <w:rPr>
          <w:rFonts w:hint="eastAsia" w:cs="仿宋_GB2312"/>
          <w:kern w:val="2"/>
          <w:sz w:val="32"/>
          <w:szCs w:val="32"/>
          <w:highlight w:val="none"/>
          <w:lang w:val="en-US" w:eastAsia="zh-CN" w:bidi="ar-SA"/>
        </w:rPr>
        <w:t>21.46</w:t>
      </w:r>
      <w:r>
        <w:rPr>
          <w:rFonts w:hint="eastAsia" w:ascii="仿宋_GB2312" w:hAnsi="仿宋_GB2312" w:eastAsia="仿宋_GB2312" w:cs="仿宋_GB2312"/>
          <w:kern w:val="2"/>
          <w:sz w:val="32"/>
          <w:szCs w:val="32"/>
          <w:highlight w:val="none"/>
          <w:lang w:val="en-US" w:eastAsia="zh-CN" w:bidi="ar-SA"/>
        </w:rPr>
        <w:t>万元，占比100%。</w:t>
      </w:r>
    </w:p>
    <w:p w14:paraId="39AA793E">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lang w:val="en-US" w:eastAsia="zh-CN"/>
        </w:rPr>
      </w:pPr>
      <w:r>
        <w:rPr>
          <w:rFonts w:hint="eastAsia" w:ascii="仿宋_GB2312" w:hAnsi="仿宋_GB2312" w:eastAsia="仿宋_GB2312" w:cs="仿宋_GB2312"/>
          <w:kern w:val="2"/>
          <w:sz w:val="32"/>
          <w:szCs w:val="32"/>
          <w:highlight w:val="none"/>
          <w:lang w:val="en-US" w:eastAsia="zh-CN" w:bidi="ar-SA"/>
        </w:rPr>
        <w:t>部门收支预决算情况</w:t>
      </w:r>
    </w:p>
    <w:p w14:paraId="663FFD8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2024年部门预算收入374.42万元，其中：一般公共预算收入374.42万元，基金预算收入0万元，财政专户核拨收入0万元，其他来源收入0万元。2024年部门支出预算为374.42万元，其中基本支出254.42万元，包括人员经费236.26万元和日常公用经费18.16万元；项目支出120万元，主要为招商工作经费项目、招商推介活动经费项目经费；其他支出0万元。2024年度部门决算收入合计374.42万元，其中：财政拨款收入374.42万元，占100%；事业收入0万元，占0%；经营收入0万元，占0%；其他收入0万元，占0%。2024年度部门决算支出合计374.42万元，其中：基本支出254.42万元，占68%；项目支出120万元，占32%；经营支出0万元，占0%。</w:t>
      </w:r>
    </w:p>
    <w:p w14:paraId="44501BD7">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部门整体支出绩效目标、指标</w:t>
      </w:r>
    </w:p>
    <w:p w14:paraId="5D519BE5">
      <w:pPr>
        <w:spacing w:before="156" w:beforeLines="50" w:after="156" w:afterLines="50" w:line="580" w:lineRule="exact"/>
        <w:ind w:firstLine="62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1、总体绩效目标</w:t>
      </w:r>
    </w:p>
    <w:p w14:paraId="48D43DD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根据区委主要领导批示指示精神，藁城区投促局主要承担招商引资创新路径、创新机制等招商体制改革任务。根据藁城区工作实际，我局将进一步依托资源优势，</w:t>
      </w:r>
      <w:r>
        <w:rPr>
          <w:rFonts w:hint="eastAsia" w:ascii="仿宋_GB2312" w:hAnsi="仿宋_GB2312" w:eastAsia="仿宋_GB2312" w:cs="仿宋_GB2312"/>
          <w:b w:val="0"/>
          <w:bCs w:val="0"/>
          <w:sz w:val="32"/>
          <w:szCs w:val="32"/>
          <w:lang w:val="en-US" w:eastAsia="zh-CN"/>
        </w:rPr>
        <w:t>以延伸产业链条、加深产业集聚为目标，以本地核心企业为依托，赴行业发达区域开展以商招商、精准招商、驻点招商，举办高端装备制造、文旅康养、现代农业等各类招商推介，挖掘信息资源，积极对接省内食品行业专业机构、业内专家、高校教授等，同时积极向上问计，获取全市规上食品企业名单、重点项目名单等按图索骥，有针对性的开展招商引资工作，提高项目命中率，以高质量招商引资为高质量发展蓄势赋能，进一步</w:t>
      </w:r>
      <w:r>
        <w:rPr>
          <w:rFonts w:hint="eastAsia" w:ascii="仿宋_GB2312" w:hAnsi="仿宋_GB2312" w:eastAsia="仿宋_GB2312" w:cs="仿宋_GB2312"/>
          <w:sz w:val="32"/>
          <w:szCs w:val="32"/>
          <w:lang w:val="en-US" w:eastAsia="zh-CN"/>
        </w:rPr>
        <w:t>促进我区经济发展。</w:t>
      </w:r>
    </w:p>
    <w:p w14:paraId="71E79200">
      <w:pPr>
        <w:spacing w:before="156" w:beforeLines="50" w:after="156" w:afterLines="50" w:line="580" w:lineRule="exact"/>
        <w:ind w:firstLine="62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2、分项绩效目标</w:t>
      </w:r>
    </w:p>
    <w:p w14:paraId="580C4E1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（一）</w:t>
      </w:r>
      <w:r>
        <w:rPr>
          <w:rFonts w:hint="eastAsia" w:ascii="仿宋_GB2312" w:hAnsi="仿宋_GB2312" w:eastAsia="仿宋_GB2312" w:cs="仿宋_GB2312"/>
          <w:sz w:val="32"/>
          <w:szCs w:val="32"/>
          <w:lang w:val="en-US" w:eastAsia="zh-CN"/>
        </w:rPr>
        <w:t>保障招商工作高质量开展</w:t>
      </w:r>
    </w:p>
    <w:p w14:paraId="659821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b w:val="0"/>
          <w:bCs w:val="0"/>
          <w:sz w:val="32"/>
          <w:szCs w:val="32"/>
          <w:lang w:val="en-US" w:eastAsia="zh-CN"/>
        </w:rPr>
        <w:t>精准招商，提升招商工作水平。</w:t>
      </w:r>
    </w:p>
    <w:p w14:paraId="3A7B5C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绩效指标：完成年初招商计划比例</w:t>
      </w:r>
    </w:p>
    <w:p w14:paraId="04BE1B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确保招商推介活动顺利开展</w:t>
      </w:r>
    </w:p>
    <w:p w14:paraId="586EFE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绩效目标：通过招商推介活动，吸引更多投资者。</w:t>
      </w:r>
    </w:p>
    <w:p w14:paraId="664A8BE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绩效指标：</w:t>
      </w:r>
      <w:r>
        <w:rPr>
          <w:rFonts w:hint="eastAsia" w:ascii="仿宋_GB2312" w:hAnsi="仿宋_GB2312" w:eastAsia="仿宋_GB2312" w:cs="仿宋_GB2312"/>
          <w:b w:val="0"/>
          <w:bCs w:val="0"/>
          <w:sz w:val="32"/>
          <w:szCs w:val="32"/>
          <w:lang w:val="en-US" w:eastAsia="zh-CN"/>
        </w:rPr>
        <w:t>完成</w:t>
      </w:r>
      <w:r>
        <w:rPr>
          <w:rFonts w:hint="eastAsia" w:ascii="仿宋_GB2312" w:hAnsi="仿宋_GB2312" w:eastAsia="仿宋_GB2312" w:cs="仿宋_GB2312"/>
          <w:b w:val="0"/>
          <w:bCs w:val="0"/>
          <w:sz w:val="32"/>
          <w:szCs w:val="32"/>
        </w:rPr>
        <w:t>参加或者举办招商活动</w:t>
      </w:r>
      <w:r>
        <w:rPr>
          <w:rFonts w:hint="eastAsia" w:ascii="仿宋_GB2312" w:hAnsi="仿宋_GB2312" w:eastAsia="仿宋_GB2312" w:cs="仿宋_GB2312"/>
          <w:b w:val="0"/>
          <w:bCs w:val="0"/>
          <w:sz w:val="32"/>
          <w:szCs w:val="32"/>
          <w:lang w:val="en-US" w:eastAsia="zh-CN"/>
        </w:rPr>
        <w:t>次数。举办现代食品、高端装备制造、文旅康养、现代农业等各类招商推介活动不少于4次。</w:t>
      </w:r>
    </w:p>
    <w:p w14:paraId="5C8E3B37">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绩效自评工作开展情况</w:t>
      </w:r>
    </w:p>
    <w:p w14:paraId="46014A0E">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自评的组织工作</w:t>
      </w:r>
    </w:p>
    <w:p w14:paraId="52C04259">
      <w:pPr>
        <w:pStyle w:val="2"/>
        <w:numPr>
          <w:ilvl w:val="0"/>
          <w:numId w:val="0"/>
        </w:numPr>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为完成好部门整体支出绩效自评工作，成立了由区</w:t>
      </w:r>
      <w:r>
        <w:rPr>
          <w:rFonts w:hint="eastAsia" w:cs="仿宋_GB2312"/>
          <w:kern w:val="2"/>
          <w:sz w:val="32"/>
          <w:szCs w:val="32"/>
          <w:highlight w:val="none"/>
          <w:lang w:val="en-US" w:eastAsia="zh-CN" w:bidi="ar-SA"/>
        </w:rPr>
        <w:t>投资促进局党组</w:t>
      </w:r>
      <w:r>
        <w:rPr>
          <w:rFonts w:hint="eastAsia" w:ascii="仿宋_GB2312" w:hAnsi="仿宋_GB2312" w:eastAsia="仿宋_GB2312" w:cs="仿宋_GB2312"/>
          <w:kern w:val="2"/>
          <w:sz w:val="32"/>
          <w:szCs w:val="32"/>
          <w:highlight w:val="none"/>
          <w:lang w:val="en-US" w:eastAsia="zh-CN" w:bidi="ar-SA"/>
        </w:rPr>
        <w:t>书记</w:t>
      </w:r>
      <w:r>
        <w:rPr>
          <w:rFonts w:hint="eastAsia" w:cs="仿宋_GB2312"/>
          <w:kern w:val="2"/>
          <w:sz w:val="32"/>
          <w:szCs w:val="32"/>
          <w:highlight w:val="none"/>
          <w:lang w:val="en-US" w:eastAsia="zh-CN" w:bidi="ar-SA"/>
        </w:rPr>
        <w:t>石明杰</w:t>
      </w:r>
      <w:r>
        <w:rPr>
          <w:rFonts w:hint="eastAsia" w:ascii="仿宋_GB2312" w:hAnsi="仿宋_GB2312" w:eastAsia="仿宋_GB2312" w:cs="仿宋_GB2312"/>
          <w:kern w:val="2"/>
          <w:sz w:val="32"/>
          <w:szCs w:val="32"/>
          <w:highlight w:val="none"/>
          <w:lang w:val="en-US" w:eastAsia="zh-CN" w:bidi="ar-SA"/>
        </w:rPr>
        <w:t>同志任组长，区</w:t>
      </w:r>
      <w:r>
        <w:rPr>
          <w:rFonts w:hint="eastAsia" w:cs="仿宋_GB2312"/>
          <w:kern w:val="2"/>
          <w:sz w:val="32"/>
          <w:szCs w:val="32"/>
          <w:highlight w:val="none"/>
          <w:lang w:val="en-US" w:eastAsia="zh-CN" w:bidi="ar-SA"/>
        </w:rPr>
        <w:t>投资促进局副局长张伟</w:t>
      </w:r>
      <w:r>
        <w:rPr>
          <w:rFonts w:hint="eastAsia" w:ascii="仿宋_GB2312" w:hAnsi="仿宋_GB2312" w:eastAsia="仿宋_GB2312" w:cs="仿宋_GB2312"/>
          <w:kern w:val="2"/>
          <w:sz w:val="32"/>
          <w:szCs w:val="32"/>
          <w:highlight w:val="none"/>
          <w:lang w:val="en-US" w:eastAsia="zh-CN" w:bidi="ar-SA"/>
        </w:rPr>
        <w:t>担任副组长，</w:t>
      </w:r>
      <w:r>
        <w:rPr>
          <w:rFonts w:hint="eastAsia" w:cs="仿宋_GB2312"/>
          <w:kern w:val="2"/>
          <w:sz w:val="32"/>
          <w:szCs w:val="32"/>
          <w:highlight w:val="none"/>
          <w:lang w:val="en-US" w:eastAsia="zh-CN" w:bidi="ar-SA"/>
        </w:rPr>
        <w:t>党组成员赵玉陶</w:t>
      </w:r>
      <w:r>
        <w:rPr>
          <w:rFonts w:hint="eastAsia" w:ascii="仿宋_GB2312" w:hAnsi="仿宋_GB2312" w:eastAsia="仿宋_GB2312" w:cs="仿宋_GB2312"/>
          <w:kern w:val="2"/>
          <w:sz w:val="32"/>
          <w:szCs w:val="32"/>
          <w:highlight w:val="none"/>
          <w:lang w:val="en-US" w:eastAsia="zh-CN" w:bidi="ar-SA"/>
        </w:rPr>
        <w:t>、</w:t>
      </w:r>
      <w:r>
        <w:rPr>
          <w:rFonts w:hint="eastAsia" w:cs="仿宋_GB2312"/>
          <w:kern w:val="2"/>
          <w:sz w:val="32"/>
          <w:szCs w:val="32"/>
          <w:highlight w:val="none"/>
          <w:lang w:val="en-US" w:eastAsia="zh-CN" w:bidi="ar-SA"/>
        </w:rPr>
        <w:t>办公室主任李克锋、</w:t>
      </w:r>
      <w:r>
        <w:rPr>
          <w:rFonts w:hint="eastAsia" w:ascii="仿宋_GB2312" w:hAnsi="仿宋_GB2312" w:eastAsia="仿宋_GB2312" w:cs="仿宋_GB2312"/>
          <w:kern w:val="2"/>
          <w:sz w:val="32"/>
          <w:szCs w:val="32"/>
          <w:highlight w:val="none"/>
          <w:lang w:val="en-US" w:eastAsia="zh-CN" w:bidi="ar-SA"/>
        </w:rPr>
        <w:t>财务人员</w:t>
      </w:r>
      <w:r>
        <w:rPr>
          <w:rFonts w:hint="eastAsia" w:cs="仿宋_GB2312"/>
          <w:kern w:val="2"/>
          <w:sz w:val="32"/>
          <w:szCs w:val="32"/>
          <w:highlight w:val="none"/>
          <w:lang w:val="en-US" w:eastAsia="zh-CN" w:bidi="ar-SA"/>
        </w:rPr>
        <w:t>何欣华</w:t>
      </w:r>
      <w:r>
        <w:rPr>
          <w:rFonts w:hint="eastAsia" w:ascii="仿宋_GB2312" w:hAnsi="仿宋_GB2312" w:eastAsia="仿宋_GB2312" w:cs="仿宋_GB2312"/>
          <w:kern w:val="2"/>
          <w:sz w:val="32"/>
          <w:szCs w:val="32"/>
          <w:highlight w:val="none"/>
          <w:lang w:val="en-US" w:eastAsia="zh-CN" w:bidi="ar-SA"/>
        </w:rPr>
        <w:t>为小组成员的绩效自评工作小组，明确需收集的资料及注意事项</w:t>
      </w:r>
      <w:r>
        <w:rPr>
          <w:rFonts w:hint="eastAsia"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对照总体绩效目标和分项绩效目标、指标设定情况，分析评价项目具体完成情况的相关资料以及有关财务资料。绩效评价工作组遵循“科学性、规范性、客观性和公正性”的原则，开展绩效评价工作，得出综合评价结果，撰写绩效评价报告。</w:t>
      </w:r>
    </w:p>
    <w:p w14:paraId="48373655">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自评的方法和过程</w:t>
      </w:r>
    </w:p>
    <w:p w14:paraId="31994EFC">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rPr>
      </w:pPr>
      <w:r>
        <w:rPr>
          <w:rFonts w:hint="eastAsia" w:ascii="仿宋_GB2312" w:hAnsi="仿宋_GB2312" w:eastAsia="仿宋_GB2312" w:cs="仿宋_GB2312"/>
          <w:kern w:val="2"/>
          <w:sz w:val="32"/>
          <w:szCs w:val="32"/>
          <w:highlight w:val="none"/>
          <w:lang w:val="en-US" w:eastAsia="zh-CN" w:bidi="ar-SA"/>
        </w:rPr>
        <w:t>我部门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各种报表，由项目负责人介绍项目预期绩效目标及具体实施取得的实际效果，评价小组成员集中实地检查、核实佐证材料进</w:t>
      </w:r>
      <w:r>
        <w:rPr>
          <w:rFonts w:hint="eastAsia" w:ascii="仿宋" w:hAnsi="仿宋" w:eastAsia="仿宋" w:cs="仿宋"/>
          <w:sz w:val="32"/>
          <w:szCs w:val="32"/>
          <w:lang w:eastAsia="zh-CN"/>
        </w:rPr>
        <w:t>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14:paraId="65509C7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6E858E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1364CF7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2024年以</w:t>
      </w:r>
      <w:r>
        <w:rPr>
          <w:rFonts w:hint="eastAsia" w:ascii="仿宋_GB2312" w:hAnsi="仿宋_GB2312" w:eastAsia="仿宋_GB2312" w:cs="仿宋_GB2312"/>
          <w:sz w:val="32"/>
          <w:szCs w:val="32"/>
        </w:rPr>
        <w:t>来，区</w:t>
      </w:r>
      <w:r>
        <w:rPr>
          <w:rFonts w:hint="eastAsia" w:ascii="仿宋_GB2312" w:hAnsi="仿宋_GB2312" w:eastAsia="仿宋_GB2312" w:cs="仿宋_GB2312"/>
          <w:sz w:val="32"/>
          <w:szCs w:val="32"/>
          <w:lang w:val="en-US" w:eastAsia="zh-CN"/>
        </w:rPr>
        <w:t>投促局</w:t>
      </w:r>
      <w:r>
        <w:rPr>
          <w:rFonts w:hint="eastAsia" w:ascii="仿宋_GB2312" w:hAnsi="仿宋_GB2312" w:eastAsia="仿宋_GB2312" w:cs="仿宋_GB2312"/>
          <w:sz w:val="32"/>
          <w:szCs w:val="32"/>
          <w:lang w:eastAsia="zh-CN"/>
        </w:rPr>
        <w:t>在区</w:t>
      </w:r>
      <w:r>
        <w:rPr>
          <w:rFonts w:hint="eastAsia" w:ascii="仿宋_GB2312" w:hAnsi="仿宋_GB2312" w:eastAsia="仿宋_GB2312" w:cs="仿宋_GB2312"/>
          <w:sz w:val="32"/>
          <w:szCs w:val="32"/>
          <w:lang w:val="en-US" w:eastAsia="zh-CN"/>
        </w:rPr>
        <w:t>政府</w:t>
      </w:r>
      <w:r>
        <w:rPr>
          <w:rFonts w:hint="eastAsia" w:ascii="仿宋_GB2312" w:hAnsi="仿宋_GB2312" w:eastAsia="仿宋_GB2312" w:cs="仿宋_GB2312"/>
          <w:sz w:val="32"/>
          <w:szCs w:val="32"/>
          <w:lang w:eastAsia="zh-CN"/>
        </w:rPr>
        <w:t>的指导支持下，</w:t>
      </w:r>
      <w:r>
        <w:rPr>
          <w:rFonts w:hint="eastAsia" w:ascii="仿宋" w:hAnsi="仿宋" w:eastAsia="仿宋" w:cs="仿宋"/>
          <w:color w:val="auto"/>
          <w:sz w:val="32"/>
          <w:szCs w:val="32"/>
          <w:shd w:val="clear" w:color="auto" w:fill="FFFFFF"/>
          <w:lang w:val="en-US" w:eastAsia="zh-CN"/>
        </w:rPr>
        <w:t>充分</w:t>
      </w:r>
      <w:r>
        <w:rPr>
          <w:rFonts w:hint="eastAsia" w:ascii="仿宋" w:hAnsi="仿宋" w:eastAsia="仿宋" w:cs="仿宋"/>
          <w:color w:val="auto"/>
          <w:sz w:val="32"/>
          <w:szCs w:val="32"/>
          <w:shd w:val="clear" w:color="auto" w:fill="FFFFFF"/>
        </w:rPr>
        <w:t>发挥职能作用，</w:t>
      </w:r>
      <w:r>
        <w:rPr>
          <w:rFonts w:hint="eastAsia" w:ascii="仿宋_GB2312" w:hAnsi="仿宋_GB2312" w:eastAsia="仿宋_GB2312" w:cs="仿宋_GB2312"/>
          <w:b w:val="0"/>
          <w:bCs w:val="0"/>
          <w:color w:val="auto"/>
          <w:sz w:val="32"/>
          <w:szCs w:val="32"/>
          <w:highlight w:val="none"/>
          <w:lang w:val="en-US" w:eastAsia="zh-CN"/>
        </w:rPr>
        <w:t>坚持重点产业招商提质，围绕我区主导产业，制定招引产业清单，开展产业链供应链补短板锻长板行动，扎实有力推进招商引资工作取得实效。</w:t>
      </w:r>
      <w:r>
        <w:rPr>
          <w:rFonts w:hint="eastAsia" w:ascii="仿宋_GB2312" w:hAnsi="仿宋_GB2312" w:eastAsia="仿宋_GB2312" w:cs="仿宋_GB2312"/>
          <w:color w:val="auto"/>
          <w:sz w:val="32"/>
          <w:szCs w:val="32"/>
          <w:lang w:val="en-US" w:eastAsia="zh-CN"/>
        </w:rPr>
        <w:t>2024年，</w:t>
      </w:r>
      <w:r>
        <w:rPr>
          <w:rFonts w:hint="default" w:ascii="仿宋_GB2312" w:hAnsi="仿宋_GB2312" w:eastAsia="仿宋_GB2312" w:cs="仿宋_GB2312"/>
          <w:color w:val="auto"/>
          <w:sz w:val="32"/>
          <w:szCs w:val="32"/>
          <w:lang w:val="en-US" w:eastAsia="zh-CN"/>
        </w:rPr>
        <w:t>全区</w:t>
      </w:r>
      <w:r>
        <w:rPr>
          <w:rFonts w:hint="eastAsia" w:ascii="仿宋_GB2312" w:hAnsi="仿宋_GB2312" w:eastAsia="仿宋_GB2312" w:cs="仿宋_GB2312"/>
          <w:color w:val="auto"/>
          <w:sz w:val="32"/>
          <w:szCs w:val="32"/>
          <w:lang w:val="en-US" w:eastAsia="zh-CN"/>
        </w:rPr>
        <w:t>共提供线索信息达千条，对接项目1816个，签约项目68个，总投资78.1亿元，落地项目37个，总投资43.25亿元，投产项目6个，总投资7.67亿元，</w:t>
      </w:r>
      <w:r>
        <w:rPr>
          <w:rFonts w:hint="eastAsia" w:ascii="仿宋_GB2312" w:hAnsi="仿宋_GB2312" w:eastAsia="仿宋_GB2312" w:cs="仿宋_GB2312"/>
          <w:sz w:val="32"/>
          <w:szCs w:val="32"/>
          <w:lang w:val="en-US" w:eastAsia="zh-CN"/>
        </w:rPr>
        <w:t>积极</w:t>
      </w:r>
      <w:r>
        <w:rPr>
          <w:rFonts w:hint="default" w:ascii="仿宋_GB2312" w:hAnsi="仿宋_GB2312" w:eastAsia="仿宋_GB2312" w:cs="仿宋_GB2312"/>
          <w:sz w:val="32"/>
          <w:szCs w:val="32"/>
          <w:lang w:val="en-US" w:eastAsia="zh-CN"/>
        </w:rPr>
        <w:t>参加</w:t>
      </w:r>
      <w:r>
        <w:rPr>
          <w:rFonts w:hint="eastAsia" w:ascii="仿宋_GB2312" w:hAnsi="仿宋_GB2312" w:eastAsia="仿宋_GB2312" w:cs="仿宋_GB2312"/>
          <w:sz w:val="32"/>
          <w:szCs w:val="32"/>
          <w:lang w:val="en-US" w:eastAsia="zh-CN"/>
        </w:rPr>
        <w:t>全国糖酒商品交易会</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山东秋季糖酒会、</w:t>
      </w:r>
      <w:r>
        <w:rPr>
          <w:rFonts w:hint="default" w:ascii="仿宋_GB2312" w:hAnsi="仿宋_GB2312" w:eastAsia="仿宋_GB2312" w:cs="仿宋_GB2312"/>
          <w:sz w:val="32"/>
          <w:szCs w:val="32"/>
          <w:lang w:val="en-US" w:eastAsia="zh-CN"/>
        </w:rPr>
        <w:t>廊坊台资企业交流会、</w:t>
      </w:r>
      <w:r>
        <w:rPr>
          <w:rFonts w:hint="eastAsia" w:ascii="仿宋_GB2312" w:hAnsi="仿宋_GB2312" w:eastAsia="仿宋_GB2312" w:cs="仿宋_GB2312"/>
          <w:sz w:val="32"/>
          <w:szCs w:val="32"/>
          <w:lang w:val="en-US" w:eastAsia="zh-CN"/>
        </w:rPr>
        <w:t>京津冀食材电商节等特色展会</w:t>
      </w:r>
      <w:r>
        <w:rPr>
          <w:rFonts w:hint="default" w:ascii="仿宋_GB2312" w:hAnsi="仿宋_GB2312" w:eastAsia="仿宋_GB2312" w:cs="仿宋_GB2312"/>
          <w:sz w:val="32"/>
          <w:szCs w:val="32"/>
          <w:lang w:val="en-US" w:eastAsia="zh-CN"/>
        </w:rPr>
        <w:t>招商活动</w:t>
      </w: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次</w:t>
      </w:r>
      <w:r>
        <w:rPr>
          <w:rFonts w:hint="eastAsia" w:ascii="仿宋_GB2312" w:hAnsi="仿宋_GB2312" w:eastAsia="仿宋_GB2312" w:cs="仿宋_GB2312"/>
          <w:sz w:val="32"/>
          <w:szCs w:val="32"/>
          <w:lang w:val="en-US" w:eastAsia="zh-CN"/>
        </w:rPr>
        <w:t>。2024年度</w:t>
      </w:r>
      <w:r>
        <w:rPr>
          <w:rFonts w:hint="eastAsia" w:ascii="仿宋" w:hAnsi="仿宋" w:eastAsia="仿宋" w:cs="仿宋"/>
          <w:sz w:val="32"/>
          <w:szCs w:val="32"/>
        </w:rPr>
        <w:t>项目预算执行完成率为100%</w:t>
      </w:r>
      <w:r>
        <w:rPr>
          <w:rFonts w:hint="eastAsia" w:ascii="仿宋" w:hAnsi="仿宋" w:eastAsia="仿宋" w:cs="仿宋"/>
          <w:sz w:val="32"/>
          <w:szCs w:val="32"/>
          <w:lang w:val="en-US" w:eastAsia="zh-CN"/>
        </w:rPr>
        <w:t>。</w:t>
      </w:r>
    </w:p>
    <w:p w14:paraId="2EFBC30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27339DF1">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1、</w:t>
      </w:r>
      <w:r>
        <w:rPr>
          <w:rFonts w:hint="eastAsia" w:ascii="仿宋" w:hAnsi="仿宋" w:eastAsia="仿宋" w:cs="楷体_GB2312"/>
          <w:b w:val="0"/>
          <w:bCs w:val="0"/>
          <w:sz w:val="32"/>
          <w:szCs w:val="32"/>
        </w:rPr>
        <w:t>预算执行情况</w:t>
      </w:r>
    </w:p>
    <w:p w14:paraId="238D2AED">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eastAsia="zh-CN"/>
        </w:rPr>
        <w:t>该项目年初预算数</w:t>
      </w:r>
      <w:r>
        <w:rPr>
          <w:rFonts w:hint="eastAsia" w:ascii="仿宋_GB2312" w:hAnsi="仿宋_GB2312" w:eastAsia="仿宋_GB2312" w:cs="仿宋_GB2312"/>
          <w:kern w:val="2"/>
          <w:sz w:val="32"/>
          <w:szCs w:val="32"/>
          <w:highlight w:val="none"/>
          <w:lang w:val="en-US" w:eastAsia="zh-CN" w:bidi="ar-SA"/>
        </w:rPr>
        <w:t>374.42</w:t>
      </w:r>
      <w:r>
        <w:rPr>
          <w:rFonts w:hint="eastAsia" w:ascii="仿宋" w:hAnsi="仿宋" w:eastAsia="仿宋" w:cs="楷体_GB2312"/>
          <w:b w:val="0"/>
          <w:bCs w:val="0"/>
          <w:sz w:val="32"/>
          <w:szCs w:val="32"/>
          <w:lang w:val="en-US" w:eastAsia="zh-CN"/>
        </w:rPr>
        <w:t>万，年终实际资金执行数</w:t>
      </w:r>
      <w:r>
        <w:rPr>
          <w:rFonts w:hint="eastAsia" w:ascii="仿宋_GB2312" w:hAnsi="仿宋_GB2312" w:eastAsia="仿宋_GB2312" w:cs="仿宋_GB2312"/>
          <w:kern w:val="2"/>
          <w:sz w:val="32"/>
          <w:szCs w:val="32"/>
          <w:highlight w:val="none"/>
          <w:lang w:val="en-US" w:eastAsia="zh-CN" w:bidi="ar-SA"/>
        </w:rPr>
        <w:t>374.42</w:t>
      </w:r>
      <w:r>
        <w:rPr>
          <w:rFonts w:hint="eastAsia" w:ascii="仿宋" w:hAnsi="仿宋" w:eastAsia="仿宋" w:cs="楷体_GB2312"/>
          <w:b w:val="0"/>
          <w:bCs w:val="0"/>
          <w:sz w:val="32"/>
          <w:szCs w:val="32"/>
          <w:lang w:val="en-US" w:eastAsia="zh-CN"/>
        </w:rPr>
        <w:t>万，预算资金使用率100%，分值10分。</w:t>
      </w:r>
    </w:p>
    <w:p w14:paraId="4DD5A6E2">
      <w:pPr>
        <w:keepNext w:val="0"/>
        <w:keepLines w:val="0"/>
        <w:pageBreakBefore w:val="0"/>
        <w:widowControl w:val="0"/>
        <w:numPr>
          <w:ilvl w:val="0"/>
          <w:numId w:val="0"/>
        </w:numPr>
        <w:kinsoku/>
        <w:wordWrap/>
        <w:overflowPunct/>
        <w:topLinePunct w:val="0"/>
        <w:autoSpaceDE/>
        <w:autoSpaceDN/>
        <w:bidi w:val="0"/>
        <w:spacing w:line="560" w:lineRule="exact"/>
        <w:ind w:right="0" w:rightChars="0"/>
        <w:textAlignment w:val="auto"/>
        <w:outlineLvl w:val="9"/>
        <w:rPr>
          <w:rFonts w:ascii="仿宋" w:hAnsi="仿宋" w:eastAsia="仿宋"/>
          <w:b w:val="0"/>
          <w:bCs w:val="0"/>
          <w:sz w:val="32"/>
          <w:szCs w:val="32"/>
        </w:rPr>
      </w:pPr>
      <w:r>
        <w:rPr>
          <w:rFonts w:hint="eastAsia" w:ascii="仿宋" w:hAnsi="仿宋" w:eastAsia="仿宋" w:cs="楷体_GB2312"/>
          <w:b w:val="0"/>
          <w:bCs w:val="0"/>
          <w:sz w:val="32"/>
          <w:szCs w:val="32"/>
          <w:lang w:val="en-US" w:eastAsia="zh-CN"/>
        </w:rPr>
        <w:t>2、</w:t>
      </w:r>
      <w:r>
        <w:rPr>
          <w:rFonts w:hint="eastAsia" w:ascii="仿宋" w:hAnsi="仿宋" w:eastAsia="仿宋" w:cs="楷体_GB2312"/>
          <w:b w:val="0"/>
          <w:bCs w:val="0"/>
          <w:sz w:val="32"/>
          <w:szCs w:val="32"/>
        </w:rPr>
        <w:t>项目产出</w:t>
      </w:r>
    </w:p>
    <w:p w14:paraId="68E126B5">
      <w:pPr>
        <w:keepNext w:val="0"/>
        <w:keepLines w:val="0"/>
        <w:pageBreakBefore w:val="0"/>
        <w:widowControl w:val="0"/>
        <w:kinsoku/>
        <w:wordWrap/>
        <w:overflowPunct/>
        <w:topLinePunct w:val="0"/>
        <w:autoSpaceDE/>
        <w:autoSpaceDN/>
        <w:bidi w:val="0"/>
        <w:spacing w:line="560" w:lineRule="exact"/>
        <w:ind w:right="0" w:firstLine="640" w:firstLineChars="200"/>
        <w:textAlignment w:val="auto"/>
        <w:outlineLvl w:val="9"/>
        <w:rPr>
          <w:rFonts w:hint="eastAsia" w:ascii="仿宋" w:hAnsi="仿宋" w:eastAsia="仿宋" w:cs="Times New Roman"/>
          <w:sz w:val="32"/>
          <w:szCs w:val="32"/>
        </w:rPr>
      </w:pPr>
      <w:r>
        <w:rPr>
          <w:rFonts w:hint="default" w:ascii="仿宋_GB2312" w:hAnsi="仿宋_GB2312" w:eastAsia="仿宋_GB2312" w:cs="仿宋_GB2312"/>
          <w:color w:val="auto"/>
          <w:sz w:val="32"/>
          <w:szCs w:val="32"/>
          <w:lang w:val="en-US" w:eastAsia="zh-CN"/>
        </w:rPr>
        <w:t>全区</w:t>
      </w:r>
      <w:r>
        <w:rPr>
          <w:rFonts w:hint="eastAsia" w:ascii="仿宋_GB2312" w:hAnsi="仿宋_GB2312" w:eastAsia="仿宋_GB2312" w:cs="仿宋_GB2312"/>
          <w:color w:val="auto"/>
          <w:sz w:val="32"/>
          <w:szCs w:val="32"/>
          <w:lang w:val="en-US" w:eastAsia="zh-CN"/>
        </w:rPr>
        <w:t>各单位共提供线索信息达千条，对接项目1816个，签约项目68个，总投资78.1亿元，落地项目37个，总投资43.25亿元，投产项目6个，总投资7.67亿元</w:t>
      </w:r>
      <w:r>
        <w:rPr>
          <w:rFonts w:hint="default" w:ascii="仿宋_GB2312" w:hAnsi="仿宋_GB2312" w:eastAsia="仿宋_GB2312" w:cs="仿宋_GB2312"/>
          <w:sz w:val="32"/>
          <w:szCs w:val="32"/>
          <w:lang w:val="en-US" w:eastAsia="zh-CN"/>
        </w:rPr>
        <w:t>，参加</w:t>
      </w:r>
      <w:r>
        <w:rPr>
          <w:rFonts w:hint="eastAsia" w:ascii="仿宋_GB2312" w:hAnsi="仿宋_GB2312" w:eastAsia="仿宋_GB2312" w:cs="仿宋_GB2312"/>
          <w:sz w:val="32"/>
          <w:szCs w:val="32"/>
          <w:lang w:val="en-US" w:eastAsia="zh-CN"/>
        </w:rPr>
        <w:t>全国糖酒商品交易会</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山东秋季糖酒会、</w:t>
      </w:r>
      <w:r>
        <w:rPr>
          <w:rFonts w:hint="default" w:ascii="仿宋_GB2312" w:hAnsi="仿宋_GB2312" w:eastAsia="仿宋_GB2312" w:cs="仿宋_GB2312"/>
          <w:sz w:val="32"/>
          <w:szCs w:val="32"/>
          <w:lang w:val="en-US" w:eastAsia="zh-CN"/>
        </w:rPr>
        <w:t>廊坊台资企业交流会、</w:t>
      </w:r>
      <w:r>
        <w:rPr>
          <w:rFonts w:hint="eastAsia" w:ascii="仿宋_GB2312" w:hAnsi="仿宋_GB2312" w:eastAsia="仿宋_GB2312" w:cs="仿宋_GB2312"/>
          <w:sz w:val="32"/>
          <w:szCs w:val="32"/>
          <w:lang w:val="en-US" w:eastAsia="zh-CN"/>
        </w:rPr>
        <w:t>京津冀食材电商节等特色展会</w:t>
      </w:r>
      <w:r>
        <w:rPr>
          <w:rFonts w:hint="default" w:ascii="仿宋_GB2312" w:hAnsi="仿宋_GB2312" w:eastAsia="仿宋_GB2312" w:cs="仿宋_GB2312"/>
          <w:sz w:val="32"/>
          <w:szCs w:val="32"/>
          <w:lang w:val="en-US" w:eastAsia="zh-CN"/>
        </w:rPr>
        <w:t>招商活动</w:t>
      </w: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次</w:t>
      </w:r>
      <w:r>
        <w:rPr>
          <w:rFonts w:hint="eastAsia" w:ascii="仿宋_GB2312" w:hAnsi="仿宋_GB2312" w:eastAsia="仿宋_GB2312" w:cs="仿宋_GB2312"/>
          <w:sz w:val="32"/>
          <w:szCs w:val="32"/>
          <w:lang w:val="en-US" w:eastAsia="zh-CN"/>
        </w:rPr>
        <w:t>，</w:t>
      </w:r>
      <w:r>
        <w:rPr>
          <w:rFonts w:hint="eastAsia" w:ascii="仿宋" w:hAnsi="仿宋" w:eastAsia="仿宋" w:cs="Times New Roman"/>
          <w:sz w:val="32"/>
          <w:szCs w:val="32"/>
          <w:lang w:val="en-US" w:eastAsia="zh-CN"/>
        </w:rPr>
        <w:t>完成率100%，各项活动都在规定的时间内完成，完成及时率100%。各项活动均高质量完成，达标率100%。</w:t>
      </w:r>
    </w:p>
    <w:p w14:paraId="27B1DE2E">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 w:cs="仿宋_GB2312"/>
          <w:sz w:val="32"/>
          <w:szCs w:val="32"/>
          <w:lang w:val="en-US" w:eastAsia="zh-CN"/>
        </w:rPr>
      </w:pPr>
    </w:p>
    <w:p w14:paraId="2331D653">
      <w:pPr>
        <w:keepNext w:val="0"/>
        <w:keepLines w:val="0"/>
        <w:pageBreakBefore w:val="0"/>
        <w:widowControl w:val="0"/>
        <w:numPr>
          <w:ilvl w:val="0"/>
          <w:numId w:val="0"/>
        </w:numPr>
        <w:kinsoku/>
        <w:wordWrap/>
        <w:overflowPunct/>
        <w:topLinePunct w:val="0"/>
        <w:autoSpaceDE/>
        <w:autoSpaceDN/>
        <w:bidi w:val="0"/>
        <w:spacing w:line="560" w:lineRule="exact"/>
        <w:ind w:right="0" w:rightChars="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val="en-US" w:eastAsia="zh-CN"/>
        </w:rPr>
        <w:t>3、</w:t>
      </w:r>
      <w:r>
        <w:rPr>
          <w:rFonts w:hint="eastAsia" w:ascii="仿宋" w:hAnsi="仿宋" w:eastAsia="仿宋" w:cs="Times New Roman"/>
          <w:sz w:val="32"/>
          <w:szCs w:val="32"/>
        </w:rPr>
        <w:t>项目效益</w:t>
      </w:r>
    </w:p>
    <w:p w14:paraId="6BB013EC">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val="en-US" w:eastAsia="zh-CN"/>
        </w:rPr>
        <w:t>区投促局以</w:t>
      </w:r>
      <w:r>
        <w:rPr>
          <w:rFonts w:hint="eastAsia" w:ascii="仿宋_GB2312" w:hAnsi="仿宋_GB2312" w:eastAsia="仿宋_GB2312" w:cs="仿宋_GB2312"/>
          <w:b w:val="0"/>
          <w:bCs w:val="0"/>
          <w:sz w:val="32"/>
          <w:szCs w:val="32"/>
          <w:lang w:val="en-US" w:eastAsia="zh-CN"/>
        </w:rPr>
        <w:t>本地核心企业为依托，赴行业发达区域开展以商招商、精准招商、驻点招商，举办高端装备制造、文旅康养、现代农业等各类招商推介，以高质量招商引资为高质量发展蓄势赋能。</w:t>
      </w:r>
      <w:r>
        <w:rPr>
          <w:rFonts w:hint="eastAsia" w:ascii="仿宋" w:hAnsi="仿宋" w:eastAsia="仿宋" w:cs="Times New Roman"/>
          <w:sz w:val="32"/>
          <w:szCs w:val="32"/>
          <w:lang w:val="en-US" w:eastAsia="zh-CN"/>
        </w:rPr>
        <w:t>完成率100%。</w:t>
      </w:r>
    </w:p>
    <w:p w14:paraId="188F195A">
      <w:pPr>
        <w:keepNext w:val="0"/>
        <w:keepLines w:val="0"/>
        <w:pageBreakBefore w:val="0"/>
        <w:widowControl w:val="0"/>
        <w:numPr>
          <w:ilvl w:val="0"/>
          <w:numId w:val="0"/>
        </w:numPr>
        <w:kinsoku/>
        <w:wordWrap/>
        <w:overflowPunct/>
        <w:topLinePunct w:val="0"/>
        <w:autoSpaceDE/>
        <w:autoSpaceDN/>
        <w:bidi w:val="0"/>
        <w:spacing w:line="560" w:lineRule="exact"/>
        <w:ind w:right="0" w:rightChars="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val="en-US" w:eastAsia="zh-CN"/>
        </w:rPr>
        <w:t>4、</w:t>
      </w:r>
      <w:r>
        <w:rPr>
          <w:rFonts w:hint="eastAsia" w:ascii="仿宋" w:hAnsi="仿宋" w:eastAsia="仿宋" w:cs="Times New Roman"/>
          <w:sz w:val="32"/>
          <w:szCs w:val="32"/>
        </w:rPr>
        <w:t>满意度</w:t>
      </w:r>
    </w:p>
    <w:p w14:paraId="2D0481BC">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Times New Roman"/>
          <w:b w:val="0"/>
          <w:bCs w:val="0"/>
          <w:sz w:val="32"/>
          <w:szCs w:val="32"/>
          <w:lang w:val="en-US" w:eastAsia="zh-CN"/>
        </w:rPr>
      </w:pPr>
      <w:r>
        <w:rPr>
          <w:rFonts w:hint="eastAsia" w:ascii="仿宋" w:hAnsi="仿宋" w:eastAsia="仿宋" w:cs="Times New Roman"/>
          <w:sz w:val="32"/>
          <w:szCs w:val="32"/>
          <w:lang w:val="en-US" w:eastAsia="zh-CN"/>
        </w:rPr>
        <w:t>群众满意度100%，评价结果为优。</w:t>
      </w:r>
    </w:p>
    <w:p w14:paraId="318BBF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Times New Roman"/>
          <w:b w:val="0"/>
          <w:bCs w:val="0"/>
          <w:sz w:val="32"/>
          <w:szCs w:val="32"/>
          <w:lang w:val="en-US" w:eastAsia="zh-CN"/>
        </w:rPr>
      </w:pPr>
      <w:r>
        <w:rPr>
          <w:rFonts w:hint="eastAsia" w:ascii="仿宋" w:hAnsi="仿宋" w:eastAsia="仿宋" w:cs="Times New Roman"/>
          <w:sz w:val="32"/>
          <w:szCs w:val="32"/>
        </w:rPr>
        <w:t>项目</w:t>
      </w:r>
      <w:r>
        <w:rPr>
          <w:rFonts w:hint="eastAsia" w:ascii="仿宋" w:hAnsi="仿宋" w:eastAsia="仿宋" w:cs="Times New Roman"/>
          <w:sz w:val="32"/>
          <w:szCs w:val="32"/>
          <w:lang w:val="en-US" w:eastAsia="zh-CN"/>
        </w:rPr>
        <w:t>绩效评价得分为100分</w:t>
      </w:r>
      <w:r>
        <w:rPr>
          <w:rFonts w:hint="eastAsia" w:ascii="仿宋" w:hAnsi="仿宋" w:eastAsia="仿宋"/>
          <w:sz w:val="32"/>
          <w:szCs w:val="32"/>
        </w:rPr>
        <w:t>，综合评价结论和项目综合绩效评价等级</w:t>
      </w:r>
      <w:r>
        <w:rPr>
          <w:rFonts w:hint="eastAsia" w:ascii="仿宋" w:hAnsi="仿宋" w:eastAsia="仿宋"/>
          <w:sz w:val="32"/>
          <w:szCs w:val="32"/>
          <w:lang w:val="en-US" w:eastAsia="zh-CN"/>
        </w:rPr>
        <w:t>为优秀。</w:t>
      </w:r>
    </w:p>
    <w:p w14:paraId="736660D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6"/>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020"/>
        <w:gridCol w:w="1040"/>
        <w:gridCol w:w="1335"/>
        <w:gridCol w:w="1560"/>
        <w:gridCol w:w="1485"/>
        <w:gridCol w:w="900"/>
      </w:tblGrid>
      <w:tr w14:paraId="2728D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020" w:type="dxa"/>
          </w:tcPr>
          <w:p w14:paraId="30597F27">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040" w:type="dxa"/>
          </w:tcPr>
          <w:p w14:paraId="0D47DCF2">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14:paraId="1A206197">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14:paraId="618E2530">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14:paraId="3F42637D">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14:paraId="28ED3416">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14:paraId="421C7F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020" w:type="dxa"/>
            <w:vAlign w:val="center"/>
          </w:tcPr>
          <w:p w14:paraId="484A5554">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1、招商推介活动经费</w:t>
            </w:r>
          </w:p>
        </w:tc>
        <w:tc>
          <w:tcPr>
            <w:tcW w:w="1040" w:type="dxa"/>
            <w:vAlign w:val="center"/>
          </w:tcPr>
          <w:p w14:paraId="6B2F89DF">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253CA9D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7FF00BFF">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38</w:t>
            </w:r>
          </w:p>
        </w:tc>
        <w:tc>
          <w:tcPr>
            <w:tcW w:w="1485" w:type="dxa"/>
            <w:vAlign w:val="center"/>
          </w:tcPr>
          <w:p w14:paraId="38C37D5D">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53B07C9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98</w:t>
            </w:r>
          </w:p>
        </w:tc>
      </w:tr>
      <w:tr w14:paraId="1C1E5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020" w:type="dxa"/>
            <w:vAlign w:val="center"/>
          </w:tcPr>
          <w:p w14:paraId="41DC273C">
            <w:pPr>
              <w:tabs>
                <w:tab w:val="left" w:pos="1937"/>
              </w:tabs>
              <w:snapToGrid w:val="0"/>
              <w:spacing w:line="360" w:lineRule="auto"/>
              <w:jc w:val="left"/>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2、招商工作经费</w:t>
            </w:r>
          </w:p>
        </w:tc>
        <w:tc>
          <w:tcPr>
            <w:tcW w:w="1040" w:type="dxa"/>
            <w:vAlign w:val="center"/>
          </w:tcPr>
          <w:p w14:paraId="7CABEB7B">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62B90CA6">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688FED0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38</w:t>
            </w:r>
          </w:p>
        </w:tc>
        <w:tc>
          <w:tcPr>
            <w:tcW w:w="1485" w:type="dxa"/>
            <w:vAlign w:val="center"/>
          </w:tcPr>
          <w:p w14:paraId="2D42F3C2">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70F9966D">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98</w:t>
            </w:r>
          </w:p>
        </w:tc>
      </w:tr>
    </w:tbl>
    <w:p w14:paraId="4E849518">
      <w:pPr>
        <w:widowControl w:val="0"/>
        <w:wordWrap/>
        <w:adjustRightInd w:val="0"/>
        <w:snapToGrid w:val="0"/>
        <w:spacing w:line="560" w:lineRule="exact"/>
        <w:ind w:right="0"/>
        <w:textAlignment w:val="auto"/>
        <w:outlineLvl w:val="9"/>
        <w:rPr>
          <w:rFonts w:hint="eastAsia" w:ascii="仿宋" w:hAnsi="仿宋" w:eastAsia="仿宋"/>
          <w:sz w:val="32"/>
          <w:szCs w:val="32"/>
        </w:rPr>
      </w:pPr>
    </w:p>
    <w:p w14:paraId="3829CFAF">
      <w:pPr>
        <w:widowControl w:val="0"/>
        <w:wordWrap/>
        <w:adjustRightInd w:val="0"/>
        <w:snapToGrid w:val="0"/>
        <w:spacing w:line="560" w:lineRule="exact"/>
        <w:ind w:right="0" w:firstLine="320" w:firstLineChars="100"/>
        <w:textAlignment w:val="auto"/>
        <w:outlineLvl w:val="9"/>
        <w:rPr>
          <w:rFonts w:hint="eastAsia" w:ascii="黑体" w:hAnsi="黑体" w:eastAsia="黑体" w:cs="黑体"/>
          <w:sz w:val="32"/>
          <w:szCs w:val="32"/>
          <w:lang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得分</w:t>
      </w:r>
      <w:r>
        <w:rPr>
          <w:rFonts w:hint="eastAsia" w:ascii="仿宋" w:hAnsi="仿宋" w:eastAsia="仿宋"/>
          <w:sz w:val="32"/>
          <w:szCs w:val="32"/>
          <w:lang w:val="en-US" w:eastAsia="zh-CN"/>
        </w:rPr>
        <w:t>99分，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14:paraId="4D8BE985">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362A2152">
      <w:pPr>
        <w:keepNext w:val="0"/>
        <w:keepLines w:val="0"/>
        <w:pageBreakBefore w:val="0"/>
        <w:widowControl w:val="0"/>
        <w:numPr>
          <w:ilvl w:val="0"/>
          <w:numId w:val="6"/>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62E5A38E">
      <w:pPr>
        <w:pStyle w:val="2"/>
        <w:numPr>
          <w:ilvl w:val="0"/>
          <w:numId w:val="0"/>
        </w:numPr>
        <w:ind w:firstLine="640" w:firstLineChars="200"/>
        <w:rPr>
          <w:rFonts w:hint="eastAsia"/>
        </w:rPr>
      </w:pPr>
      <w:r>
        <w:rPr>
          <w:rFonts w:hint="eastAsia"/>
          <w:lang w:val="en-US" w:eastAsia="zh-CN"/>
        </w:rPr>
        <w:t>我部门2024年度绩效目标全部按时完成，在绩效评价工作过程中，我部门预算绩效管理评价工作小组发现，有个别项目年初绩效指标设定还是较为简单、不够全面、不易评价，不够详尽。</w:t>
      </w:r>
    </w:p>
    <w:p w14:paraId="03428797">
      <w:pPr>
        <w:keepNext w:val="0"/>
        <w:keepLines w:val="0"/>
        <w:pageBreakBefore w:val="0"/>
        <w:widowControl w:val="0"/>
        <w:numPr>
          <w:ilvl w:val="0"/>
          <w:numId w:val="6"/>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27446001">
      <w:pPr>
        <w:pStyle w:val="2"/>
        <w:ind w:firstLine="640" w:firstLineChars="200"/>
        <w:rPr>
          <w:rFonts w:hint="eastAsia"/>
        </w:rPr>
      </w:pPr>
      <w:r>
        <w:rPr>
          <w:rFonts w:hint="eastAsia"/>
          <w:sz w:val="32"/>
          <w:lang w:val="en-US" w:eastAsia="zh-CN"/>
        </w:rPr>
        <w:t>在今后的年度预算工作中将进行进一步加强对绩效管理工作的组织领导，提高于部职工对绩效自评的认识，完善工作方法，及时发现项目运行过程中出现的问题并加以改进，争取建立更加科学合理全面的绩效评价体系。</w:t>
      </w:r>
    </w:p>
    <w:p w14:paraId="112C2EB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DA03A">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B5CD0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B5CD0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6E697">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CCCFE"/>
    <w:multiLevelType w:val="singleLevel"/>
    <w:tmpl w:val="88FCCCFE"/>
    <w:lvl w:ilvl="0" w:tentative="0">
      <w:start w:val="1"/>
      <w:numFmt w:val="decimal"/>
      <w:suff w:val="nothing"/>
      <w:lvlText w:val="%1、"/>
      <w:lvlJc w:val="left"/>
    </w:lvl>
  </w:abstractNum>
  <w:abstractNum w:abstractNumId="1">
    <w:nsid w:val="92712C47"/>
    <w:multiLevelType w:val="singleLevel"/>
    <w:tmpl w:val="92712C47"/>
    <w:lvl w:ilvl="0" w:tentative="0">
      <w:start w:val="2"/>
      <w:numFmt w:val="chineseCounting"/>
      <w:suff w:val="nothing"/>
      <w:lvlText w:val="（%1）"/>
      <w:lvlJc w:val="left"/>
      <w:rPr>
        <w:rFonts w:hint="eastAsia"/>
      </w:rPr>
    </w:lvl>
  </w:abstractNum>
  <w:abstractNum w:abstractNumId="2">
    <w:nsid w:val="98E0822F"/>
    <w:multiLevelType w:val="singleLevel"/>
    <w:tmpl w:val="98E0822F"/>
    <w:lvl w:ilvl="0" w:tentative="0">
      <w:start w:val="2"/>
      <w:numFmt w:val="chineseCounting"/>
      <w:suff w:val="nothing"/>
      <w:lvlText w:val="%1、"/>
      <w:lvlJc w:val="left"/>
      <w:rPr>
        <w:rFonts w:hint="eastAsia"/>
      </w:rPr>
    </w:lvl>
  </w:abstractNum>
  <w:abstractNum w:abstractNumId="3">
    <w:nsid w:val="A35F25B5"/>
    <w:multiLevelType w:val="singleLevel"/>
    <w:tmpl w:val="A35F25B5"/>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abstractNum w:abstractNumId="5">
    <w:nsid w:val="56BDA001"/>
    <w:multiLevelType w:val="singleLevel"/>
    <w:tmpl w:val="56BDA001"/>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4D962EF"/>
    <w:rsid w:val="055B525F"/>
    <w:rsid w:val="0929578A"/>
    <w:rsid w:val="0EA63B17"/>
    <w:rsid w:val="13B61930"/>
    <w:rsid w:val="19EE4A5D"/>
    <w:rsid w:val="1A3B21A2"/>
    <w:rsid w:val="1BAF1154"/>
    <w:rsid w:val="1C655171"/>
    <w:rsid w:val="1FCD2D0E"/>
    <w:rsid w:val="20276775"/>
    <w:rsid w:val="20EB5584"/>
    <w:rsid w:val="21195411"/>
    <w:rsid w:val="22645F93"/>
    <w:rsid w:val="25EE2625"/>
    <w:rsid w:val="26B75F6B"/>
    <w:rsid w:val="272440B4"/>
    <w:rsid w:val="28C74477"/>
    <w:rsid w:val="2D6B7C48"/>
    <w:rsid w:val="2DB05FCE"/>
    <w:rsid w:val="2E6F3842"/>
    <w:rsid w:val="2F21721A"/>
    <w:rsid w:val="2F2C2A40"/>
    <w:rsid w:val="2FFB1EFC"/>
    <w:rsid w:val="329822E0"/>
    <w:rsid w:val="33497E29"/>
    <w:rsid w:val="344704E1"/>
    <w:rsid w:val="35466FCB"/>
    <w:rsid w:val="357B093C"/>
    <w:rsid w:val="370A29D5"/>
    <w:rsid w:val="39744C0B"/>
    <w:rsid w:val="39B85B8B"/>
    <w:rsid w:val="3A7963F7"/>
    <w:rsid w:val="3AEF6FE7"/>
    <w:rsid w:val="3BB13156"/>
    <w:rsid w:val="3E110050"/>
    <w:rsid w:val="441F3676"/>
    <w:rsid w:val="47F10CD8"/>
    <w:rsid w:val="493B718D"/>
    <w:rsid w:val="4BD2477A"/>
    <w:rsid w:val="4DB83F1E"/>
    <w:rsid w:val="4F9841CB"/>
    <w:rsid w:val="51700AB9"/>
    <w:rsid w:val="52C311DC"/>
    <w:rsid w:val="53A42ADD"/>
    <w:rsid w:val="541C6B97"/>
    <w:rsid w:val="55750A0C"/>
    <w:rsid w:val="55CF7A73"/>
    <w:rsid w:val="563B01B4"/>
    <w:rsid w:val="56604927"/>
    <w:rsid w:val="590F0BE0"/>
    <w:rsid w:val="5AA54C79"/>
    <w:rsid w:val="5C4A315B"/>
    <w:rsid w:val="5E54468F"/>
    <w:rsid w:val="5ED32A06"/>
    <w:rsid w:val="65DF3295"/>
    <w:rsid w:val="661D3074"/>
    <w:rsid w:val="670218E2"/>
    <w:rsid w:val="6B1C1E0E"/>
    <w:rsid w:val="6BDE7164"/>
    <w:rsid w:val="70DA4764"/>
    <w:rsid w:val="73773FBF"/>
    <w:rsid w:val="7395766C"/>
    <w:rsid w:val="76964265"/>
    <w:rsid w:val="77FA3B8D"/>
    <w:rsid w:val="788A3AA0"/>
    <w:rsid w:val="7DCD062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4"/>
    <w:qFormat/>
    <w:uiPriority w:val="99"/>
    <w:rPr>
      <w:sz w:val="18"/>
      <w:szCs w:val="18"/>
    </w:rPr>
  </w:style>
  <w:style w:type="character" w:customStyle="1" w:styleId="10">
    <w:name w:val="页脚 Char"/>
    <w:basedOn w:val="8"/>
    <w:link w:val="3"/>
    <w:qFormat/>
    <w:uiPriority w:val="99"/>
    <w:rPr>
      <w:sz w:val="18"/>
      <w:szCs w:val="18"/>
    </w:rPr>
  </w:style>
  <w:style w:type="paragraph" w:customStyle="1" w:styleId="11">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373</Words>
  <Characters>373</Characters>
  <Lines>3</Lines>
  <Paragraphs>1</Paragraphs>
  <TotalTime>4</TotalTime>
  <ScaleCrop>false</ScaleCrop>
  <LinksUpToDate>false</LinksUpToDate>
  <CharactersWithSpaces>373</CharactersWithSpaces>
  <Application>WPS Office_12.8.2.18205_F1E327BC-269C-435d-A152-05C5408002CA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2024-05-30T07:41:00Z</cp:lastPrinted>
  <dcterms:modified xsi:type="dcterms:W3CDTF">2025-12-08T07:17:46Z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2052-12.8.2.18205</vt:lpwstr>
  </property>
  <property fmtid="{D5CDD505-2E9C-101B-9397-08002B2CF9AE}" pid="3" name="ICV">
    <vt:lpwstr>A2BDE07334854D3D9A42AE4D019DAB29_13</vt:lpwstr>
  </property>
</Properties>
</file>