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  <w:t>石家庄市藁城区2025年地膜科学使用回收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  <w:t>实施方案</w:t>
      </w: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华文仿宋"/>
          <w:color w:val="auto"/>
          <w:sz w:val="32"/>
          <w:szCs w:val="32"/>
          <w:lang w:val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按照</w:t>
      </w:r>
      <w:bookmarkStart w:id="0" w:name="OLE_LINK1"/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河北省农业农村厅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关于印发《河北省2025年中央和省级财政提前下达农业转移支付项目实施方案》的通知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（冀农财发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〔2025〕1号）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和石家庄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财政局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《关于提前下达2025年中央农业生态资源保护资金预算的通知》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财农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2024〕64号）要求，2025年分配我区项目资金28万元，</w:t>
      </w:r>
      <w:bookmarkEnd w:id="0"/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用于开展</w:t>
      </w:r>
      <w:bookmarkStart w:id="1" w:name="OLE_LINK2"/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地膜科学使用回收</w:t>
      </w:r>
      <w:bookmarkEnd w:id="1"/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试点工作</w:t>
      </w:r>
      <w:r>
        <w:rPr>
          <w:rFonts w:hint="eastAsia" w:ascii="仿宋" w:hAnsi="仿宋" w:eastAsia="仿宋" w:cs="华文仿宋"/>
          <w:color w:val="auto"/>
          <w:sz w:val="32"/>
          <w:szCs w:val="32"/>
          <w:lang w:val="en-US" w:eastAsia="zh-CN"/>
        </w:rPr>
        <w:t>，</w:t>
      </w:r>
      <w:r>
        <w:rPr>
          <w:rFonts w:ascii="仿宋_GB2312" w:hAnsi="仿宋_GB2312" w:eastAsia="仿宋_GB2312" w:cs="仿宋_GB2312"/>
          <w:color w:val="auto"/>
          <w:kern w:val="0"/>
          <w:sz w:val="31"/>
          <w:szCs w:val="31"/>
          <w:lang w:val="en-US" w:eastAsia="zh-CN" w:bidi="ar"/>
        </w:rPr>
        <w:t>推</w:t>
      </w:r>
      <w:r>
        <w:rPr>
          <w:rFonts w:hint="eastAsia" w:ascii="仿宋_GB2312" w:hAnsi="仿宋_GB2312" w:eastAsia="仿宋_GB2312" w:cs="仿宋_GB2312"/>
          <w:color w:val="auto"/>
          <w:kern w:val="0"/>
          <w:sz w:val="31"/>
          <w:szCs w:val="31"/>
          <w:lang w:val="en-US" w:eastAsia="zh-CN" w:bidi="ar"/>
        </w:rPr>
        <w:t>进加厚高强度地膜和全生物降解地膜使用，有效提高地膜科学使用回收水平，促进农业高质量发展。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仿宋" w:hAnsi="仿宋" w:eastAsia="仿宋" w:cs="华文仿宋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一、基本情况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(一)</w:t>
      </w: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</w:rPr>
        <w:t>县域</w:t>
      </w: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基本情况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藁城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位于河北省会石家庄市东部，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地理坐标为北纬37°51′～38°18′44″，东经114°38′45″～114°58′47″，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面积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769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平方公里，现辖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12个乡镇、207个村、12个社区，耕地面积58.6万亩，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素有“冀中明珠”“燕赵天府”之美誉。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先后荣获全国综合实力百强区、全国工业百强区、全国绿色发展百强区、全国投资竞争力百强区、全国首批自然资源节约集约示范区、全国首批创建农业现代化示范区、国家级大豆科技自强示范区、全国首届硒资源变硒产业十佳地区等荣誉称号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（二）</w:t>
      </w: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eastAsia="zh-CN"/>
        </w:rPr>
        <w:t>地膜覆盖应用与回收利用状况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我区地膜覆盖栽培技术主要应用于</w:t>
      </w:r>
      <w:r>
        <w:rPr>
          <w:rFonts w:hint="eastAsia" w:ascii="仿宋_GB2312" w:hAnsi="仿宋_GB2312" w:eastAsia="仿宋_GB2312" w:cs="方正仿宋_GBK"/>
          <w:color w:val="000000"/>
          <w:sz w:val="32"/>
          <w:szCs w:val="32"/>
          <w:highlight w:val="none"/>
        </w:rPr>
        <w:t>蔬菜、</w:t>
      </w:r>
      <w:r>
        <w:rPr>
          <w:rFonts w:hint="eastAsia" w:ascii="仿宋_GB2312" w:hAnsi="仿宋_GB2312" w:eastAsia="仿宋_GB2312" w:cs="方正仿宋_GBK"/>
          <w:color w:val="000000"/>
          <w:sz w:val="32"/>
          <w:szCs w:val="32"/>
          <w:highlight w:val="none"/>
          <w:lang w:val="en-US" w:eastAsia="zh-CN"/>
        </w:rPr>
        <w:t>瓜果、春</w:t>
      </w:r>
      <w:r>
        <w:rPr>
          <w:rFonts w:hint="eastAsia" w:ascii="仿宋_GB2312" w:hAnsi="仿宋_GB2312" w:eastAsia="仿宋_GB2312" w:cs="方正仿宋_GBK"/>
          <w:color w:val="000000"/>
          <w:sz w:val="32"/>
          <w:szCs w:val="32"/>
          <w:highlight w:val="none"/>
        </w:rPr>
        <w:t>玉米</w:t>
      </w:r>
      <w:r>
        <w:rPr>
          <w:rFonts w:hint="eastAsia" w:ascii="仿宋_GB2312" w:hAnsi="仿宋_GB2312" w:eastAsia="仿宋_GB2312" w:cs="方正仿宋_GBK"/>
          <w:color w:val="000000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方正仿宋_GBK"/>
          <w:color w:val="000000"/>
          <w:sz w:val="32"/>
          <w:szCs w:val="32"/>
          <w:highlight w:val="none"/>
          <w:lang w:val="en-US" w:eastAsia="zh-CN"/>
        </w:rPr>
        <w:t>红</w:t>
      </w:r>
      <w:r>
        <w:rPr>
          <w:rFonts w:hint="eastAsia" w:ascii="仿宋_GB2312" w:hAnsi="仿宋_GB2312" w:eastAsia="仿宋_GB2312" w:cs="方正仿宋_GBK"/>
          <w:color w:val="000000"/>
          <w:sz w:val="32"/>
          <w:szCs w:val="32"/>
          <w:highlight w:val="none"/>
          <w:lang w:eastAsia="zh-CN"/>
        </w:rPr>
        <w:t>薯、马铃薯、生姜、</w:t>
      </w:r>
      <w:r>
        <w:rPr>
          <w:rFonts w:hint="eastAsia" w:ascii="仿宋_GB2312" w:hAnsi="仿宋_GB2312" w:eastAsia="仿宋_GB2312" w:cs="方正仿宋_GBK"/>
          <w:color w:val="000000"/>
          <w:sz w:val="32"/>
          <w:szCs w:val="32"/>
          <w:highlight w:val="none"/>
          <w:lang w:val="en-US" w:eastAsia="zh-CN"/>
        </w:rPr>
        <w:t>花生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等经济作物，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地膜使用面积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2万亩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左右。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主要分布在常安镇、贾市庄镇、南孟镇、西关镇、廉州镇、南董镇等乡镇，其它乡镇地膜使用量较少。大田作物主要覆膜方式为机械覆膜，设施作物覆膜方式为人工覆膜，覆膜形式有全膜覆盖、半膜覆盖、膜下滴灌、垄膜沟灌等技术模式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2024年全区地膜使用量135.82吨，回收率达到85%以上。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（三）</w:t>
      </w: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eastAsia="zh-CN"/>
        </w:rPr>
        <w:t>地膜生产和再利用情况</w:t>
      </w: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藁城区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目前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没有地膜生产和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加工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再利用企业，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废旧农膜处置主要是废旧物资回收和农村生活垃圾处理两种方式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 xml:space="preserve">二、基础条件 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default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中央地膜科学使用回收项目建设情况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仿宋_GB2312" w:hAnsi="仿宋_GB2312" w:cs="仿宋_GB2312" w:eastAsiaTheme="minorEastAsia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2022-2024年我区连续三年承担中央地膜科学使用回收项目，推广应用0.015mm加厚高强度地膜和全生物降解地膜共计3.8万亩，其中加厚高强度地膜推广面积2.4万亩，全生物降解地膜推广面积1.4万亩。加厚高强度地膜主要应用于洋葱、蔬菜、红薯、大棚黄瓜等作物，</w:t>
      </w:r>
      <w:r>
        <w:rPr>
          <w:rFonts w:hint="eastAsia" w:ascii="仿宋_GB2312" w:hAnsi="仿宋_GB2312" w:eastAsia="仿宋_GB2312" w:cs="仿宋_GB2312"/>
          <w:sz w:val="32"/>
          <w:szCs w:val="32"/>
        </w:rPr>
        <w:t>保温保墒压草效果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明显</w:t>
      </w:r>
      <w:r>
        <w:rPr>
          <w:rFonts w:hint="eastAsia" w:ascii="仿宋_GB2312" w:hAnsi="仿宋_GB2312" w:eastAsia="仿宋_GB2312" w:cs="仿宋_GB2312"/>
          <w:sz w:val="32"/>
          <w:szCs w:val="32"/>
        </w:rPr>
        <w:t>，可促进农作物增产，使用后更易于捡拾回收，可以从源头上保障地膜的可回收性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全生物降解地膜主要应用于花生、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马铃薯、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春玉米、叶菜类等作物，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对土地无污染，</w:t>
      </w:r>
      <w:r>
        <w:rPr>
          <w:rFonts w:hint="eastAsia" w:ascii="仿宋_GB2312" w:hAnsi="仿宋_GB2312" w:eastAsia="仿宋_GB2312" w:cs="仿宋_GB2312"/>
          <w:sz w:val="32"/>
          <w:szCs w:val="32"/>
        </w:rPr>
        <w:t>使用后无需回收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降低了管理成本。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通过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试点项目建设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，可以加快我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普通地膜的更新换代工作，让农户真正了解到新型地膜的优胜处，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提高使用积极性，有利于开展全面推广。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实施必要性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开展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地膜科学使用回收试点工作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是贯彻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党中央、国务院有关决策部署，落实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上级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农村工作会议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精神的重要内容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。以加快推进农业绿色低碳发展和废弃物资源化利用为导向，推广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应用加厚高强度地膜和全生物降解地膜，可有效解决地膜回收难、回收率低、再利用等一系列问题，补助后降低农户使用成本，促进农户使用积极性，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可以从源头上保障地膜的可回收性，系统解决传统地膜回收难、替代成本高的问题，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能够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有效治理农田“白色污染”。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 xml:space="preserve">四、目标和重点任务 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绩效任务</w:t>
      </w: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eastAsia="zh-CN"/>
        </w:rPr>
        <w:t>目标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2025年秋季-2026年春季，推广应用加厚高强度地膜0.5万亩，全生物降解地膜0.2万亩，合计0.7万亩，项目实施区域农膜处置率达到83%以上。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（二）建设内容及技术规范要求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1.科学推进加厚高强度地膜应用。在常安镇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蔬菜、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贾市庄镇大棚黄瓜、西关镇洋葱、南董镇麦椒套作等乡镇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主要覆膜作物，使用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0.015毫米加厚高强度地膜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对于确不适宜 0.015 毫米及以上地膜的，经充分论证和性能检测后，可适度推广厚度 0.01 毫米以上（不含0.01毫米）且具备同等强度的地膜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从源头保障地膜的可回收性。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支持回收网点建设，鼓励将废旧地膜回收与可再生资源、垃圾处理、农资体系等结合，因地</w:t>
      </w:r>
      <w:r>
        <w:rPr>
          <w:rFonts w:ascii="仿宋_GB2312" w:hAnsi="仿宋_GB2312" w:eastAsia="仿宋_GB2312" w:cs="仿宋_GB2312"/>
          <w:b w:val="0"/>
          <w:bCs w:val="0"/>
          <w:color w:val="000000"/>
          <w:kern w:val="0"/>
          <w:sz w:val="31"/>
          <w:szCs w:val="31"/>
          <w:lang w:val="en-US" w:eastAsia="zh-CN" w:bidi="ar"/>
        </w:rPr>
        <w:t>制宜探索无害化处置路径。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2.有序推广全生物降解地膜。在适宜区域，聚焦马铃薯、甘薯、花生等适宜作物，有序推广符合（GB/T35795-2017）国家标准的全生物降解地膜，确保产品与区域气候资源条件相适应，与作物生长功能需求相区配。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（三）资金使用及补助形式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1.补助对象。使用符合规定地膜的农户、种植大户、家庭农场、合作社、农业公司等。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2.补助标准。中央财政资金补助标准为对应用加厚高强度地膜实施每亩补贴20元，全生物降解地膜每亩补贴90元。争取省级配套资金支持，资金到位后结合实际，按标准进行补贴。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8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3.补助环节和方式。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为保障地膜产品质量，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补贴形式采用间接补贴助方式，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公开遴选符合规定的地膜生产供应企业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。农户根据实际需求，向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遴选出的地膜生产企业直接购买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地膜。农业农村局组织验收，根据验收确认的实施面积、使用台账、产品检测报告等，最终将补助资金拨付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遴选出的地膜生产供应企业。农户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负担政府财政补贴后的差额部分。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五、项目实施步骤和时间安排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2025年6-8月，开展摸底调查，制定实施方案。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2025年9-12月，宣传发动，指导农户使用符合技术规范要求的地膜。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2026年1-6月，完成地膜推广任务、开展督导检查、总结验收、绩效评价等工作。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六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 xml:space="preserve">、保障措施 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(一）加强组织领导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建立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区政府主要负责同志牵头抓总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相关部门配合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的工作协调机制。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成立项目工作推进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组，会同有关部门抓好地膜科学使用回收推进工作，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领导小组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办公室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设在区农业农村局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负责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制定总体方案，对接落实面积，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拨付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补助资金，组织开展督导考核。各乡镇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人民政府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区直相关部门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要明确专人，压实责任，做好项目协调沟通、进展调度、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监督管理、执法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检查等，确保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高标准、高质量完成。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（二）责任分工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区农业农村局：负责制定项目实施方案，组织项目实施，开展预算执行和资金使用管理监督以及预算绩效管理等工作。对接乡镇落实面积，组织开展督导检查、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技术指导、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项目验收等工作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区财政局：负责审核资金使用计划，组织预算执行、资金预算管理以及预算绩效管理工作。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市场监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督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理局：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负责农用薄膜产品质量监督管理工作，定期开展本行政区域的农用薄膜质量监督检查。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石家庄市生态环境局藁城分局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：负责农用薄膜回收、再利用过程环境污染防治的监督管理工作。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区科学技术和工业信息化局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：负责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农用薄膜生产指导工作。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 xml:space="preserve"> 各乡镇人民政府：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负责组织本区域内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地膜科学使用回收试点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工作，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建立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推广、回收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点（可以依托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村委会、专业合作社、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农资销售点、废品收购站等），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落实地膜推广面积，指导辖区内地膜使用者使用符合技术规范要求的地膜，并督促做好废旧地膜回收，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依法对本行政区域农用薄膜污染防治负责，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配合做好项目的检查验收等工作。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（三）强化资金规范使用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农业农村局会同财政局抓好补助资金落实工作，加强绩效考核评价，保障资金规范使用，做到专款专用，采用适当形式公示补助发放情况，接受社会监督。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（四）搞好试点带动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坚持科学使用，试点带动，采取试点先行与典型推广相结合方式，发挥辐射带动效应，加快推进减量替代，加强地膜使用控制，避免地膜滥用，稳步推进地膜科学使用回收工作。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（五）加强监督管理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有关部门要坚决贯彻《农用薄膜管理办法》，加强地膜全过程监管。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深入组织开展市场执法检查、农资打假等专项行动，定期开展产品质量抽检，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严格补助地膜准入条件，禁止使用不达标地膜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。加强地膜使用控制，落实各主体回收废旧地膜的法律责任。要加大各部门联合执法力度，对生产、销售非标地膜和劣质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膜产品的企业加大处罚，对未按法律法规规定回收废旧地膜的生产者、销售者、使用者，依法做出处罚。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52"/>
        <w:textAlignment w:val="auto"/>
        <w:rPr>
          <w:rFonts w:ascii="仿宋" w:hAnsi="仿宋" w:eastAsia="仿宋" w:cs="仿宋"/>
          <w:color w:val="auto"/>
          <w:spacing w:val="0"/>
          <w:sz w:val="31"/>
          <w:szCs w:val="31"/>
        </w:rPr>
      </w:pPr>
      <w:r>
        <w:rPr>
          <w:rFonts w:ascii="楷体" w:hAnsi="楷体" w:eastAsia="楷体" w:cs="楷体"/>
          <w:b/>
          <w:bCs/>
          <w:color w:val="auto"/>
          <w:spacing w:val="0"/>
          <w:sz w:val="31"/>
          <w:szCs w:val="31"/>
        </w:rPr>
        <w:t>(</w:t>
      </w:r>
      <w:r>
        <w:rPr>
          <w:rFonts w:hint="eastAsia" w:ascii="楷体" w:hAnsi="楷体" w:eastAsia="楷体" w:cs="楷体"/>
          <w:b/>
          <w:bCs/>
          <w:color w:val="auto"/>
          <w:spacing w:val="0"/>
          <w:sz w:val="31"/>
          <w:szCs w:val="31"/>
          <w:lang w:eastAsia="zh-CN"/>
        </w:rPr>
        <w:t>六</w:t>
      </w:r>
      <w:r>
        <w:rPr>
          <w:rFonts w:ascii="楷体" w:hAnsi="楷体" w:eastAsia="楷体" w:cs="楷体"/>
          <w:b/>
          <w:bCs/>
          <w:color w:val="auto"/>
          <w:spacing w:val="0"/>
          <w:sz w:val="31"/>
          <w:szCs w:val="31"/>
        </w:rPr>
        <w:t>)</w:t>
      </w:r>
      <w:r>
        <w:rPr>
          <w:rFonts w:hint="eastAsia" w:ascii="楷体" w:hAnsi="楷体" w:eastAsia="楷体" w:cs="楷体"/>
          <w:b/>
          <w:bCs/>
          <w:color w:val="auto"/>
          <w:spacing w:val="0"/>
          <w:sz w:val="31"/>
          <w:szCs w:val="31"/>
          <w:lang w:eastAsia="zh-CN"/>
        </w:rPr>
        <w:t>开展技术指导服务</w:t>
      </w:r>
      <w:r>
        <w:rPr>
          <w:rFonts w:ascii="楷体" w:hAnsi="楷体" w:eastAsia="楷体" w:cs="楷体"/>
          <w:b/>
          <w:bCs/>
          <w:color w:val="auto"/>
          <w:spacing w:val="0"/>
          <w:sz w:val="31"/>
          <w:szCs w:val="31"/>
        </w:rPr>
        <w:t>。</w:t>
      </w:r>
      <w:r>
        <w:rPr>
          <w:rFonts w:hint="eastAsia" w:ascii="仿宋" w:hAnsi="仿宋" w:eastAsia="仿宋" w:cs="仿宋"/>
          <w:color w:val="auto"/>
          <w:spacing w:val="0"/>
          <w:sz w:val="31"/>
          <w:szCs w:val="31"/>
          <w:lang w:eastAsia="zh-CN"/>
        </w:rPr>
        <w:t>成立技术指导</w:t>
      </w:r>
      <w:r>
        <w:rPr>
          <w:rFonts w:hint="eastAsia" w:ascii="仿宋" w:hAnsi="仿宋" w:eastAsia="仿宋" w:cs="仿宋"/>
          <w:color w:val="auto"/>
          <w:spacing w:val="0"/>
          <w:sz w:val="31"/>
          <w:szCs w:val="31"/>
          <w:lang w:val="en-US" w:eastAsia="zh-CN"/>
        </w:rPr>
        <w:t>工作</w:t>
      </w:r>
      <w:r>
        <w:rPr>
          <w:rFonts w:hint="eastAsia" w:ascii="仿宋" w:hAnsi="仿宋" w:eastAsia="仿宋" w:cs="仿宋"/>
          <w:color w:val="auto"/>
          <w:spacing w:val="0"/>
          <w:sz w:val="31"/>
          <w:szCs w:val="31"/>
          <w:lang w:eastAsia="zh-CN"/>
        </w:rPr>
        <w:t>组，</w:t>
      </w:r>
      <w:r>
        <w:rPr>
          <w:rFonts w:hint="eastAsia" w:ascii="仿宋" w:hAnsi="仿宋" w:eastAsia="仿宋" w:cs="仿宋"/>
          <w:color w:val="auto"/>
          <w:spacing w:val="0"/>
          <w:sz w:val="31"/>
          <w:szCs w:val="31"/>
          <w:lang w:val="en-US" w:eastAsia="zh-CN"/>
        </w:rPr>
        <w:t>在地膜使用和回收的关键时节，开展技术指导和服务。</w:t>
      </w:r>
      <w:r>
        <w:rPr>
          <w:rFonts w:ascii="仿宋" w:hAnsi="仿宋" w:eastAsia="仿宋" w:cs="仿宋"/>
          <w:color w:val="auto"/>
          <w:spacing w:val="0"/>
          <w:sz w:val="31"/>
          <w:szCs w:val="31"/>
        </w:rPr>
        <w:t>各</w:t>
      </w:r>
      <w:r>
        <w:rPr>
          <w:rFonts w:hint="eastAsia" w:ascii="仿宋" w:hAnsi="仿宋" w:eastAsia="仿宋" w:cs="仿宋"/>
          <w:color w:val="auto"/>
          <w:spacing w:val="0"/>
          <w:sz w:val="31"/>
          <w:szCs w:val="31"/>
          <w:lang w:eastAsia="zh-CN"/>
        </w:rPr>
        <w:t>乡镇</w:t>
      </w:r>
      <w:r>
        <w:rPr>
          <w:rFonts w:ascii="仿宋" w:hAnsi="仿宋" w:eastAsia="仿宋" w:cs="仿宋"/>
          <w:color w:val="auto"/>
          <w:spacing w:val="0"/>
          <w:sz w:val="31"/>
          <w:szCs w:val="31"/>
        </w:rPr>
        <w:t>要明确</w:t>
      </w:r>
      <w:r>
        <w:rPr>
          <w:rFonts w:hint="eastAsia" w:ascii="仿宋" w:hAnsi="仿宋" w:eastAsia="仿宋" w:cs="仿宋"/>
          <w:color w:val="auto"/>
          <w:spacing w:val="0"/>
          <w:sz w:val="31"/>
          <w:szCs w:val="31"/>
          <w:lang w:eastAsia="zh-CN"/>
        </w:rPr>
        <w:t>一名主管副职</w:t>
      </w:r>
      <w:r>
        <w:rPr>
          <w:rFonts w:hint="eastAsia" w:ascii="仿宋" w:hAnsi="仿宋" w:eastAsia="仿宋" w:cs="仿宋"/>
          <w:color w:val="auto"/>
          <w:spacing w:val="0"/>
          <w:sz w:val="31"/>
          <w:szCs w:val="31"/>
          <w:lang w:val="en-US" w:eastAsia="zh-CN"/>
        </w:rPr>
        <w:t>负责</w:t>
      </w:r>
      <w:r>
        <w:rPr>
          <w:rFonts w:ascii="仿宋" w:hAnsi="仿宋" w:eastAsia="仿宋" w:cs="仿宋"/>
          <w:color w:val="auto"/>
          <w:spacing w:val="0"/>
          <w:sz w:val="31"/>
          <w:szCs w:val="31"/>
        </w:rPr>
        <w:t>，加强</w:t>
      </w:r>
      <w:r>
        <w:rPr>
          <w:rFonts w:hint="eastAsia" w:ascii="仿宋" w:hAnsi="仿宋" w:eastAsia="仿宋" w:cs="仿宋"/>
          <w:color w:val="auto"/>
          <w:spacing w:val="0"/>
          <w:sz w:val="31"/>
          <w:szCs w:val="31"/>
          <w:lang w:eastAsia="zh-CN"/>
        </w:rPr>
        <w:t>技术</w:t>
      </w:r>
      <w:r>
        <w:rPr>
          <w:rFonts w:hint="eastAsia" w:ascii="仿宋" w:hAnsi="仿宋" w:eastAsia="仿宋" w:cs="仿宋"/>
          <w:color w:val="auto"/>
          <w:spacing w:val="0"/>
          <w:sz w:val="31"/>
          <w:szCs w:val="31"/>
          <w:lang w:val="en-US" w:eastAsia="zh-CN"/>
        </w:rPr>
        <w:t>宣传</w:t>
      </w:r>
      <w:r>
        <w:rPr>
          <w:rFonts w:hint="eastAsia" w:ascii="仿宋" w:hAnsi="仿宋" w:eastAsia="仿宋" w:cs="仿宋"/>
          <w:color w:val="auto"/>
          <w:spacing w:val="0"/>
          <w:sz w:val="31"/>
          <w:szCs w:val="31"/>
          <w:lang w:eastAsia="zh-CN"/>
        </w:rPr>
        <w:t>培训，</w:t>
      </w:r>
      <w:r>
        <w:rPr>
          <w:rFonts w:hint="eastAsia" w:ascii="仿宋" w:hAnsi="仿宋" w:eastAsia="仿宋" w:cs="仿宋"/>
          <w:color w:val="auto"/>
          <w:spacing w:val="0"/>
          <w:sz w:val="31"/>
          <w:szCs w:val="31"/>
          <w:lang w:val="en-US" w:eastAsia="zh-CN"/>
        </w:rPr>
        <w:t>指导做好辖区内地膜科学使用回收全方位技术服务</w:t>
      </w:r>
      <w:r>
        <w:rPr>
          <w:rFonts w:ascii="仿宋" w:hAnsi="仿宋" w:eastAsia="仿宋" w:cs="仿宋"/>
          <w:color w:val="auto"/>
          <w:spacing w:val="0"/>
          <w:sz w:val="31"/>
          <w:szCs w:val="31"/>
        </w:rPr>
        <w:t>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七</w:t>
      </w: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eastAsia="zh-CN"/>
        </w:rPr>
        <w:t>）加强宣传</w:t>
      </w: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培训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充分利用微信、广播、条幅、标语、印发技术资料等宣传途径，向社会和农民、新型经营主体等广泛宣传残留地膜对农作物及环境造成的危害，提高农民对地膜污染危害严重性的认识，增强参与地膜回收的主动性和自觉性，促进加厚高强度地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科学使用与回收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七、效益分析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一</w:t>
      </w: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eastAsia="zh-CN"/>
        </w:rPr>
        <w:t>）生态效益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通过使用高强度地膜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和全生物降解地膜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使地膜的当季回收率明显提升，土壤地膜残留量大大降低，减轻农膜残留对土壤的污染和对农村人居环境的影响，更有利于保持土壤通透性等理化特性，通过覆膜有利于涵养水源，蓄水保墒，产生显著的生态效益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二</w:t>
      </w: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eastAsia="zh-CN"/>
        </w:rPr>
        <w:t>）社会效益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通过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试点建设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，可以加快我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普通地膜的更新换代工作，让农户真正了解到新型地膜的优胜处，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提高对高度强地膜和全生物降解地膜的使用积极性，有利于开展全面推广。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同时通过此项目的实施探索出一条政府推动、市场引导、优势互补、协同发展的社会化服务体系路线，对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我区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种植业结构调整、标准化生产的发展起到了积极的推动作用。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三</w:t>
      </w: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eastAsia="zh-CN"/>
        </w:rPr>
        <w:t>）经济效益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种植作物通过覆膜技术可提高蓄水保墒和提高地温、减少杂草生长等作用，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对提高粮食产量、确保蔬菜有序供应、发展高效节水农业、推动农村经济发展、增加农民收入等方面起到了积极作用。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联系人：石家庄市藁城区新能源中心  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电  话：0311-88046350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邮  箱：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gcqxny@163.com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地  址：石家庄市藁城区东城街46号农业农村局</w:t>
      </w:r>
    </w:p>
    <w:p>
      <w:bookmarkStart w:id="2" w:name="_GoBack"/>
      <w:bookmarkEnd w:id="2"/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wN7nihQCAAAT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Theme="minorEastAsia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t>- 1 -</w:t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245A20"/>
    <w:rsid w:val="55245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6">
    <w:name w:val="Normal Indent1"/>
    <w:basedOn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2025-09-22T02:46:00Z</dcterms:created>
  <dc:creator>一丹千金</dc:creator>
  <cp:lastModifiedBy>一丹千金</cp:lastModifiedBy>
  <dcterms:modified xsi:type="dcterms:W3CDTF">2025-09-22T02:47:37Z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