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4BB71A">
      <w:pPr>
        <w:jc w:val="center"/>
        <w:rPr>
          <w:rFonts w:hint="eastAsia" w:ascii="方正小标宋简体" w:hAnsi="宋体" w:eastAsia="方正小标宋简体"/>
          <w:b/>
          <w:color w:val="FF0000"/>
          <w:spacing w:val="68"/>
          <w:sz w:val="58"/>
          <w:szCs w:val="58"/>
        </w:rPr>
      </w:pPr>
      <w:r>
        <w:rPr>
          <w:rFonts w:hint="eastAsia" w:ascii="方正小标宋简体" w:hAnsi="宋体" w:eastAsia="方正小标宋简体"/>
          <w:bCs/>
          <w:color w:val="FF0000"/>
          <w:spacing w:val="68"/>
          <w:sz w:val="58"/>
          <w:szCs w:val="58"/>
        </w:rPr>
        <w:t>石家庄市藁城区卫生</w:t>
      </w:r>
      <w:r>
        <w:rPr>
          <w:rFonts w:hint="eastAsia" w:ascii="方正小标宋简体" w:hAnsi="宋体" w:eastAsia="方正小标宋简体"/>
          <w:bCs/>
          <w:color w:val="FF0000"/>
          <w:spacing w:val="68"/>
          <w:sz w:val="58"/>
          <w:szCs w:val="58"/>
          <w:lang w:eastAsia="zh-CN"/>
        </w:rPr>
        <w:t>健康局</w:t>
      </w:r>
    </w:p>
    <w:p w14:paraId="07CB7AF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大标宋简体" w:hAnsi="宋体" w:eastAsia="方正大标宋简体"/>
          <w:color w:val="FF0000"/>
          <w:sz w:val="10"/>
          <w:szCs w:val="10"/>
        </w:rPr>
      </w:pPr>
      <w:r>
        <w:rPr>
          <w:rFonts w:hint="eastAsia"/>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5715000" cy="0"/>
                <wp:effectExtent l="0" t="28575" r="0" b="28575"/>
                <wp:wrapNone/>
                <wp:docPr id="1" name="直接连接符 1"/>
                <wp:cNvGraphicFramePr/>
                <a:graphic xmlns:a="http://schemas.openxmlformats.org/drawingml/2006/main">
                  <a:graphicData uri="http://schemas.microsoft.com/office/word/2010/wordprocessingShape">
                    <wps:wsp>
                      <wps:cNvCnPr/>
                      <wps:spPr>
                        <a:xfrm>
                          <a:off x="0" y="0"/>
                          <a:ext cx="5715000" cy="0"/>
                        </a:xfrm>
                        <a:prstGeom prst="line">
                          <a:avLst/>
                        </a:prstGeom>
                        <a:ln w="57150" cap="flat" cmpd="thickThin">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450pt;z-index:251659264;mso-width-relative:page;mso-height-relative:page;" filled="f" stroked="t" coordsize="21600,21600" o:gfxdata="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X&#10;oAXQzgAAAAIBAAAPAAAAAAAAAAEAIAAAACIAAABkcnMvZG93bnJldi54bWxQSwECFAAUAAAACACH&#10;TuJAJZlH2fUBAADrAwAADgAAAAAAAAABACAAAAAdAQAAZHJzL2Uyb0RvYy54bWxQSwUGAAAAAAYA&#10;BgBZAQAAhAUAAAAA&#10;">
                <v:fill on="f" focussize="0,0"/>
                <v:stroke weight="4.5pt" color="#FF0000" linestyle="thickThin" joinstyle="round"/>
                <v:imagedata o:title=""/>
                <o:lock v:ext="edit" aspectratio="f"/>
              </v:line>
            </w:pict>
          </mc:Fallback>
        </mc:AlternateContent>
      </w:r>
      <w:r>
        <w:rPr>
          <w:rFonts w:hint="eastAsia"/>
          <w:lang w:val="en-US" w:eastAsia="zh-CN"/>
        </w:rPr>
        <w:t xml:space="preserve">                                                        </w:t>
      </w:r>
    </w:p>
    <w:p w14:paraId="75432CE2">
      <w:pPr>
        <w:pStyle w:val="2"/>
        <w:keepNext/>
        <w:keepLines/>
        <w:pageBreakBefore w:val="0"/>
        <w:widowControl w:val="0"/>
        <w:kinsoku/>
        <w:wordWrap/>
        <w:overflowPunct/>
        <w:topLinePunct w:val="0"/>
        <w:autoSpaceDE/>
        <w:autoSpaceDN/>
        <w:bidi w:val="0"/>
        <w:adjustRightInd/>
        <w:snapToGrid/>
        <w:spacing w:line="560" w:lineRule="exact"/>
        <w:jc w:val="right"/>
        <w:textAlignment w:val="auto"/>
        <w:rPr>
          <w:rFonts w:hint="eastAsia"/>
        </w:rPr>
      </w:pPr>
    </w:p>
    <w:p w14:paraId="27706FA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石家庄市藁城区卫生健康局</w:t>
      </w:r>
    </w:p>
    <w:p w14:paraId="1B9EC8C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关于印发《石家庄市藁城区</w:t>
      </w:r>
      <w:r>
        <w:rPr>
          <w:rFonts w:hint="eastAsia" w:ascii="方正小标宋简体" w:hAnsi="方正小标宋简体" w:eastAsia="方正小标宋简体" w:cs="方正小标宋简体"/>
          <w:b w:val="0"/>
          <w:bCs w:val="0"/>
          <w:sz w:val="44"/>
          <w:szCs w:val="44"/>
          <w:lang w:val="en-US" w:eastAsia="zh-CN"/>
        </w:rPr>
        <w:t>卫生健康局2025年</w:t>
      </w:r>
      <w:r>
        <w:rPr>
          <w:rFonts w:hint="eastAsia" w:ascii="方正小标宋简体" w:hAnsi="方正小标宋简体" w:eastAsia="方正小标宋简体" w:cs="方正小标宋简体"/>
          <w:b w:val="0"/>
          <w:bCs w:val="0"/>
          <w:sz w:val="44"/>
          <w:szCs w:val="44"/>
          <w:lang w:eastAsia="zh-CN"/>
        </w:rPr>
        <w:t>“双随机、一公开”监管工作实施方案》的通知</w:t>
      </w:r>
    </w:p>
    <w:p w14:paraId="2FD1A817">
      <w:pPr>
        <w:pStyle w:val="2"/>
        <w:keepNext/>
        <w:keepLines/>
        <w:pageBreakBefore w:val="0"/>
        <w:widowControl w:val="0"/>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sz w:val="32"/>
          <w:szCs w:val="32"/>
          <w:lang w:eastAsia="zh-CN"/>
        </w:rPr>
      </w:pPr>
    </w:p>
    <w:p w14:paraId="28F0D54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区疾控中心，局机关相关股室：</w:t>
      </w:r>
    </w:p>
    <w:p w14:paraId="7871BB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现将《</w:t>
      </w:r>
      <w:r>
        <w:rPr>
          <w:rFonts w:hint="eastAsia" w:ascii="仿宋_GB2312" w:hAnsi="仿宋_GB2312" w:eastAsia="仿宋_GB2312" w:cs="仿宋_GB2312"/>
          <w:color w:val="000000"/>
          <w:sz w:val="32"/>
          <w:szCs w:val="32"/>
          <w:lang w:eastAsia="zh-CN"/>
        </w:rPr>
        <w:t>石家庄市藁城区</w:t>
      </w:r>
      <w:r>
        <w:rPr>
          <w:rFonts w:hint="eastAsia" w:ascii="仿宋_GB2312" w:hAnsi="仿宋_GB2312" w:eastAsia="仿宋_GB2312" w:cs="仿宋_GB2312"/>
          <w:color w:val="000000"/>
          <w:sz w:val="32"/>
          <w:szCs w:val="32"/>
          <w:lang w:val="en-US" w:eastAsia="zh-CN"/>
        </w:rPr>
        <w:t>卫生健康局2025年</w:t>
      </w:r>
      <w:r>
        <w:rPr>
          <w:rFonts w:hint="eastAsia" w:ascii="仿宋_GB2312" w:hAnsi="仿宋_GB2312" w:eastAsia="仿宋_GB2312" w:cs="仿宋_GB2312"/>
          <w:color w:val="000000"/>
          <w:sz w:val="32"/>
          <w:szCs w:val="32"/>
        </w:rPr>
        <w:t>“双随机、一公开”监管工作实施方案》印发你们，请结合实际，认真抓好贯彻落实。</w:t>
      </w:r>
    </w:p>
    <w:p w14:paraId="12E0C4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p>
    <w:p w14:paraId="451341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p>
    <w:p w14:paraId="237A10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p>
    <w:p w14:paraId="597E45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 xml:space="preserve">                        石家庄市</w:t>
      </w:r>
      <w:r>
        <w:rPr>
          <w:rFonts w:hint="eastAsia" w:ascii="仿宋_GB2312" w:hAnsi="仿宋_GB2312" w:eastAsia="仿宋_GB2312" w:cs="仿宋_GB2312"/>
          <w:color w:val="000000"/>
          <w:sz w:val="32"/>
          <w:szCs w:val="32"/>
          <w:lang w:val="en-US" w:eastAsia="zh-CN"/>
        </w:rPr>
        <w:t>藁城区</w:t>
      </w:r>
      <w:r>
        <w:rPr>
          <w:rFonts w:hint="eastAsia" w:ascii="仿宋_GB2312" w:hAnsi="仿宋_GB2312" w:eastAsia="仿宋_GB2312" w:cs="仿宋_GB2312"/>
          <w:color w:val="000000"/>
          <w:sz w:val="32"/>
          <w:szCs w:val="32"/>
        </w:rPr>
        <w:t>卫生健康</w:t>
      </w:r>
      <w:r>
        <w:rPr>
          <w:rFonts w:hint="eastAsia" w:ascii="仿宋_GB2312" w:hAnsi="仿宋_GB2312" w:eastAsia="仿宋_GB2312" w:cs="仿宋_GB2312"/>
          <w:color w:val="000000"/>
          <w:sz w:val="32"/>
          <w:szCs w:val="32"/>
          <w:lang w:val="en-US" w:eastAsia="zh-CN"/>
        </w:rPr>
        <w:t>局</w:t>
      </w:r>
    </w:p>
    <w:p w14:paraId="40567061">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000000"/>
          <w:sz w:val="32"/>
          <w:szCs w:val="32"/>
        </w:rPr>
        <w:t xml:space="preserve">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25</w:t>
      </w:r>
      <w:r>
        <w:rPr>
          <w:rFonts w:hint="eastAsia" w:ascii="仿宋_GB2312" w:hAnsi="仿宋_GB2312" w:eastAsia="仿宋_GB2312" w:cs="仿宋_GB2312"/>
          <w:color w:val="auto"/>
          <w:sz w:val="32"/>
          <w:szCs w:val="32"/>
        </w:rPr>
        <w:t>年</w:t>
      </w:r>
      <w:r>
        <w:rPr>
          <w:rFonts w:hint="eastAsia" w:ascii="仿宋_GB2312" w:hAnsi="仿宋_GB2312" w:cs="仿宋_GB2312"/>
          <w:color w:val="auto"/>
          <w:sz w:val="32"/>
          <w:szCs w:val="32"/>
          <w:lang w:val="en-US" w:eastAsia="zh-CN"/>
        </w:rPr>
        <w:t>9</w:t>
      </w:r>
      <w:r>
        <w:rPr>
          <w:rFonts w:hint="eastAsia" w:ascii="仿宋_GB2312" w:hAnsi="仿宋_GB2312" w:eastAsia="仿宋_GB2312" w:cs="仿宋_GB2312"/>
          <w:color w:val="auto"/>
          <w:sz w:val="32"/>
          <w:szCs w:val="32"/>
        </w:rPr>
        <w:t>月</w:t>
      </w:r>
      <w:r>
        <w:rPr>
          <w:rFonts w:hint="eastAsia" w:ascii="仿宋_GB2312" w:hAnsi="仿宋_GB2312" w:cs="仿宋_GB2312"/>
          <w:color w:val="auto"/>
          <w:sz w:val="32"/>
          <w:szCs w:val="32"/>
          <w:lang w:val="en-US" w:eastAsia="zh-CN"/>
        </w:rPr>
        <w:t>5</w:t>
      </w:r>
      <w:r>
        <w:rPr>
          <w:rFonts w:hint="eastAsia" w:ascii="仿宋_GB2312" w:hAnsi="仿宋_GB2312" w:eastAsia="仿宋_GB2312" w:cs="仿宋_GB2312"/>
          <w:color w:val="auto"/>
          <w:sz w:val="32"/>
          <w:szCs w:val="32"/>
        </w:rPr>
        <w:t>日</w:t>
      </w:r>
    </w:p>
    <w:p w14:paraId="30566E9C">
      <w:pPr>
        <w:pStyle w:val="2"/>
        <w:pageBreakBefore w:val="0"/>
        <w:widowControl w:val="0"/>
        <w:kinsoku/>
        <w:wordWrap/>
        <w:overflowPunct/>
        <w:topLinePunct w:val="0"/>
        <w:autoSpaceDE/>
        <w:autoSpaceDN/>
        <w:bidi w:val="0"/>
        <w:adjustRightInd/>
        <w:snapToGrid/>
        <w:spacing w:line="560" w:lineRule="exact"/>
        <w:textAlignment w:val="auto"/>
        <w:rPr>
          <w:rFonts w:hint="default"/>
          <w:lang w:val="en-US" w:eastAsia="zh-CN"/>
        </w:rPr>
      </w:pPr>
    </w:p>
    <w:p w14:paraId="379C6D12">
      <w:pPr>
        <w:pStyle w:val="2"/>
      </w:pPr>
    </w:p>
    <w:p w14:paraId="394A3CD3">
      <w:pPr>
        <w:keepNext w:val="0"/>
        <w:keepLines w:val="0"/>
        <w:pageBreakBefore w:val="0"/>
        <w:widowControl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bidi="ar"/>
        </w:rPr>
      </w:pPr>
    </w:p>
    <w:p w14:paraId="7D5ECEE7">
      <w:pPr>
        <w:rPr>
          <w:rFonts w:hint="eastAsia"/>
          <w:lang w:val="en-US" w:eastAsia="zh-CN"/>
        </w:rPr>
      </w:pPr>
      <w:r>
        <w:rPr>
          <w:rFonts w:hint="eastAsia"/>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744220</wp:posOffset>
                </wp:positionV>
                <wp:extent cx="5715000" cy="0"/>
                <wp:effectExtent l="0" t="28575" r="0" b="28575"/>
                <wp:wrapNone/>
                <wp:docPr id="2" name="直接连接符 2"/>
                <wp:cNvGraphicFramePr/>
                <a:graphic xmlns:a="http://schemas.openxmlformats.org/drawingml/2006/main">
                  <a:graphicData uri="http://schemas.microsoft.com/office/word/2010/wordprocessingShape">
                    <wps:wsp>
                      <wps:cNvCnPr/>
                      <wps:spPr>
                        <a:xfrm>
                          <a:off x="0" y="0"/>
                          <a:ext cx="5715000" cy="0"/>
                        </a:xfrm>
                        <a:prstGeom prst="line">
                          <a:avLst/>
                        </a:prstGeom>
                        <a:ln w="57150" cap="flat" cmpd="thickThin">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58.6pt;height:0pt;width:450pt;z-index:251660288;mso-width-relative:page;mso-height-relative:page;" filled="f" stroked="t" coordsize="21600,21600" o:gfxdata="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jjXFJtQAAAAKAQAADwAAAAAAAAABACAAAAAiAAAAZHJzL2Rvd25yZXYueG1sUEsBAhQA&#10;FAAAAAgAh07iQPUi6tP2AQAA6wMAAA4AAAAAAAAAAQAgAAAAIwEAAGRycy9lMm9Eb2MueG1sUEsF&#10;BgAAAAAGAAYAWQEAAIsFAAAAAA==&#10;">
                <v:fill on="f" focussize="0,0"/>
                <v:stroke weight="4.5pt" color="#FF0000" linestyle="thickThin" joinstyle="round"/>
                <v:imagedata o:title=""/>
                <o:lock v:ext="edit" aspectratio="f"/>
              </v:line>
            </w:pict>
          </mc:Fallback>
        </mc:AlternateContent>
      </w:r>
    </w:p>
    <w:p w14:paraId="2DB4559D">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outlineLvl w:val="9"/>
        <w:rPr>
          <w:rFonts w:hint="eastAsia" w:ascii="方正小标宋简体" w:hAnsi="方正小标宋简体" w:eastAsia="方正小标宋简体" w:cs="方正小标宋简体"/>
          <w:b w:val="0"/>
          <w:bCs w:val="0"/>
          <w:color w:val="000000"/>
          <w:kern w:val="60"/>
          <w:sz w:val="44"/>
          <w:szCs w:val="44"/>
          <w:lang w:eastAsia="zh-CN"/>
        </w:rPr>
      </w:pPr>
    </w:p>
    <w:p w14:paraId="1600D809">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outlineLvl w:val="9"/>
        <w:rPr>
          <w:rFonts w:hint="eastAsia" w:ascii="方正小标宋简体" w:hAnsi="方正小标宋简体" w:eastAsia="方正小标宋简体" w:cs="方正小标宋简体"/>
          <w:b w:val="0"/>
          <w:bCs w:val="0"/>
          <w:color w:val="000000"/>
          <w:kern w:val="60"/>
          <w:sz w:val="44"/>
          <w:szCs w:val="44"/>
          <w:lang w:val="en-US" w:eastAsia="zh-CN"/>
        </w:rPr>
      </w:pPr>
      <w:r>
        <w:rPr>
          <w:rFonts w:hint="eastAsia" w:ascii="方正小标宋简体" w:hAnsi="方正小标宋简体" w:eastAsia="方正小标宋简体" w:cs="方正小标宋简体"/>
          <w:b w:val="0"/>
          <w:bCs w:val="0"/>
          <w:color w:val="000000"/>
          <w:kern w:val="60"/>
          <w:sz w:val="44"/>
          <w:szCs w:val="44"/>
          <w:lang w:eastAsia="zh-CN"/>
        </w:rPr>
        <w:t>石家庄市藁城区</w:t>
      </w:r>
      <w:r>
        <w:rPr>
          <w:rFonts w:hint="eastAsia" w:ascii="方正小标宋简体" w:hAnsi="方正小标宋简体" w:eastAsia="方正小标宋简体" w:cs="方正小标宋简体"/>
          <w:b w:val="0"/>
          <w:bCs w:val="0"/>
          <w:color w:val="000000"/>
          <w:kern w:val="60"/>
          <w:sz w:val="44"/>
          <w:szCs w:val="44"/>
          <w:lang w:val="en-US" w:eastAsia="zh-CN"/>
        </w:rPr>
        <w:t>卫生健康局2025年</w:t>
      </w:r>
    </w:p>
    <w:p w14:paraId="3487776E">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outlineLvl w:val="9"/>
        <w:rPr>
          <w:rFonts w:hint="eastAsia" w:ascii="方正小标宋简体" w:hAnsi="方正小标宋简体" w:eastAsia="方正小标宋简体" w:cs="方正小标宋简体"/>
          <w:b w:val="0"/>
          <w:bCs w:val="0"/>
          <w:color w:val="000000"/>
          <w:kern w:val="60"/>
          <w:sz w:val="44"/>
          <w:szCs w:val="44"/>
        </w:rPr>
      </w:pPr>
      <w:r>
        <w:rPr>
          <w:rFonts w:hint="eastAsia" w:ascii="方正小标宋简体" w:hAnsi="方正小标宋简体" w:eastAsia="方正小标宋简体" w:cs="方正小标宋简体"/>
          <w:b w:val="0"/>
          <w:bCs w:val="0"/>
          <w:color w:val="000000"/>
          <w:kern w:val="60"/>
          <w:sz w:val="44"/>
          <w:szCs w:val="44"/>
        </w:rPr>
        <w:t>“双随机、一公开”监管工作实施方案</w:t>
      </w:r>
    </w:p>
    <w:p w14:paraId="30C059B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p>
    <w:p w14:paraId="1C0ACBD2">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为深入贯彻落实国务院、省委省政府和市委市政府关于深化“放管服”改革、优化营商环境部署要求，持续强化“双随机、一公开”监管，提升监管效能，根据</w:t>
      </w:r>
      <w:r>
        <w:rPr>
          <w:rFonts w:hint="eastAsia" w:ascii="仿宋_GB2312" w:hAnsi="仿宋_GB2312" w:eastAsia="仿宋_GB2312" w:cs="仿宋_GB2312"/>
          <w:sz w:val="32"/>
          <w:szCs w:val="32"/>
          <w:lang w:val="en-US" w:eastAsia="zh-CN"/>
        </w:rPr>
        <w:t>《石家庄市藁城区2025年“双随机、一公开”监管工作实施方案》的通知要求，结合工作实际，</w:t>
      </w:r>
      <w:r>
        <w:rPr>
          <w:rFonts w:hint="eastAsia" w:ascii="仿宋_GB2312" w:hAnsi="仿宋_GB2312" w:eastAsia="仿宋_GB2312" w:cs="仿宋_GB2312"/>
          <w:color w:val="000000"/>
          <w:kern w:val="60"/>
          <w:sz w:val="32"/>
          <w:szCs w:val="32"/>
          <w:lang w:val="en-US" w:eastAsia="zh-CN"/>
        </w:rPr>
        <w:t>制定本方案。</w:t>
      </w:r>
    </w:p>
    <w:p w14:paraId="5D6B2D17">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黑体" w:hAnsi="黑体" w:eastAsia="黑体" w:cs="黑体"/>
          <w:color w:val="000000"/>
          <w:kern w:val="60"/>
          <w:sz w:val="32"/>
          <w:szCs w:val="32"/>
        </w:rPr>
      </w:pPr>
      <w:r>
        <w:rPr>
          <w:rFonts w:hint="eastAsia" w:ascii="黑体" w:hAnsi="黑体" w:eastAsia="黑体" w:cs="黑体"/>
          <w:color w:val="000000"/>
          <w:kern w:val="60"/>
          <w:sz w:val="32"/>
          <w:szCs w:val="32"/>
        </w:rPr>
        <w:t>一、工作思路及目标</w:t>
      </w:r>
    </w:p>
    <w:p w14:paraId="019B1770">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完善卫健系统“双随机、一公开”工作机制，提升抽查工作规范化水平。强化跨部门联合抽查，提升联合抽查的地位和作用。</w:t>
      </w:r>
      <w:r>
        <w:rPr>
          <w:rFonts w:hint="eastAsia" w:ascii="仿宋_GB2312" w:hAnsi="仿宋_GB2312" w:eastAsia="仿宋_GB2312" w:cs="仿宋_GB2312"/>
          <w:snapToGrid w:val="0"/>
          <w:color w:val="000000"/>
          <w:spacing w:val="0"/>
          <w:kern w:val="10"/>
          <w:sz w:val="32"/>
          <w:szCs w:val="32"/>
          <w:lang w:val="en-US" w:eastAsia="zh-CN" w:bidi="ar-SA"/>
        </w:rPr>
        <w:t>深入推进信用风险差异化抽查，</w:t>
      </w:r>
      <w:r>
        <w:rPr>
          <w:rFonts w:hint="eastAsia" w:ascii="仿宋_GB2312" w:hAnsi="仿宋_GB2312" w:eastAsia="仿宋_GB2312" w:cs="仿宋_GB2312"/>
          <w:color w:val="000000"/>
          <w:kern w:val="60"/>
          <w:sz w:val="32"/>
          <w:szCs w:val="32"/>
          <w:lang w:val="en-US" w:eastAsia="zh-CN"/>
        </w:rPr>
        <w:t>提升监管执法效能。完善工作流程，实现抽查工作的</w:t>
      </w:r>
      <w:bookmarkStart w:id="0" w:name="_GoBack"/>
      <w:bookmarkEnd w:id="0"/>
      <w:r>
        <w:rPr>
          <w:rFonts w:hint="eastAsia" w:ascii="仿宋_GB2312" w:hAnsi="仿宋_GB2312" w:eastAsia="仿宋_GB2312" w:cs="仿宋_GB2312"/>
          <w:color w:val="000000"/>
          <w:kern w:val="60"/>
          <w:sz w:val="32"/>
          <w:szCs w:val="32"/>
          <w:lang w:val="en-US" w:eastAsia="zh-CN"/>
        </w:rPr>
        <w:t>闭环管理。</w:t>
      </w:r>
    </w:p>
    <w:p w14:paraId="253D9F28">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黑体" w:hAnsi="黑体" w:eastAsia="黑体" w:cs="黑体"/>
          <w:color w:val="000000"/>
          <w:kern w:val="60"/>
          <w:sz w:val="32"/>
          <w:szCs w:val="32"/>
        </w:rPr>
      </w:pPr>
      <w:r>
        <w:rPr>
          <w:rFonts w:hint="eastAsia" w:ascii="黑体" w:hAnsi="黑体" w:eastAsia="黑体" w:cs="黑体"/>
          <w:color w:val="000000"/>
          <w:kern w:val="60"/>
          <w:sz w:val="32"/>
          <w:szCs w:val="32"/>
        </w:rPr>
        <w:t>二、主要工作任务</w:t>
      </w:r>
    </w:p>
    <w:p w14:paraId="2CE0E2A8">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（一）强化基础支撑</w:t>
      </w:r>
    </w:p>
    <w:p w14:paraId="3A7336C9">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依托河北省双随机执法监管平台（以下简称监管平台），根据机构改革后部门和职能调整情况，在平台中持续完善“一单两库”等基础信息。根据法律法规规章立改废释情况，依据自身对应的上级部门、“三定”方案中的监管职责及时对涉及监管事权的事项进行认领，形成本单位抽查事项清单。动态调整检查对象名录库和执法检查人员名录库，确保检查对象和执法人员“应纳尽纳”。利用分类标签库完成对本级检查对象和执法检查人员的分类标注，实现对检查对象的精准抽取、对执法人员的精准匹配，提升监管效能。</w:t>
      </w:r>
    </w:p>
    <w:p w14:paraId="4E1CDEA0">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（二）着力提升监管效能</w:t>
      </w:r>
    </w:p>
    <w:p w14:paraId="56673AFF">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推动监管关口前移。</w:t>
      </w:r>
    </w:p>
    <w:p w14:paraId="78F92108">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大力推广非现场检查，针对相关监管领域、特定监管对象或抽查事项能通过书面核查、信息共享、网络监测、视频检查等方式监管的，不得入企实施现场检查，压缩现场检查频次，减轻企业负担。</w:t>
      </w:r>
    </w:p>
    <w:p w14:paraId="1D8F865C">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（三）规范随机抽查工作程序</w:t>
      </w:r>
    </w:p>
    <w:p w14:paraId="1B6EB86E">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严格规范随机抽查工作程序，提高“双随机、一公开”监管规范化、标准化水平。严格按年度随机抽查计划开展抽查，加强组织随机抽查前的业务培训力度，提升抽查效果；年度计划、实施方案、抽查结果及后续处理结果要及时向社会公开。对需调整的年度抽查计划必须严格履行相关工作程序，调整后的年度抽查计划要及时向社会公开。健全随机抽查后续处置机制，规范问题线索的转办、移送等工作，依法定程序及时移交有处置权限的机构和相关部门，依法加大惩处力度，涉嫌犯罪的及时移送司法机关，实现监管闭环。对查出问题的市场主体要积极立案查处，并及时将处罚结果对社会公开。加强与信用监管的衔接，加大对抽查发现的违法失信行为的信用惩戒力度，实施联合惩戒，增强随机抽查的震慑力，提升市场主体诚信守法经营自律意识，推动构建企业自律、行业自治、政府监管、社会监督的多元化共治格局。</w:t>
      </w:r>
    </w:p>
    <w:p w14:paraId="04D9DE38">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（四）加大宣传培训力度</w:t>
      </w:r>
    </w:p>
    <w:p w14:paraId="6E1387EB">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监管的社会影响力和公众知晓度。要将好经验、好做法固化为制度机制，不断提升“双随机、一公开”监管整体水平。常态化开展随机抽查工作培训，既加强对执法人员的业务培训和管理人员的系统使用培训，又强化对随机抽查工作规范标准的培训，提高基层执法人员综合素质和执法能力，满足联合抽查工作需求，实现抽查工作规范有序、抽查结果认定统一。</w:t>
      </w:r>
    </w:p>
    <w:p w14:paraId="70C67CD5">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黑体" w:hAnsi="黑体" w:eastAsia="黑体" w:cs="黑体"/>
          <w:color w:val="000000"/>
          <w:kern w:val="60"/>
          <w:sz w:val="32"/>
          <w:szCs w:val="32"/>
        </w:rPr>
      </w:pPr>
      <w:r>
        <w:rPr>
          <w:rFonts w:hint="eastAsia" w:ascii="黑体" w:hAnsi="黑体" w:eastAsia="黑体" w:cs="黑体"/>
          <w:color w:val="000000"/>
          <w:kern w:val="60"/>
          <w:sz w:val="32"/>
          <w:szCs w:val="32"/>
        </w:rPr>
        <w:t>三、工作要求</w:t>
      </w:r>
    </w:p>
    <w:p w14:paraId="7E8770DB">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（一）提高政治站位，强化组织领导</w:t>
      </w:r>
    </w:p>
    <w:p w14:paraId="023265EE">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充分认识“双随机、一公开”监管对于构建新型监管机制、提升监管效能、优化营商环境的重要作用，进一步加强组织领导和统筹协调，健全工作制度和运行机制，成立“双随机、一公开”监管工作领导小组，由局主管局长任组长，疾控中心副主任、法制监督股股长任副组长，法制监督股、疾控中心各执法股室为成员的领导小组，小组办公室设在局法制监督股，负责指导、协调、督导工作；卫生监督机构负责认真落实抽查工作任务，结合工作实际不断完善“一单两库一细则”和相关制度。细化工作目标和推进举措，确保各项工作任务落到实处、取得实效，为进一步优化营商环境做出积极贡献。</w:t>
      </w:r>
    </w:p>
    <w:p w14:paraId="6B72E216">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lang w:eastAsia="zh-CN"/>
        </w:rPr>
      </w:pPr>
      <w:r>
        <w:rPr>
          <w:rFonts w:hint="eastAsia" w:ascii="楷体_GB2312" w:hAnsi="楷体_GB2312" w:eastAsia="楷体_GB2312" w:cs="楷体_GB2312"/>
          <w:b w:val="0"/>
          <w:bCs/>
          <w:color w:val="000000"/>
          <w:kern w:val="60"/>
          <w:sz w:val="32"/>
          <w:szCs w:val="32"/>
          <w:lang w:eastAsia="zh-CN"/>
        </w:rPr>
        <w:t>（</w:t>
      </w:r>
      <w:r>
        <w:rPr>
          <w:rFonts w:hint="eastAsia" w:ascii="楷体_GB2312" w:hAnsi="楷体_GB2312" w:eastAsia="楷体_GB2312" w:cs="楷体_GB2312"/>
          <w:b w:val="0"/>
          <w:bCs/>
          <w:color w:val="000000"/>
          <w:kern w:val="60"/>
          <w:sz w:val="32"/>
          <w:szCs w:val="32"/>
          <w:lang w:val="en-US" w:eastAsia="zh-CN"/>
        </w:rPr>
        <w:t>二</w:t>
      </w:r>
      <w:r>
        <w:rPr>
          <w:rFonts w:hint="eastAsia" w:ascii="楷体_GB2312" w:hAnsi="楷体_GB2312" w:eastAsia="楷体_GB2312" w:cs="楷体_GB2312"/>
          <w:b w:val="0"/>
          <w:bCs/>
          <w:color w:val="000000"/>
          <w:kern w:val="60"/>
          <w:sz w:val="32"/>
          <w:szCs w:val="32"/>
          <w:lang w:eastAsia="zh-CN"/>
        </w:rPr>
        <w:t>）认真履职尽责，强化责任担当</w:t>
      </w:r>
    </w:p>
    <w:p w14:paraId="4F6F8448">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kern w:val="60"/>
          <w:sz w:val="32"/>
          <w:szCs w:val="32"/>
          <w:lang w:val="en-US" w:eastAsia="zh-CN"/>
        </w:rPr>
      </w:pPr>
      <w:r>
        <w:rPr>
          <w:rFonts w:hint="eastAsia" w:ascii="仿宋_GB2312" w:hAnsi="仿宋_GB2312" w:eastAsia="仿宋_GB2312" w:cs="仿宋_GB2312"/>
          <w:color w:val="000000"/>
          <w:kern w:val="60"/>
          <w:sz w:val="32"/>
          <w:szCs w:val="32"/>
          <w:lang w:val="en-US" w:eastAsia="zh-CN"/>
        </w:rPr>
        <w:t>认真落实主体责任，按照区政府和上级主管部门的要求，主动开展工作，并做好对下级对口部门的指导、督促工作。牢固树立“一盘棋”思想，与其他部门相互支持、密切配合、协同促进，合力推进各项工作任务落实。</w:t>
      </w:r>
    </w:p>
    <w:p w14:paraId="21DEEDCB">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楷体_GB2312" w:hAnsi="楷体_GB2312" w:eastAsia="楷体_GB2312" w:cs="楷体_GB2312"/>
          <w:b w:val="0"/>
          <w:bCs/>
          <w:color w:val="000000"/>
          <w:kern w:val="60"/>
          <w:sz w:val="32"/>
          <w:szCs w:val="32"/>
        </w:rPr>
      </w:pPr>
      <w:r>
        <w:rPr>
          <w:rFonts w:hint="eastAsia" w:ascii="楷体_GB2312" w:hAnsi="楷体_GB2312" w:eastAsia="楷体_GB2312" w:cs="楷体_GB2312"/>
          <w:b w:val="0"/>
          <w:bCs/>
          <w:color w:val="000000"/>
          <w:kern w:val="60"/>
          <w:sz w:val="32"/>
          <w:szCs w:val="32"/>
          <w:lang w:eastAsia="zh-CN"/>
        </w:rPr>
        <w:t>（</w:t>
      </w:r>
      <w:r>
        <w:rPr>
          <w:rFonts w:hint="eastAsia" w:ascii="楷体_GB2312" w:hAnsi="楷体_GB2312" w:eastAsia="楷体_GB2312" w:cs="楷体_GB2312"/>
          <w:b w:val="0"/>
          <w:bCs/>
          <w:color w:val="000000"/>
          <w:kern w:val="60"/>
          <w:sz w:val="32"/>
          <w:szCs w:val="32"/>
          <w:lang w:val="en-US" w:eastAsia="zh-CN"/>
        </w:rPr>
        <w:t>三</w:t>
      </w:r>
      <w:r>
        <w:rPr>
          <w:rFonts w:hint="eastAsia" w:ascii="楷体_GB2312" w:hAnsi="楷体_GB2312" w:eastAsia="楷体_GB2312" w:cs="楷体_GB2312"/>
          <w:b w:val="0"/>
          <w:bCs/>
          <w:color w:val="000000"/>
          <w:kern w:val="60"/>
          <w:sz w:val="32"/>
          <w:szCs w:val="32"/>
          <w:lang w:eastAsia="zh-CN"/>
        </w:rPr>
        <w:t>）完善</w:t>
      </w:r>
      <w:r>
        <w:rPr>
          <w:rFonts w:hint="eastAsia" w:ascii="楷体_GB2312" w:hAnsi="楷体_GB2312" w:eastAsia="楷体_GB2312" w:cs="楷体_GB2312"/>
          <w:b w:val="0"/>
          <w:bCs/>
          <w:color w:val="000000"/>
          <w:kern w:val="60"/>
          <w:sz w:val="32"/>
          <w:szCs w:val="32"/>
        </w:rPr>
        <w:t>评估机制，强化跟踪问效</w:t>
      </w:r>
    </w:p>
    <w:p w14:paraId="347A571A">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lef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60"/>
          <w:sz w:val="32"/>
          <w:szCs w:val="32"/>
          <w:lang w:val="en-US" w:eastAsia="zh-CN"/>
        </w:rPr>
        <w:t>卫健局</w:t>
      </w:r>
      <w:r>
        <w:rPr>
          <w:rFonts w:hint="eastAsia" w:ascii="仿宋_GB2312" w:hAnsi="仿宋_GB2312" w:eastAsia="仿宋_GB2312" w:cs="仿宋_GB2312"/>
          <w:color w:val="000000"/>
          <w:kern w:val="60"/>
          <w:sz w:val="32"/>
          <w:szCs w:val="32"/>
        </w:rPr>
        <w:t>“双随机、一公开”监管工作</w:t>
      </w:r>
      <w:r>
        <w:rPr>
          <w:rFonts w:hint="eastAsia" w:ascii="仿宋_GB2312" w:hAnsi="仿宋_GB2312" w:eastAsia="仿宋_GB2312" w:cs="仿宋_GB2312"/>
          <w:color w:val="000000"/>
          <w:kern w:val="60"/>
          <w:sz w:val="32"/>
          <w:szCs w:val="32"/>
          <w:lang w:val="en-US" w:eastAsia="zh-CN"/>
        </w:rPr>
        <w:t>领导小组办公室建立健全“双随机、一公开”监管工作</w:t>
      </w:r>
      <w:r>
        <w:rPr>
          <w:rFonts w:hint="eastAsia" w:ascii="仿宋_GB2312" w:hAnsi="仿宋_GB2312" w:eastAsia="仿宋_GB2312" w:cs="仿宋_GB2312"/>
          <w:color w:val="000000"/>
          <w:kern w:val="60"/>
          <w:sz w:val="32"/>
          <w:szCs w:val="32"/>
        </w:rPr>
        <w:t>效果评估机制，</w:t>
      </w:r>
      <w:r>
        <w:rPr>
          <w:rFonts w:hint="eastAsia" w:ascii="仿宋_GB2312" w:hAnsi="仿宋_GB2312" w:eastAsia="仿宋_GB2312" w:cs="仿宋_GB2312"/>
          <w:color w:val="000000"/>
          <w:kern w:val="60"/>
          <w:sz w:val="32"/>
          <w:szCs w:val="32"/>
          <w:lang w:val="en-US" w:eastAsia="zh-CN"/>
        </w:rPr>
        <w:t>切实</w:t>
      </w:r>
      <w:r>
        <w:rPr>
          <w:rFonts w:hint="eastAsia" w:ascii="仿宋_GB2312" w:hAnsi="仿宋_GB2312" w:eastAsia="仿宋_GB2312" w:cs="仿宋_GB2312"/>
          <w:color w:val="000000"/>
          <w:kern w:val="60"/>
          <w:sz w:val="32"/>
          <w:szCs w:val="32"/>
          <w:lang w:eastAsia="zh-CN"/>
        </w:rPr>
        <w:t>强化对</w:t>
      </w:r>
      <w:r>
        <w:rPr>
          <w:rFonts w:hint="eastAsia" w:ascii="仿宋_GB2312" w:hAnsi="仿宋_GB2312" w:eastAsia="仿宋_GB2312" w:cs="仿宋_GB2312"/>
          <w:color w:val="000000"/>
          <w:kern w:val="60"/>
          <w:sz w:val="32"/>
          <w:szCs w:val="32"/>
          <w:lang w:val="en-US" w:eastAsia="zh-CN"/>
        </w:rPr>
        <w:t>双</w:t>
      </w:r>
      <w:r>
        <w:rPr>
          <w:rFonts w:hint="eastAsia" w:ascii="仿宋_GB2312" w:hAnsi="仿宋_GB2312" w:eastAsia="仿宋_GB2312" w:cs="仿宋_GB2312"/>
          <w:color w:val="000000"/>
          <w:kern w:val="60"/>
          <w:sz w:val="32"/>
          <w:szCs w:val="32"/>
        </w:rPr>
        <w:t>随机</w:t>
      </w:r>
      <w:r>
        <w:rPr>
          <w:rFonts w:hint="eastAsia" w:ascii="仿宋_GB2312" w:hAnsi="仿宋_GB2312" w:eastAsia="仿宋_GB2312" w:cs="仿宋_GB2312"/>
          <w:color w:val="000000"/>
          <w:kern w:val="60"/>
          <w:sz w:val="32"/>
          <w:szCs w:val="32"/>
          <w:lang w:eastAsia="zh-CN"/>
        </w:rPr>
        <w:t>抽查工作</w:t>
      </w:r>
      <w:r>
        <w:rPr>
          <w:rFonts w:hint="eastAsia" w:ascii="仿宋_GB2312" w:hAnsi="仿宋_GB2312" w:eastAsia="仿宋_GB2312" w:cs="仿宋_GB2312"/>
          <w:color w:val="000000"/>
          <w:kern w:val="60"/>
          <w:sz w:val="32"/>
          <w:szCs w:val="32"/>
          <w:lang w:val="en-US" w:eastAsia="zh-CN"/>
        </w:rPr>
        <w:t>的督导检查，将双随机考核纳入对卫生监督机构考核内容，组织相关人员成立考核小组，查找问题不足，督促整改落实。</w:t>
      </w:r>
    </w:p>
    <w:p w14:paraId="0A8EDDEE">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联系</w:t>
      </w:r>
      <w:r>
        <w:rPr>
          <w:rFonts w:hint="eastAsia" w:ascii="仿宋_GB2312" w:hAnsi="仿宋_GB2312" w:eastAsia="仿宋_GB2312" w:cs="仿宋_GB2312"/>
          <w:color w:val="000000"/>
          <w:sz w:val="32"/>
          <w:szCs w:val="32"/>
          <w:lang w:val="en-US" w:eastAsia="zh-CN"/>
        </w:rPr>
        <w:t>电话</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88136611</w:t>
      </w:r>
    </w:p>
    <w:p w14:paraId="45DB7A54">
      <w:pPr>
        <w:keepNext w:val="0"/>
        <w:keepLines w:val="0"/>
        <w:pageBreakBefore w:val="0"/>
        <w:widowControl w:val="0"/>
        <w:kinsoku/>
        <w:wordWrap/>
        <w:overflowPunct/>
        <w:topLinePunct w:val="0"/>
        <w:autoSpaceDE/>
        <w:autoSpaceDN/>
        <w:bidi w:val="0"/>
        <w:adjustRightInd/>
        <w:snapToGrid/>
        <w:spacing w:line="550"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电子邮箱：</w:t>
      </w:r>
      <w:r>
        <w:rPr>
          <w:rFonts w:hint="eastAsia" w:ascii="仿宋_GB2312" w:hAnsi="仿宋_GB2312" w:eastAsia="仿宋_GB2312" w:cs="仿宋_GB2312"/>
          <w:color w:val="000000"/>
          <w:sz w:val="32"/>
          <w:szCs w:val="32"/>
          <w:lang w:val="en-US" w:eastAsia="zh-CN"/>
        </w:rPr>
        <w:t>fajianke-001@163.com</w:t>
      </w:r>
    </w:p>
    <w:p w14:paraId="52A37D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000000"/>
          <w:sz w:val="32"/>
          <w:szCs w:val="32"/>
        </w:rPr>
      </w:pPr>
    </w:p>
    <w:p w14:paraId="0C101866">
      <w:pPr>
        <w:pStyle w:val="3"/>
        <w:keepNext w:val="0"/>
        <w:keepLines w:val="0"/>
        <w:pageBreakBefore w:val="0"/>
        <w:widowControl w:val="0"/>
        <w:kinsoku/>
        <w:wordWrap/>
        <w:overflowPunct/>
        <w:topLinePunct w:val="0"/>
        <w:autoSpaceDE/>
        <w:autoSpaceDN/>
        <w:bidi w:val="0"/>
        <w:spacing w:after="0" w:line="560" w:lineRule="exact"/>
        <w:textAlignment w:val="auto"/>
        <w:rPr>
          <w:rFonts w:hint="eastAsia" w:ascii="仿宋_GB2312" w:hAnsi="仿宋_GB2312" w:eastAsia="仿宋_GB2312" w:cs="仿宋_GB2312"/>
          <w:color w:val="000000"/>
          <w:sz w:val="32"/>
          <w:szCs w:val="32"/>
        </w:rPr>
      </w:pPr>
    </w:p>
    <w:p w14:paraId="06E44284">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E7F1B5D-5B50-4275-8B6B-1EFA25DE90B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7BBEFD8-9CB7-489A-9154-EAFFE9D121BD}"/>
  </w:font>
  <w:font w:name="方正小标宋简体">
    <w:panose1 w:val="02010600010101010101"/>
    <w:charset w:val="86"/>
    <w:family w:val="auto"/>
    <w:pitch w:val="default"/>
    <w:sig w:usb0="00000001" w:usb1="080E0000" w:usb2="00000000" w:usb3="00000000" w:csb0="00040000" w:csb1="00000000"/>
    <w:embedRegular r:id="rId3" w:fontKey="{1A030127-71EC-4D35-ADF4-E74D6E7266AF}"/>
  </w:font>
  <w:font w:name="方正大标宋简体">
    <w:altName w:val="宋体"/>
    <w:panose1 w:val="02010601030101010101"/>
    <w:charset w:val="86"/>
    <w:family w:val="auto"/>
    <w:pitch w:val="default"/>
    <w:sig w:usb0="00000000" w:usb1="00000000" w:usb2="00000000" w:usb3="00000000" w:csb0="00040000" w:csb1="00000000"/>
    <w:embedRegular r:id="rId4" w:fontKey="{54D92D9A-A701-4C07-B21B-2903E2E79CFF}"/>
  </w:font>
  <w:font w:name="仿宋_GB2312">
    <w:altName w:val="仿宋"/>
    <w:panose1 w:val="02010609030101010101"/>
    <w:charset w:val="86"/>
    <w:family w:val="auto"/>
    <w:pitch w:val="default"/>
    <w:sig w:usb0="00000000" w:usb1="00000000" w:usb2="00000000" w:usb3="00000000" w:csb0="00040000" w:csb1="00000000"/>
    <w:embedRegular r:id="rId5" w:fontKey="{8AA11385-5F39-47D5-B267-EBBAF0E8F307}"/>
  </w:font>
  <w:font w:name="楷体_GB2312">
    <w:altName w:val="楷体"/>
    <w:panose1 w:val="02010609030101010101"/>
    <w:charset w:val="86"/>
    <w:family w:val="auto"/>
    <w:pitch w:val="default"/>
    <w:sig w:usb0="00000000" w:usb1="00000000" w:usb2="00000000" w:usb3="00000000" w:csb0="00040000" w:csb1="00000000"/>
    <w:embedRegular r:id="rId6" w:fontKey="{79B94E04-D4EF-4B82-8B7E-A3645C6710CF}"/>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255748"/>
    <w:rsid w:val="02903F92"/>
    <w:rsid w:val="02F75DF9"/>
    <w:rsid w:val="072F055B"/>
    <w:rsid w:val="15837031"/>
    <w:rsid w:val="18C15C1F"/>
    <w:rsid w:val="29985D9B"/>
    <w:rsid w:val="2C2C0802"/>
    <w:rsid w:val="40935A06"/>
    <w:rsid w:val="425E6295"/>
    <w:rsid w:val="5C425AB8"/>
    <w:rsid w:val="60837EB1"/>
    <w:rsid w:val="77CA56B5"/>
    <w:rsid w:val="78E46AD8"/>
    <w:rsid w:val="79255748"/>
    <w:rsid w:val="7E225E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4"/>
    <w:basedOn w:val="1"/>
    <w:next w:val="1"/>
    <w:uiPriority w:val="0"/>
    <w:pPr>
      <w:keepNext/>
      <w:keepLines/>
      <w:spacing w:line="360" w:lineRule="auto"/>
      <w:outlineLvl w:val="3"/>
    </w:pPr>
    <w:rPr>
      <w:rFonts w:hint="default" w:ascii="Arial" w:hAnsi="Arial"/>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pPr>
      <w:spacing w:after="120"/>
    </w:pPr>
    <w:rPr>
      <w:rFonts w:ascii="Times New Roman" w:hAnsi="Times New Roman"/>
      <w:szCs w:val="2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8">
    <w:name w:val="BodyText"/>
    <w:basedOn w:val="1"/>
    <w:qFormat/>
    <w:uiPriority w:val="0"/>
    <w:pPr>
      <w:widowControl/>
      <w:textAlignment w:val="baseline"/>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2202</Words>
  <Characters>2246</Characters>
  <Lines>0</Lines>
  <Paragraphs>0</Paragraphs>
  <TotalTime>1</TotalTime>
  <ScaleCrop>false</ScaleCrop>
  <LinksUpToDate>false</LinksUpToDate>
  <CharactersWithSpaces>2355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2025-09-11T00:54:00Z</dcterms:created>
  <dc:creator>DELL</dc:creator>
  <cp:lastModifiedBy>13323011735</cp:lastModifiedBy>
  <dcterms:modified xsi:type="dcterms:W3CDTF">2025-09-16T08:11:57Z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362B2C9E9B284F9EABEEA19CDA3C45CF_11</vt:lpwstr>
  </property>
  <property fmtid="{D5CDD505-2E9C-101B-9397-08002B2CF9AE}" pid="4" name="KSOTemplateDocerSaveRecord">
    <vt:lpwstr>eyJoZGlkIjoiZTMzZmIyODEyYmQwZGE2MGU2MDg2NjQ2ZDRlZTY2ODciLCJ1c2VySWQiOiIxNTUwMjQwMDk2In0=</vt:lpwstr>
  </property>
</Properties>
</file>