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A07B57">
      <w:pPr>
        <w:jc w:val="center"/>
        <w:rPr>
          <w:rFonts w:hint="eastAsia" w:ascii="方正小标宋简体" w:hAnsi="宋体" w:eastAsia="方正小标宋简体"/>
          <w:b/>
          <w:color w:val="FF0000"/>
          <w:spacing w:val="68"/>
          <w:sz w:val="58"/>
          <w:szCs w:val="58"/>
        </w:rPr>
      </w:pPr>
      <w:r>
        <w:rPr>
          <w:rFonts w:hint="eastAsia" w:ascii="方正小标宋简体" w:hAnsi="宋体" w:eastAsia="方正小标宋简体"/>
          <w:bCs/>
          <w:color w:val="FF0000"/>
          <w:spacing w:val="68"/>
          <w:sz w:val="58"/>
          <w:szCs w:val="58"/>
        </w:rPr>
        <w:t>石家庄市藁城区卫生</w:t>
      </w:r>
      <w:r>
        <w:rPr>
          <w:rFonts w:hint="eastAsia" w:ascii="方正小标宋简体" w:hAnsi="宋体" w:eastAsia="方正小标宋简体"/>
          <w:bCs/>
          <w:color w:val="FF0000"/>
          <w:spacing w:val="68"/>
          <w:sz w:val="58"/>
          <w:szCs w:val="58"/>
          <w:lang w:eastAsia="zh-CN"/>
        </w:rPr>
        <w:t>健康局</w:t>
      </w:r>
    </w:p>
    <w:p w14:paraId="191B3D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大标宋简体" w:hAnsi="宋体" w:eastAsia="方正大标宋简体"/>
          <w:color w:val="FF0000"/>
          <w:sz w:val="10"/>
          <w:szCs w:val="10"/>
        </w:rPr>
      </w:pPr>
      <w:r>
        <w:rPr>
          <w:rFonts w:hint="eastAsi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715000" cy="0"/>
                <wp:effectExtent l="0" t="28575" r="0" b="28575"/>
                <wp:wrapNone/>
                <wp:docPr id="1" name="直接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15000" cy="0"/>
                        </a:xfrm>
                        <a:prstGeom prst="line">
                          <a:avLst/>
                        </a:prstGeom>
                        <a:ln w="57150" cap="flat" cmpd="thickThin">
                          <a:solidFill>
                            <a:srgbClr val="FF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pt;margin-top:0pt;height:0pt;width:450pt;z-index:251659264;mso-width-relative:page;mso-height-relative:page;" filled="f" stroked="t" coordsize="21600,21600" o:gfxdata="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">
                <v:fill on="f" focussize="0,0"/>
                <v:stroke weight="4.5pt" color="#FF0000" linestyle="thickThin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/>
          <w:lang w:val="en-US" w:eastAsia="zh-CN"/>
        </w:rPr>
        <w:t xml:space="preserve">                                                        </w:t>
      </w:r>
    </w:p>
    <w:p w14:paraId="7E8A45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石家庄市藁城区卫生健康局</w:t>
      </w:r>
    </w:p>
    <w:p w14:paraId="48A6A58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“双随机、一公开”监管工作培训计划</w:t>
      </w:r>
    </w:p>
    <w:p w14:paraId="29157B80">
      <w:pPr>
        <w:ind w:firstLine="640" w:firstLineChars="200"/>
        <w:rPr>
          <w:rFonts w:hint="eastAsia" w:ascii="宋体" w:hAnsi="宋体" w:eastAsia="宋体" w:cs="宋体"/>
          <w:sz w:val="32"/>
          <w:szCs w:val="32"/>
        </w:rPr>
      </w:pPr>
    </w:p>
    <w:p w14:paraId="5E21B8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为了进一步提高卫健系统检查人员素质，规范“双随机、一公开”监管工作行为，提高监管水平，切实推进本系统“双随机、一公开”工作开展，结合我局实际工作情况，制定本培训计划。</w:t>
      </w:r>
    </w:p>
    <w:p w14:paraId="04C333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一、培训基本原则</w:t>
      </w:r>
    </w:p>
    <w:p w14:paraId="40E4E7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1、规范监管。</w:t>
      </w:r>
      <w:r>
        <w:rPr>
          <w:rFonts w:hint="eastAsia" w:ascii="仿宋_GB2312" w:hAnsi="仿宋_GB2312" w:eastAsia="仿宋_GB2312" w:cs="仿宋_GB2312"/>
          <w:sz w:val="32"/>
          <w:szCs w:val="32"/>
        </w:rPr>
        <w:t>严格依据有关法律、法规和规章，规范事中事后监管，确保双随机抽查依法有序进行。</w:t>
      </w:r>
    </w:p>
    <w:p w14:paraId="5735A17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2、公正高效。</w:t>
      </w:r>
      <w:r>
        <w:rPr>
          <w:rFonts w:hint="eastAsia" w:ascii="仿宋_GB2312" w:hAnsi="仿宋_GB2312" w:eastAsia="仿宋_GB2312" w:cs="仿宋_GB2312"/>
          <w:sz w:val="32"/>
          <w:szCs w:val="32"/>
        </w:rPr>
        <w:t>坚持公正、公平、文明执法，提升监管效能，减轻市场主体负担，优化市场环境。</w:t>
      </w:r>
    </w:p>
    <w:p w14:paraId="45E616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3、公开透明。</w:t>
      </w:r>
      <w:r>
        <w:rPr>
          <w:rFonts w:hint="eastAsia" w:ascii="仿宋_GB2312" w:hAnsi="仿宋_GB2312" w:eastAsia="仿宋_GB2312" w:cs="仿宋_GB2312"/>
          <w:sz w:val="32"/>
          <w:szCs w:val="32"/>
        </w:rPr>
        <w:t>公开双随机、一公开各项规定和工作制度，实行阳光执法，接受社会监督。</w:t>
      </w:r>
    </w:p>
    <w:p w14:paraId="435996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二、培训时间</w:t>
      </w:r>
    </w:p>
    <w:p w14:paraId="0327D6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全年计划组织培训两次，第一次培训时间为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9月份</w:t>
      </w:r>
      <w:r>
        <w:rPr>
          <w:rFonts w:hint="eastAsia" w:ascii="仿宋_GB2312" w:hAnsi="仿宋_GB2312" w:eastAsia="仿宋_GB2312" w:cs="仿宋_GB2312"/>
          <w:sz w:val="32"/>
          <w:szCs w:val="32"/>
        </w:rPr>
        <w:t>，第二次培训时间为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12月份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 w14:paraId="1FA80E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三、培训范围</w:t>
      </w:r>
    </w:p>
    <w:p w14:paraId="41B24B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0" w:firstLineChars="3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-9525</wp:posOffset>
                </wp:positionH>
                <wp:positionV relativeFrom="paragraph">
                  <wp:posOffset>1040130</wp:posOffset>
                </wp:positionV>
                <wp:extent cx="5715000" cy="0"/>
                <wp:effectExtent l="0" t="28575" r="0" b="28575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15000" cy="0"/>
                        </a:xfrm>
                        <a:prstGeom prst="line">
                          <a:avLst/>
                        </a:prstGeom>
                        <a:ln w="57150" cap="flat" cmpd="thickThin">
                          <a:solidFill>
                            <a:srgbClr val="FF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-0.75pt;margin-top:81.9pt;height:0pt;width:450pt;z-index:251660288;mso-width-relative:page;mso-height-relative:page;" filled="f" stroked="t" coordsize="21600,21600" o:gfxdata="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">
                <v:fill on="f" focussize="0,0"/>
                <v:stroke weight="4.5pt" color="#FF0000" linestyle="thickThin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仿宋_GB2312" w:hAnsi="仿宋_GB2312" w:eastAsia="仿宋_GB2312" w:cs="仿宋_GB2312"/>
          <w:sz w:val="32"/>
          <w:szCs w:val="32"/>
        </w:rPr>
        <w:t>局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机关相关股室</w:t>
      </w:r>
      <w:r>
        <w:rPr>
          <w:rFonts w:hint="eastAsia" w:ascii="仿宋_GB2312" w:hAnsi="仿宋_GB2312" w:eastAsia="仿宋_GB2312" w:cs="仿宋_GB2312"/>
          <w:sz w:val="32"/>
          <w:szCs w:val="32"/>
        </w:rPr>
        <w:t>、区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疾控中心（卫生监督所）全体执法人员以及</w:t>
      </w:r>
      <w:r>
        <w:rPr>
          <w:rFonts w:hint="eastAsia" w:ascii="仿宋_GB2312" w:hAnsi="仿宋_GB2312" w:eastAsia="仿宋_GB2312" w:cs="仿宋_GB2312"/>
          <w:sz w:val="32"/>
          <w:szCs w:val="32"/>
        </w:rPr>
        <w:t>“双随机、一公开”相关工作人员。</w:t>
      </w:r>
    </w:p>
    <w:p w14:paraId="6EFCC4D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四、培训的目标和内容</w:t>
      </w:r>
    </w:p>
    <w:p w14:paraId="68A5F2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1、首次培训以202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城区卫生健康局跨部门联合随机抽查</w:t>
      </w:r>
      <w:r>
        <w:rPr>
          <w:rFonts w:hint="eastAsia" w:ascii="仿宋_GB2312" w:hAnsi="仿宋_GB2312" w:eastAsia="仿宋_GB2312" w:cs="仿宋_GB2312"/>
          <w:sz w:val="32"/>
          <w:szCs w:val="32"/>
        </w:rPr>
        <w:t>工作方案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“双随机、一公开”监管工作实施方案</w:t>
      </w:r>
      <w:r>
        <w:rPr>
          <w:rFonts w:hint="eastAsia" w:ascii="仿宋_GB2312" w:hAnsi="仿宋_GB2312" w:eastAsia="仿宋_GB2312" w:cs="仿宋_GB2312"/>
          <w:sz w:val="32"/>
          <w:szCs w:val="32"/>
        </w:rPr>
        <w:t>等文件资料为主要内容，同时以202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年上半年工作开展情况为案例，对工作中的注意事项进行详细讲解，为下半年工作开展奠定基础。实现运用随机抽查监管的方式进行常态化日常监管。</w:t>
      </w:r>
    </w:p>
    <w:p w14:paraId="7C0C4D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2、第二次培训会在总结本年度工作开展情况基础上，着重对工作中存在需纠正的问题，应完善加强的工作细节、按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照</w:t>
      </w:r>
      <w:r>
        <w:rPr>
          <w:rFonts w:hint="eastAsia" w:ascii="仿宋_GB2312" w:hAnsi="仿宋_GB2312" w:eastAsia="仿宋_GB2312" w:cs="仿宋_GB2312"/>
          <w:sz w:val="32"/>
          <w:szCs w:val="32"/>
        </w:rPr>
        <w:t>下一年工作计划有针对性地开展培训，力争做到查漏补缺，规范执法行为，取得良好效果，进一步健全完善随机抽查的制度机制，不断提高抽查工作规范化、标准化水平。</w:t>
      </w:r>
    </w:p>
    <w:p w14:paraId="340C6F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726804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pacing w:val="-20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附件:</w:t>
      </w:r>
      <w:r>
        <w:rPr>
          <w:rFonts w:hint="eastAsia" w:ascii="仿宋_GB2312" w:hAnsi="仿宋_GB2312" w:eastAsia="仿宋_GB2312" w:cs="仿宋_GB2312"/>
          <w:spacing w:val="-20"/>
          <w:sz w:val="32"/>
          <w:szCs w:val="32"/>
        </w:rPr>
        <w:t>区</w:t>
      </w:r>
      <w:r>
        <w:rPr>
          <w:rFonts w:hint="eastAsia" w:ascii="仿宋_GB2312" w:hAnsi="仿宋_GB2312" w:eastAsia="仿宋_GB2312" w:cs="仿宋_GB2312"/>
          <w:spacing w:val="-20"/>
          <w:sz w:val="32"/>
          <w:szCs w:val="32"/>
          <w:lang w:val="en-US" w:eastAsia="zh-CN"/>
        </w:rPr>
        <w:t>卫健局</w:t>
      </w:r>
      <w:r>
        <w:rPr>
          <w:rFonts w:hint="eastAsia" w:ascii="仿宋_GB2312" w:hAnsi="仿宋_GB2312" w:eastAsia="仿宋_GB2312" w:cs="仿宋_GB2312"/>
          <w:spacing w:val="-20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pacing w:val="-20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pacing w:val="-20"/>
          <w:sz w:val="32"/>
          <w:szCs w:val="32"/>
        </w:rPr>
        <w:t>年度“</w:t>
      </w:r>
      <w:r>
        <w:rPr>
          <w:rFonts w:hint="eastAsia" w:ascii="仿宋_GB2312" w:hAnsi="仿宋_GB2312" w:eastAsia="仿宋_GB2312" w:cs="仿宋_GB2312"/>
          <w:spacing w:val="-20"/>
          <w:sz w:val="32"/>
          <w:szCs w:val="32"/>
          <w:lang w:val="en-US" w:eastAsia="zh-CN"/>
        </w:rPr>
        <w:t>双随</w:t>
      </w:r>
      <w:bookmarkStart w:id="2" w:name="_GoBack"/>
      <w:bookmarkEnd w:id="2"/>
      <w:r>
        <w:rPr>
          <w:rFonts w:hint="eastAsia" w:ascii="仿宋_GB2312" w:hAnsi="仿宋_GB2312" w:eastAsia="仿宋_GB2312" w:cs="仿宋_GB2312"/>
          <w:spacing w:val="-20"/>
          <w:sz w:val="32"/>
          <w:szCs w:val="32"/>
        </w:rPr>
        <w:t>机、一公开”监管工作培训计划</w:t>
      </w:r>
    </w:p>
    <w:p w14:paraId="30E554E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120" w:firstLineChars="16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4243AD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5427" w:leftChars="2432" w:hanging="320" w:hangingChars="1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石家庄市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卫生</w:t>
      </w:r>
      <w:r>
        <w:rPr>
          <w:rFonts w:hint="eastAsia" w:ascii="仿宋_GB2312" w:hAnsi="仿宋_GB2312" w:eastAsia="仿宋_GB2312" w:cs="仿宋_GB2312"/>
          <w:sz w:val="32"/>
          <w:szCs w:val="32"/>
        </w:rPr>
        <w:t>健康局</w:t>
      </w:r>
      <w:r>
        <w:rPr>
          <w:rFonts w:hint="eastAsia" w:ascii="仿宋_GB2312" w:hAnsi="仿宋_GB2312" w:eastAsia="仿宋_GB2312" w:cs="仿宋_GB2312"/>
          <w:sz w:val="32"/>
          <w:szCs w:val="32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5日</w:t>
      </w:r>
    </w:p>
    <w:p w14:paraId="3C122D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宋体" w:hAnsi="宋体" w:eastAsia="宋体" w:cs="宋体"/>
          <w:sz w:val="32"/>
          <w:szCs w:val="32"/>
        </w:rPr>
        <w:sectPr>
          <w:pgSz w:w="11906" w:h="16838"/>
          <w:pgMar w:top="2098" w:right="1474" w:bottom="1984" w:left="1587" w:header="851" w:footer="992" w:gutter="0"/>
          <w:cols w:space="425" w:num="1"/>
          <w:docGrid w:type="lines" w:linePitch="312" w:charSpace="0"/>
        </w:sectPr>
      </w:pPr>
    </w:p>
    <w:p w14:paraId="2D7A12D6">
      <w:pPr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附件：</w:t>
      </w:r>
    </w:p>
    <w:p w14:paraId="63DD1CB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藁城区卫生健康局2025年度</w:t>
      </w:r>
    </w:p>
    <w:p w14:paraId="7C73F1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“双随机、一公开”监管工作培训计划</w:t>
      </w:r>
    </w:p>
    <w:p w14:paraId="45FD4E8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tbl>
      <w:tblPr>
        <w:tblStyle w:val="6"/>
        <w:tblW w:w="1318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4"/>
        <w:gridCol w:w="4967"/>
        <w:gridCol w:w="1815"/>
        <w:gridCol w:w="3270"/>
        <w:gridCol w:w="1425"/>
      </w:tblGrid>
      <w:tr w14:paraId="1B39C2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704" w:type="dxa"/>
          </w:tcPr>
          <w:p w14:paraId="1B7CD24A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培训时间</w:t>
            </w:r>
          </w:p>
        </w:tc>
        <w:tc>
          <w:tcPr>
            <w:tcW w:w="4967" w:type="dxa"/>
          </w:tcPr>
          <w:p w14:paraId="5106FC84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培训内容</w:t>
            </w:r>
          </w:p>
        </w:tc>
        <w:tc>
          <w:tcPr>
            <w:tcW w:w="1815" w:type="dxa"/>
          </w:tcPr>
          <w:p w14:paraId="522FD93C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培训方式</w:t>
            </w:r>
          </w:p>
        </w:tc>
        <w:tc>
          <w:tcPr>
            <w:tcW w:w="3270" w:type="dxa"/>
          </w:tcPr>
          <w:p w14:paraId="2A92E10A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参加人员</w:t>
            </w:r>
          </w:p>
        </w:tc>
        <w:tc>
          <w:tcPr>
            <w:tcW w:w="1425" w:type="dxa"/>
          </w:tcPr>
          <w:p w14:paraId="030B20ED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主讲人</w:t>
            </w:r>
          </w:p>
        </w:tc>
      </w:tr>
      <w:tr w14:paraId="569BD2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</w:tcPr>
          <w:p w14:paraId="40440AA9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9月份</w:t>
            </w:r>
          </w:p>
        </w:tc>
        <w:tc>
          <w:tcPr>
            <w:tcW w:w="4967" w:type="dxa"/>
          </w:tcPr>
          <w:p w14:paraId="2CE333AA">
            <w:pPr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2025年藁城卫健局跨部门联合随机抽查工作方案、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“双随机、一公开”监管工作实施方案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等资料为主要内容，对工作中注意事项进行详细讲解</w:t>
            </w:r>
          </w:p>
        </w:tc>
        <w:tc>
          <w:tcPr>
            <w:tcW w:w="1815" w:type="dxa"/>
          </w:tcPr>
          <w:p w14:paraId="4003D367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集中学习</w:t>
            </w:r>
          </w:p>
        </w:tc>
        <w:tc>
          <w:tcPr>
            <w:tcW w:w="3270" w:type="dxa"/>
          </w:tcPr>
          <w:p w14:paraId="34A3782F">
            <w:pPr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bookmarkStart w:id="0" w:name="OLE_LINK1"/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局机关相关股室、区疾控中心（卫生监督所）全体执法人员及“双随机、一公开”相关工作人员</w:t>
            </w:r>
            <w:bookmarkEnd w:id="0"/>
          </w:p>
        </w:tc>
        <w:tc>
          <w:tcPr>
            <w:tcW w:w="1425" w:type="dxa"/>
          </w:tcPr>
          <w:p w14:paraId="36FA060F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bookmarkStart w:id="1" w:name="OLE_LINK2"/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赵同伟</w:t>
            </w:r>
          </w:p>
          <w:bookmarkEnd w:id="1"/>
          <w:p w14:paraId="7A9ABF90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穆红霞</w:t>
            </w:r>
          </w:p>
        </w:tc>
      </w:tr>
      <w:tr w14:paraId="6D10FE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</w:tcPr>
          <w:p w14:paraId="3A06AED9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12月份</w:t>
            </w:r>
          </w:p>
        </w:tc>
        <w:tc>
          <w:tcPr>
            <w:tcW w:w="4967" w:type="dxa"/>
          </w:tcPr>
          <w:p w14:paraId="5E4E3BF2">
            <w:pPr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总结本年度工作开展的基础上，着重对工作中存在需纠正的问题，完善加强的工作细节、按下一年工作计划有针对性的开展培训。</w:t>
            </w:r>
          </w:p>
        </w:tc>
        <w:tc>
          <w:tcPr>
            <w:tcW w:w="1815" w:type="dxa"/>
          </w:tcPr>
          <w:p w14:paraId="14CEA95C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集中学习</w:t>
            </w:r>
          </w:p>
        </w:tc>
        <w:tc>
          <w:tcPr>
            <w:tcW w:w="3270" w:type="dxa"/>
          </w:tcPr>
          <w:p w14:paraId="0776D131">
            <w:pPr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局机关相关股室、区疾控中心（卫生监督所）执法人员及“双随机、一公开”相关工作人员</w:t>
            </w:r>
          </w:p>
        </w:tc>
        <w:tc>
          <w:tcPr>
            <w:tcW w:w="1425" w:type="dxa"/>
          </w:tcPr>
          <w:p w14:paraId="5A4D167F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  <w:p w14:paraId="7CF8C51F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赵同伟</w:t>
            </w:r>
          </w:p>
          <w:p w14:paraId="31F3B238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穆红霞</w:t>
            </w:r>
          </w:p>
        </w:tc>
      </w:tr>
    </w:tbl>
    <w:p w14:paraId="3F297F5F">
      <w:pPr>
        <w:jc w:val="center"/>
        <w:rPr>
          <w:rFonts w:hint="default" w:ascii="宋体" w:hAnsi="宋体" w:eastAsia="宋体" w:cs="宋体"/>
          <w:sz w:val="32"/>
          <w:szCs w:val="32"/>
          <w:lang w:val="en-US" w:eastAsia="zh-CN"/>
        </w:rPr>
      </w:pPr>
    </w:p>
    <w:sectPr>
      <w:pgSz w:w="16838" w:h="11906" w:orient="landscape"/>
      <w:pgMar w:top="1587" w:right="2098" w:bottom="1474" w:left="198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B46516B7-177E-4A9B-B863-A0064391AB53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7C115EAE-FE71-42BD-A438-22D16594186F}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3" w:fontKey="{14786F82-8241-4CA1-9F3D-C21846300FE6}"/>
  </w:font>
  <w:font w:name="方正大标宋简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  <w:embedRegular r:id="rId4" w:fontKey="{A3368F64-92DA-4B91-B6A9-48882C75B70F}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  <w:embedRegular r:id="rId5" w:fontKey="{223808B8-C5D8-45A2-8C4B-E2A3E4984A11}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  <w:embedRegular r:id="rId6" w:fontKey="{9FBBE3B8-1DDE-4B70-8BAC-580D6B408F96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9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I3ZTY5YzVkMjVmOWNlNmY3MTc3MTA5NDZiZmEwNDYifQ=="/>
  </w:docVars>
  <w:rsids>
    <w:rsidRoot w:val="69140C95"/>
    <w:rsid w:val="01714286"/>
    <w:rsid w:val="020C5B63"/>
    <w:rsid w:val="0E596236"/>
    <w:rsid w:val="15CB27AA"/>
    <w:rsid w:val="162F0345"/>
    <w:rsid w:val="17306175"/>
    <w:rsid w:val="245B5EC0"/>
    <w:rsid w:val="394418E0"/>
    <w:rsid w:val="69140C95"/>
    <w:rsid w:val="6F0A66BA"/>
    <w:rsid w:val="7AAC6C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nhideWhenUsed="0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4"/>
    <w:basedOn w:val="1"/>
    <w:next w:val="1"/>
    <w:qFormat/>
    <w:uiPriority w:val="0"/>
    <w:pPr>
      <w:keepNext/>
      <w:keepLines/>
      <w:spacing w:line="360" w:lineRule="auto"/>
      <w:outlineLvl w:val="3"/>
    </w:pPr>
    <w:rPr>
      <w:rFonts w:hint="default" w:ascii="Arial" w:hAnsi="Arial"/>
      <w:sz w:val="24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934</Words>
  <Characters>954</Characters>
  <Lines>0</Lines>
  <Paragraphs>0</Paragraphs>
  <TotalTime>0</TotalTime>
  <ScaleCrop>false</ScaleCrop>
  <LinksUpToDate>false</LinksUpToDate>
  <CharactersWithSpaces>1044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2024-09-09T00:38:00Z</dcterms:created>
  <dc:creator>DELL</dc:creator>
  <cp:lastModifiedBy>13323011735</cp:lastModifiedBy>
  <dcterms:modified xsi:type="dcterms:W3CDTF">2025-09-16T08:12:28Z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F4E2CF3A2BEF4220AB8373F921487A2A_11</vt:lpwstr>
  </property>
  <property fmtid="{D5CDD505-2E9C-101B-9397-08002B2CF9AE}" pid="4" name="KSOTemplateDocerSaveRecord">
    <vt:lpwstr>eyJoZGlkIjoiZTMzZmIyODEyYmQwZGE2MGU2MDg2NjQ2ZDRlZTY2ODciLCJ1c2VySWQiOiIxNTUwMjQwMDk2In0=</vt:lpwstr>
  </property>
</Properties>
</file>