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F49EC3">
      <w:pPr>
        <w:rPr>
          <w:rFonts w:hint="eastAsia" w:ascii="方正大标宋简体" w:hAnsi="宋体" w:eastAsia="方正大标宋简体"/>
          <w:color w:val="FF0000"/>
          <w:w w:val="50"/>
          <w:sz w:val="44"/>
          <w:szCs w:val="44"/>
        </w:rPr>
      </w:pPr>
    </w:p>
    <w:p w14:paraId="139BB823">
      <w:pPr>
        <w:rPr>
          <w:rFonts w:hint="eastAsia" w:ascii="方正大标宋简体" w:hAnsi="宋体" w:eastAsia="方正大标宋简体"/>
          <w:color w:val="FF0000"/>
          <w:w w:val="50"/>
          <w:sz w:val="44"/>
          <w:szCs w:val="44"/>
        </w:rPr>
      </w:pPr>
    </w:p>
    <w:p w14:paraId="4484B81C">
      <w:pPr>
        <w:jc w:val="center"/>
        <w:rPr>
          <w:rFonts w:hint="eastAsia" w:ascii="方正小标宋简体" w:hAnsi="宋体" w:eastAsia="方正小标宋简体"/>
          <w:bCs/>
          <w:color w:val="FF0000"/>
          <w:w w:val="70"/>
          <w:sz w:val="90"/>
          <w:szCs w:val="90"/>
        </w:rPr>
      </w:pPr>
      <w:r>
        <w:rPr>
          <w:rFonts w:hint="eastAsia" w:ascii="方正小标宋简体" w:hAnsi="宋体" w:eastAsia="方正小标宋简体"/>
          <w:bCs/>
          <w:color w:val="FF0000"/>
          <w:w w:val="70"/>
          <w:sz w:val="90"/>
          <w:szCs w:val="90"/>
        </w:rPr>
        <w:t>石家庄市藁城区</w:t>
      </w:r>
      <w:r>
        <w:rPr>
          <w:rFonts w:hint="eastAsia" w:ascii="方正小标宋简体" w:hAnsi="宋体" w:eastAsia="方正小标宋简体"/>
          <w:bCs/>
          <w:color w:val="FF0000"/>
          <w:w w:val="70"/>
          <w:sz w:val="90"/>
          <w:szCs w:val="90"/>
          <w:lang w:val="en-US" w:eastAsia="zh-CN"/>
        </w:rPr>
        <w:t>卫生健康局文件</w:t>
      </w:r>
    </w:p>
    <w:p w14:paraId="17F4B3AC">
      <w:pPr>
        <w:spacing w:line="600" w:lineRule="exact"/>
        <w:rPr>
          <w:rFonts w:hint="eastAsia" w:ascii="宋体" w:hAnsi="宋体"/>
          <w:color w:val="FF0000"/>
          <w:sz w:val="52"/>
          <w:szCs w:val="52"/>
        </w:rPr>
      </w:pPr>
    </w:p>
    <w:p w14:paraId="4F77F3F4">
      <w:pPr>
        <w:widowControl w:val="0"/>
        <w:wordWrap/>
        <w:adjustRightInd/>
        <w:snapToGrid/>
        <w:spacing w:before="0" w:after="0" w:line="440" w:lineRule="exact"/>
        <w:ind w:left="0" w:leftChars="0" w:right="0" w:firstLine="0" w:firstLineChars="0"/>
        <w:jc w:val="center"/>
        <w:textAlignment w:val="auto"/>
        <w:outlineLvl w:val="9"/>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藁</w:t>
      </w:r>
      <w:r>
        <w:rPr>
          <w:rFonts w:hint="eastAsia" w:ascii="仿宋_GB2312" w:hAnsi="仿宋_GB2312" w:eastAsia="仿宋_GB2312" w:cs="仿宋_GB2312"/>
          <w:b w:val="0"/>
          <w:bCs w:val="0"/>
          <w:sz w:val="32"/>
          <w:szCs w:val="32"/>
        </w:rPr>
        <w:t>卫〔202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color w:val="000000"/>
          <w:sz w:val="32"/>
          <w:szCs w:val="32"/>
        </w:rPr>
        <w:t>号</w:t>
      </w:r>
    </w:p>
    <w:p w14:paraId="17EC77FB">
      <w:pPr>
        <w:keepNext w:val="0"/>
        <w:keepLines w:val="0"/>
        <w:pageBreakBefore w:val="0"/>
        <w:widowControl w:val="0"/>
        <w:tabs>
          <w:tab w:val="left" w:pos="180"/>
        </w:tabs>
        <w:kinsoku/>
        <w:wordWrap/>
        <w:overflowPunct/>
        <w:topLinePunct w:val="0"/>
        <w:autoSpaceDE/>
        <w:autoSpaceDN/>
        <w:bidi w:val="0"/>
        <w:adjustRightInd/>
        <w:snapToGrid/>
        <w:spacing w:line="560" w:lineRule="exact"/>
        <w:jc w:val="center"/>
        <w:textAlignment w:val="auto"/>
        <w:rPr>
          <w:rFonts w:hint="eastAsia"/>
        </w:rPr>
      </w:pPr>
      <w:r>
        <w:rPr>
          <w:rFonts w:hint="eastAsia"/>
        </w:rPr>
        <w:pict>
          <v:line id="_x0000_s1026" o:spid="_x0000_s1026" o:spt="20" style="position:absolute;left:0pt;flip:y;margin-left:9pt;margin-top:11.4pt;height:0pt;width:441pt;z-index:251659264;mso-width-relative:page;mso-height-relative:page;" stroked="t" coordsize="21600,21600">
            <v:path arrowok="t"/>
            <v:fill focussize="0,0"/>
            <v:stroke weight="1.5pt" color="#FF0000"/>
            <v:imagedata o:title=""/>
            <o:lock v:ext="edit"/>
          </v:line>
        </w:pict>
      </w:r>
    </w:p>
    <w:p w14:paraId="61A1593A">
      <w:pPr>
        <w:bidi w:val="0"/>
        <w:rPr>
          <w:rFonts w:hint="eastAsia" w:asciiTheme="minorHAnsi" w:hAnsiTheme="minorHAnsi" w:eastAsiaTheme="minorEastAsia" w:cstheme="minorBidi"/>
          <w:kern w:val="2"/>
          <w:sz w:val="21"/>
          <w:szCs w:val="22"/>
          <w:lang w:val="en-US" w:eastAsia="zh-CN" w:bidi="ar-SA"/>
        </w:rPr>
      </w:pPr>
    </w:p>
    <w:p w14:paraId="7536FA9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石家庄市藁城区卫生健康局</w:t>
      </w:r>
    </w:p>
    <w:p w14:paraId="06F9C6AF">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关于印发《2025年“双随机、一公开”抽查事项清单》的通知</w:t>
      </w:r>
    </w:p>
    <w:p w14:paraId="1FADF37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p w14:paraId="6D8C833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区疾控中心（卫生监督所），局机关相关股室：</w:t>
      </w:r>
    </w:p>
    <w:p w14:paraId="13DB34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为做好“双随机、一公开”抽查监管工作，结合我局“双随机、一公开”工作实际，经研究制定我局2025年“双随机、一公开”抽查事项清单，现予以印发，请认真抓好贯彻落实。</w:t>
      </w:r>
    </w:p>
    <w:p w14:paraId="61201B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5ECE6A3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附件：藁城区卫生健康局随机抽查事项清单（2025版）</w:t>
      </w:r>
    </w:p>
    <w:p w14:paraId="5B7C78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p>
    <w:p w14:paraId="4E1C0E76">
      <w:pPr>
        <w:keepNext w:val="0"/>
        <w:keepLines w:val="0"/>
        <w:pageBreakBefore w:val="0"/>
        <w:widowControl w:val="0"/>
        <w:kinsoku/>
        <w:wordWrap/>
        <w:overflowPunct/>
        <w:topLinePunct w:val="0"/>
        <w:autoSpaceDE/>
        <w:autoSpaceDN/>
        <w:bidi w:val="0"/>
        <w:adjustRightInd/>
        <w:snapToGrid/>
        <w:spacing w:line="560" w:lineRule="exact"/>
        <w:ind w:left="5040" w:hanging="4480" w:hangingChars="1400"/>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石家庄市藁城区卫生健康局</w:t>
      </w:r>
    </w:p>
    <w:p w14:paraId="51DC5A90">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2025年8月21日</w:t>
      </w:r>
    </w:p>
    <w:p w14:paraId="35DA1F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sectPr>
          <w:headerReference r:id="rId3" w:type="default"/>
          <w:footerReference r:id="rId4" w:type="default"/>
          <w:pgSz w:w="11906" w:h="16838"/>
          <w:pgMar w:top="2098" w:right="1474" w:bottom="1440" w:left="1588" w:header="851" w:footer="992" w:gutter="0"/>
          <w:pgNumType w:fmt="numberInDash"/>
          <w:cols w:space="425" w:num="1"/>
          <w:docGrid w:type="linesAndChars" w:linePitch="312" w:charSpace="0"/>
        </w:sectPr>
      </w:pPr>
    </w:p>
    <w:p w14:paraId="377212B6">
      <w:pPr>
        <w:pStyle w:val="3"/>
        <w:pageBreakBefore w:val="0"/>
        <w:kinsoku/>
        <w:wordWrap/>
        <w:overflowPunct/>
        <w:topLinePunct w:val="0"/>
        <w:autoSpaceDE/>
        <w:autoSpaceDN/>
        <w:bidi w:val="0"/>
        <w:adjustRightInd/>
        <w:snapToGrid/>
        <w:spacing w:line="520" w:lineRule="exact"/>
        <w:rPr>
          <w:rFonts w:hint="eastAsia" w:ascii="方正小标宋简体" w:hAnsi="方正小标宋简体" w:eastAsia="方正小标宋简体" w:cs="方正小标宋简体"/>
          <w:sz w:val="44"/>
          <w:szCs w:val="44"/>
          <w:lang w:val="en-US" w:eastAsia="zh-CN"/>
        </w:rPr>
      </w:pPr>
      <w:r>
        <w:rPr>
          <w:rFonts w:hint="eastAsia" w:ascii="仿宋_GB2312" w:hAnsi="仿宋_GB2312" w:eastAsia="仿宋_GB2312" w:cs="仿宋_GB2312"/>
          <w:kern w:val="2"/>
          <w:sz w:val="32"/>
          <w:szCs w:val="32"/>
          <w:lang w:val="en-US" w:eastAsia="zh-CN" w:bidi="ar-SA"/>
        </w:rPr>
        <w:t>附件：</w:t>
      </w:r>
      <w:r>
        <w:rPr>
          <w:rFonts w:hint="eastAsia" w:ascii="方正小标宋简体" w:hAnsi="方正小标宋简体" w:eastAsia="方正小标宋简体" w:cs="方正小标宋简体"/>
          <w:sz w:val="44"/>
          <w:szCs w:val="44"/>
          <w:lang w:val="en-US" w:eastAsia="zh-CN"/>
        </w:rPr>
        <w:tab/>
      </w:r>
    </w:p>
    <w:tbl>
      <w:tblPr>
        <w:tblStyle w:val="7"/>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88"/>
        <w:gridCol w:w="1116"/>
        <w:gridCol w:w="1392"/>
        <w:gridCol w:w="1260"/>
        <w:gridCol w:w="1215"/>
        <w:gridCol w:w="1260"/>
        <w:gridCol w:w="3036"/>
        <w:gridCol w:w="1056"/>
        <w:gridCol w:w="3480"/>
      </w:tblGrid>
      <w:tr w14:paraId="4E0E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4" w:hRule="atLeast"/>
        </w:trPr>
        <w:tc>
          <w:tcPr>
            <w:tcW w:w="14403" w:type="dxa"/>
            <w:gridSpan w:val="9"/>
            <w:tcBorders>
              <w:top w:val="nil"/>
              <w:left w:val="nil"/>
              <w:bottom w:val="nil"/>
              <w:right w:val="nil"/>
            </w:tcBorders>
            <w:noWrap/>
            <w:tcMar>
              <w:top w:w="12" w:type="dxa"/>
              <w:left w:w="12" w:type="dxa"/>
              <w:right w:w="12" w:type="dxa"/>
            </w:tcMar>
            <w:vAlign w:val="center"/>
          </w:tcPr>
          <w:p w14:paraId="57AF0804">
            <w:pPr>
              <w:keepNext w:val="0"/>
              <w:keepLines w:val="0"/>
              <w:pageBreakBefore w:val="0"/>
              <w:widowControl/>
              <w:suppressLineNumbers w:val="0"/>
              <w:kinsoku/>
              <w:wordWrap/>
              <w:overflowPunct/>
              <w:topLinePunct w:val="0"/>
              <w:autoSpaceDE/>
              <w:autoSpaceDN/>
              <w:bidi w:val="0"/>
              <w:adjustRightInd/>
              <w:snapToGrid/>
              <w:spacing w:line="520" w:lineRule="exact"/>
              <w:jc w:val="center"/>
              <w:textAlignment w:val="center"/>
              <w:rPr>
                <w:rFonts w:hint="eastAsia" w:ascii="宋体" w:hAnsi="宋体" w:eastAsia="宋体" w:cs="宋体"/>
                <w:i w:val="0"/>
                <w:color w:val="000000"/>
                <w:sz w:val="36"/>
                <w:szCs w:val="36"/>
                <w:u w:val="none"/>
              </w:rPr>
            </w:pPr>
            <w:r>
              <w:rPr>
                <w:rFonts w:hint="eastAsia" w:ascii="方正小标宋简体" w:hAnsi="方正小标宋简体" w:eastAsia="方正小标宋简体" w:cs="方正小标宋简体"/>
                <w:i w:val="0"/>
                <w:color w:val="000000"/>
                <w:kern w:val="0"/>
                <w:sz w:val="44"/>
                <w:szCs w:val="44"/>
                <w:u w:val="none"/>
                <w:lang w:val="en-US" w:eastAsia="zh-CN" w:bidi="ar"/>
              </w:rPr>
              <w:t>石家庄市藁城区卫生健康局随机抽查事项清单（2025版）</w:t>
            </w:r>
          </w:p>
        </w:tc>
      </w:tr>
      <w:tr w14:paraId="60ABD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8" w:hRule="atLeast"/>
        </w:trPr>
        <w:tc>
          <w:tcPr>
            <w:tcW w:w="588"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F595AC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序号</w:t>
            </w:r>
          </w:p>
        </w:tc>
        <w:tc>
          <w:tcPr>
            <w:tcW w:w="111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0ABBF8C">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抽查类别</w:t>
            </w:r>
          </w:p>
        </w:tc>
        <w:tc>
          <w:tcPr>
            <w:tcW w:w="1392"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1063B9C9">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抽查事项</w:t>
            </w:r>
          </w:p>
        </w:tc>
        <w:tc>
          <w:tcPr>
            <w:tcW w:w="126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CA505A4">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事项类别</w:t>
            </w:r>
          </w:p>
        </w:tc>
        <w:tc>
          <w:tcPr>
            <w:tcW w:w="1215"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58986470">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检查主体</w:t>
            </w:r>
          </w:p>
        </w:tc>
        <w:tc>
          <w:tcPr>
            <w:tcW w:w="126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7E1E69E6">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委托执法部门</w:t>
            </w:r>
          </w:p>
        </w:tc>
        <w:tc>
          <w:tcPr>
            <w:tcW w:w="303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60F5092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检查依据</w:t>
            </w:r>
          </w:p>
        </w:tc>
        <w:tc>
          <w:tcPr>
            <w:tcW w:w="1056"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AD1FFFA">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检查方式</w:t>
            </w:r>
          </w:p>
        </w:tc>
        <w:tc>
          <w:tcPr>
            <w:tcW w:w="3480" w:type="dxa"/>
            <w:tcBorders>
              <w:top w:val="single" w:color="000000" w:sz="4" w:space="0"/>
              <w:left w:val="single" w:color="000000" w:sz="4" w:space="0"/>
              <w:bottom w:val="single" w:color="000000" w:sz="4" w:space="0"/>
              <w:right w:val="single" w:color="000000" w:sz="4" w:space="0"/>
            </w:tcBorders>
            <w:noWrap/>
            <w:tcMar>
              <w:top w:w="12" w:type="dxa"/>
              <w:left w:w="12" w:type="dxa"/>
              <w:right w:w="12" w:type="dxa"/>
            </w:tcMar>
            <w:vAlign w:val="center"/>
          </w:tcPr>
          <w:p w14:paraId="2AFECC53">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检查内容</w:t>
            </w:r>
          </w:p>
        </w:tc>
      </w:tr>
      <w:tr w14:paraId="509CC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D677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w:t>
            </w:r>
          </w:p>
        </w:tc>
        <w:tc>
          <w:tcPr>
            <w:tcW w:w="111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B9F39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对医师执业行为的监督检查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763D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医师执业活动情况</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7E11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290083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F0C1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FA380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《中华人民共和国医师法》第第十四条、第二十三条、第二十四条、第二十五条、第二十六条、第二十七条、第二十八条、第二十九条、第三十二条、第三十四条、第三十五条。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87806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现场检查、定期和不定期督导检查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BB525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依法执业；在注册范围内执业；及时填写医学文书、及时救助危重患者；规范开具麻精药品、处方药品等；发生医疗事故或者发现传染病疫情及时上报等。</w:t>
            </w:r>
          </w:p>
        </w:tc>
      </w:tr>
      <w:tr w14:paraId="0C7E2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1C40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w:t>
            </w:r>
          </w:p>
        </w:tc>
        <w:tc>
          <w:tcPr>
            <w:tcW w:w="111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02CFC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对护士执业行为的监督检查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93BA7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护士执业活动情况</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483D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58A28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DB2A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F017DE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《护士条例》第五条。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50B57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012BA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护士执业情况。</w:t>
            </w:r>
          </w:p>
        </w:tc>
      </w:tr>
      <w:tr w14:paraId="7FAC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9E7A02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4131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对血站、单采血浆站执业情况及医疗机构临床用血情况的监督检查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B7EA0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血站执业活动情况</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0C35A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87F5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8A74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71C03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《中华人民共和国献血法》第四条；《血站管理办法》第六条、第五十条。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33507D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现场检查、定期和不定期督导检查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ED2F6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血站执业活动情况。</w:t>
            </w:r>
          </w:p>
        </w:tc>
      </w:tr>
      <w:tr w14:paraId="5B29E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6EDDB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5C3BE19">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5FE2B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单采血浆站执业活动情况</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D0D9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C58BE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1A23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621E8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《血液制品管理条例》第三条；《单采血浆站管理办法》第五条。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2B4C01">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0420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单采血浆站执业活动情况。</w:t>
            </w:r>
          </w:p>
        </w:tc>
      </w:tr>
      <w:tr w14:paraId="2B7F4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D8D537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C7BEFFF">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616103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医疗机构临床用血情况</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2243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18AF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08413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15A2C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《中华人民共和国献血法》第四条；《医疗机构临床用血管理办法》第二条、第三十一条。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69E507">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4045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医疗机构临床用血情况。</w:t>
            </w:r>
          </w:p>
        </w:tc>
      </w:tr>
      <w:tr w14:paraId="64DD5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822B1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B514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对公共场所卫生的监督检查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A2FC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卫生质量是否符合卫生标准和要求的监督检查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F7319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0C41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9B3CE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8AB9E73">
            <w:pPr>
              <w:keepNext w:val="0"/>
              <w:keepLines w:val="0"/>
              <w:widowControl/>
              <w:suppressLineNumbers w:val="0"/>
              <w:jc w:val="center"/>
              <w:textAlignment w:val="center"/>
              <w:rPr>
                <w:rFonts w:ascii="仿宋_GB2312" w:hAnsi="宋体" w:eastAsia="仿宋_GB2312" w:cs="仿宋_GB2312"/>
                <w:i w:val="0"/>
                <w:color w:val="000000"/>
                <w:sz w:val="18"/>
                <w:szCs w:val="18"/>
                <w:u w:val="none"/>
              </w:rPr>
            </w:pPr>
            <w:r>
              <w:rPr>
                <w:rStyle w:val="13"/>
                <w:rFonts w:hAnsi="宋体"/>
                <w:lang w:val="en-US" w:eastAsia="zh-CN" w:bidi="ar"/>
              </w:rPr>
              <w:t>《公共场所卫生管理条例》第十条；《公共场所卫生管理条例实施细则</w:t>
            </w:r>
            <w:r>
              <w:rPr>
                <w:rStyle w:val="14"/>
                <w:rFonts w:hAnsi="宋体"/>
                <w:lang w:val="en-US" w:eastAsia="zh-CN" w:bidi="ar"/>
              </w:rPr>
              <w:t>》第三条、</w:t>
            </w:r>
            <w:r>
              <w:rPr>
                <w:rStyle w:val="13"/>
                <w:rFonts w:hAnsi="宋体"/>
                <w:lang w:val="en-US" w:eastAsia="zh-CN" w:bidi="ar"/>
              </w:rPr>
              <w:t>第四条。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B6DF0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593E3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空气、微小气候（湿度、温度、风速）、水质、采光、照明、噪音、顾客用具和卫生设施是否符合国家卫生标准和要求。</w:t>
            </w:r>
          </w:p>
        </w:tc>
      </w:tr>
      <w:tr w14:paraId="5B0ED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399C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C57491">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F947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管理制度执行情况的监督检查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7ACD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4EB5D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32AB7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C59D9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15"/>
                <w:lang w:val="en-US" w:eastAsia="zh-CN" w:bidi="ar"/>
              </w:rPr>
              <w:t>《公共场所卫生管理条例》第十条；《公共场所卫生管理条例实施细则》</w:t>
            </w:r>
            <w:r>
              <w:rPr>
                <w:rStyle w:val="16"/>
                <w:lang w:val="en-US" w:eastAsia="zh-CN" w:bidi="ar"/>
              </w:rPr>
              <w:t>第三条、第四条。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223D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06A1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公共场所卫生许可证；管理部门和人员；卫生管理档案；卫生培训制度；从业人员健康证。</w:t>
            </w:r>
          </w:p>
        </w:tc>
      </w:tr>
      <w:tr w14:paraId="3CB6E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8E1FD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B5DAF84">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5426E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放置安全套或者设置安全套发售设施的的监督检查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1FCF2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039E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A24F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98F8C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《艾滋病防治条例》第四条第二款、第六十一条。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8B04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65621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有无放置安全套或者设置安全套发售设施。</w:t>
            </w:r>
          </w:p>
        </w:tc>
      </w:tr>
      <w:tr w14:paraId="510C2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17BB2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037D4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对饮用水卫生的监督检查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1527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集中式供水的监督检查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C7D7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33D82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9F8C4D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5D545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15"/>
                <w:lang w:val="en-US" w:eastAsia="zh-CN" w:bidi="ar"/>
              </w:rPr>
              <w:t>《中华人民共和国传染病防治法》第五十三条第一款第四项；《生活饮用水卫生监督管理办法》第三条；《河北省生活饮用水卫生监督管理办法》第</w:t>
            </w:r>
            <w:r>
              <w:rPr>
                <w:rStyle w:val="16"/>
                <w:lang w:val="en-US" w:eastAsia="zh-CN" w:bidi="ar"/>
              </w:rPr>
              <w:t>四条、第七条；</w:t>
            </w:r>
            <w:r>
              <w:rPr>
                <w:rStyle w:val="15"/>
                <w:lang w:val="en-US" w:eastAsia="zh-CN" w:bidi="ar"/>
              </w:rPr>
              <w:t>《河北省农村供水用水管理办法》第四条第二款。</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3F360A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11E5D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许可、卫生制度和人员体检、培训；工程项目验收有无卫生行政部门参加；饮用水水质是否符合卫生标准和卫生规范；饮用水水源保护区情况；集中式供水水质处理情况；集中式供水水质检验情况；饮用水污染事故报告情况；是否使用无批准文件的涉水产品。</w:t>
            </w:r>
          </w:p>
        </w:tc>
      </w:tr>
      <w:tr w14:paraId="7C54E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842A3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FB442F">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EF521F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二次供水的监督检查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91DD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F8D4B0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90AA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B22EB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《中华人民共和国传染病防治法》第五十三条第一款第四项；《生活饮用水卫生监督管理办法》第三条；《河北省生活饮用水卫生监督管理办法》第四条。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E0A8AB">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6EEE1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卫生许可、卫生制度和人员体检、培训；设施卫生要求；设施设计卫生要求；设施日常使用卫生要求；是否使用无批准文件的涉水产品。</w:t>
            </w:r>
          </w:p>
        </w:tc>
      </w:tr>
      <w:tr w14:paraId="158B8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20E5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11</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0C8E94">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B59CA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现场制售饮用水的监督检查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CE2CA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AAB9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C33D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0F71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《生活饮用水卫生监督管理办法》第三条；《河北省生活饮用水卫生监督管理办法》第四条。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DDDD2F">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3775E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现场制售饮用水设备的选址、设计和水源选择是否符合国家和本省有关规定；管理制度；卫生许可批准文件；是否配备相应的水质检验人员和仪器设备，水质是否符合国家有关卫生标准和卫生规范要求。</w:t>
            </w:r>
          </w:p>
        </w:tc>
      </w:tr>
      <w:tr w14:paraId="389EF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896FF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42231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对涉及饮用水卫生安全的产品的监督检查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FBC2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对涉及饮用水卫生安全的产品生产企业的监督检查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6C0D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89562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52156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1AA41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《中华人民共和国传染病防治法》第五十三条第一款第四项；《生活饮用水卫生监督管理办法》第三条；《河北省生活饮用水卫生监督管理办法》第四条。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1B4E7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9CC78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涉水产品生产单位卫生监督；卫生许可批准文件、人员培训、健康证、产品检测、标签、说明书。</w:t>
            </w:r>
          </w:p>
        </w:tc>
      </w:tr>
      <w:tr w14:paraId="6A0EDB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92AAD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13</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A7DFA6E">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2955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对涉及饮用水卫生安全的产品销售使用的监督检查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B0F6D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506788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6A3C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C499B1">
            <w:pPr>
              <w:jc w:val="center"/>
              <w:rPr>
                <w:rFonts w:hint="eastAsia" w:ascii="宋体" w:hAnsi="宋体" w:eastAsia="宋体" w:cs="宋体"/>
                <w:i w:val="0"/>
                <w:color w:val="000000"/>
                <w:sz w:val="18"/>
                <w:szCs w:val="18"/>
                <w:u w:val="none"/>
              </w:rPr>
            </w:pP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9264BE3">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752A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涉水产品经营和使用单位卫生监督；卫生许可批准文件、产品检测、标签、说明书。</w:t>
            </w:r>
          </w:p>
        </w:tc>
      </w:tr>
      <w:tr w14:paraId="17A13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859CB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7220A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对学校卫生的监督检查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6FF3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教学、生活环境卫生监督检查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ADA8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58090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731C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E5549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《学校卫生工作条例》第二十八条。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C527D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B68646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教室人均面积、环境噪声、室内微小气候、采光、照明等环境卫生质量情况；黑板、课桌椅等教学设施的设置情况；学生宿舍、厕所等生活设施卫生情况。</w:t>
            </w:r>
          </w:p>
        </w:tc>
      </w:tr>
      <w:tr w14:paraId="042AB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40561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4789982">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D1241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学校传染病防控工作的卫生监督检查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FA22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14D53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29E55E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FF5A5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《学校卫生工作条例》第二十八条；《消毒管理办法》第四条、第五条、第六条、第七条、第八条。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D41626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29E96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传染病防控制度建立及措施落实情况；学校依法履行传染病疫情报告职责情况；发生传染病后防控措施落实情况。</w:t>
            </w:r>
          </w:p>
        </w:tc>
      </w:tr>
      <w:tr w14:paraId="2A99D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E5A59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16</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55273F">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59C3C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学校生活饮用水卫生监督检查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A20125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9E8CA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6E7A2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199F4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八条；《中华人民共和国传染病防治法》第五十三条第一款第四项；《生活饮用水卫生监督管理办法》第三条；《河北省生活饮用水卫生监督管理办法》第四条、第七条；《河北省农村供水用水管理办法》第四条第二款。</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4E7C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C8ACA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管理制度建立及措施落实情况；生活饮用水水质情况；供水设施卫生许可、管理情况；供、管水人员持有效“健康合格证明”和“卫生培训合格证明”情况；索取涉水产品有效卫生许可批件情况；供水水源防护情况。</w:t>
            </w:r>
          </w:p>
        </w:tc>
      </w:tr>
      <w:tr w14:paraId="4517B7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1391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4983714">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B25ED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学校内设医疗机构或保健室卫生监督检查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5D815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2DA6C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D0154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B2BE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《学校卫生工作条例》第二十条；《医疗废物管理条例》第八条、第九条、第十条、第十二条、第十六条、第十七条、第十八条。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5079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02F0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医疗机构或保健室设置及学校卫生工作开展情况；执业许可证、医护人员执业资质证书情况；传染病疫情报告、消毒隔离、医疗废物处置情况。</w:t>
            </w:r>
          </w:p>
        </w:tc>
      </w:tr>
      <w:tr w14:paraId="175E3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93518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18</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EBE34A2">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A2E26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学校内游泳场所的卫生监督检查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2433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22103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A7C70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4B6D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《学校卫生工作条例》第二十八条。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303D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BA55A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持有卫生许可证的情况；从业人员健康检查和培训考核情况；卫生管理制度落实及卫生管理人员配备情况；游泳场所水质净化、消毒情况；传染病和健康危害事故应急工作情况。</w:t>
            </w:r>
          </w:p>
        </w:tc>
      </w:tr>
      <w:tr w14:paraId="50E09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437C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19</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C53F70">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3600A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供学生使用的文具、娱乐器具、保健用品的监督检查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2B6829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821AF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CA1885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250E3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《学校卫生工作条例》第二十七条。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D9CEC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784BC2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是否符合国家有关卫生标准。</w:t>
            </w:r>
          </w:p>
        </w:tc>
      </w:tr>
      <w:tr w14:paraId="315A3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62A4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CC48E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对托育（幼）机构卫生的监督检查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299B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托幼机构饮用水卫生工作的监督检查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C345AF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2C83C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89C13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82BDE7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《托儿所幼儿园卫生保健管理办法》第五条。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EA7993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84131D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托幼机构饮用水管理制度建立及措施落实情况；托幼机构饮用水水质情况 ；托幼机构内供水设施卫生许可、管理情况；供、管水人员持有效“健康合格证明”和“卫生培训合格证明”情况；托幼机构索取涉水产品有效卫生许可批件情况；托幼机构内供水水源防护情况。</w:t>
            </w:r>
          </w:p>
        </w:tc>
      </w:tr>
      <w:tr w14:paraId="07B47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8E74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21</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F824C0">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91716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托幼机构传染病防控工作的监督检查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1B51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C4C54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8BC4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6E480D">
            <w:pPr>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F92394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1897D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传染病防控制度建立及措施落实情况；依法履行传染病疫情报告职责情况 ；发生传染病后防控措施落实情况。</w:t>
            </w:r>
          </w:p>
        </w:tc>
      </w:tr>
      <w:tr w14:paraId="71E4F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8819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22</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083BE2">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87ACEC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托育机构的设置和服务的监督检查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6D69B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A6C7B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D2DBF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C4A562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国家卫生健康委关于印发托育机构设置标准（试行）和托育机构管理规范（试行)的通知》；《国家卫生健康委办公厅关于印发托育机构婴幼儿伤害预防指南（试行）的通知》；《国家卫健委办公厅关于印发托育机构消防安全指南（试行）的通知》。</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2739E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A777D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托育机构的设置和服务是否符合托育服务相关标准和规范；托育机构在安全管理、改善环境、加强照护、预防伤害方面是否符合规范；托育机构消防安全基本条件、消防安全、用火用气用电。易燃可燃物、安全疏散、应急处置管理是否符合安全指南规范。</w:t>
            </w:r>
          </w:p>
        </w:tc>
      </w:tr>
      <w:tr w14:paraId="3D043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C0C41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12BBC1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对职业病防治工作的监督检查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5CF509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职业病诊断机构的监督检查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D94B2E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7735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502528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58B3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《中华人民共和国职业病防治法》第六十二条；《职业病诊断与鉴定管理办法》第五十一条。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3DB9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FC87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法律法规、标准的执行情况；规章制度建立情况；备案的职业病诊断信息真实性情况；按照备案的诊断项目开展职业病诊断工作情况；开展职业病诊断质量控制、参加质量控制评估及整改情况；人员、岗位职责落实和培训情况；职业病报告情况。</w:t>
            </w:r>
          </w:p>
        </w:tc>
      </w:tr>
      <w:tr w14:paraId="0E95B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D1013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24</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35B166">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4EF1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职业病鉴定办事机构的监督检查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E644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04962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79F47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BDD56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《中华人民共和国职业病防治法》第六十二条；《职业病诊断与鉴定管理办法》第五十二条。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BD2DC3">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7553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职业病鉴定工作程序、制度落实情况及职业病报告等相关工作情况。</w:t>
            </w:r>
          </w:p>
        </w:tc>
      </w:tr>
      <w:tr w14:paraId="772F4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8B8F02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2DF1399">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0F914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职业健康检查机构的监督检查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F2D7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30003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11DA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33F4C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《中华人民共和国职业病防治法》第六十二条；《职业健康检查管理办法》第二十一条。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A94396">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A028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相关法律法规、标准的执行情况；按照批准的类别和项目开展职业健康检查工作的情况；外出职业健康检查工作情况；职业健康检查质量控制情况；职业健康检查结果、疑似职业病的报告与告知情况；职业健康检查档案管理情况等。</w:t>
            </w:r>
          </w:p>
        </w:tc>
      </w:tr>
      <w:tr w14:paraId="07CAC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10C2C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9192CC">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6DEF7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存在职业病危害用人单位的监督检查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2065A9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33CA4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C457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bookmarkStart w:id="0" w:name="_GoBack"/>
            <w:bookmarkEnd w:id="0"/>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2A69F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《中华人民共和国职业病防治法》第六十二条；《工作场所职业卫生管理规定》第三十八条。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760E74">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0729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设置或者指定职业卫生管理机构或者组织，配备专职或者兼职的职业卫生管理人员情况；职业卫生管理制度和操作规程的建立、落实及公布情况；主要负责人、职业卫生管理人员和职业病危害严重的工作岗位的劳动者职业卫生培训情况；建设项目职业病防护设施“三同时”制度落实情况；工作场所职业病危害项目申报情况；工作场所职业病危害因素监测、检测、评价及结果报告和公布情况；职业病防护设施、应急救援设施的配置、维护、保养情况，以及职业病防护用品的发放、管理及劳动者佩戴使用情况；职业病危害因素及危害后果警示、告知情况；劳动者职业健康监护、放射工作人员个人剂量监测情况；职业病危害事故报告情况；提供劳动者健康损害与职业史、职业病危害接触关系等相关资料的情况；依法应当监督检查的其他情况。</w:t>
            </w:r>
          </w:p>
        </w:tc>
      </w:tr>
      <w:tr w14:paraId="2D82F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2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AB1C1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C7199D">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2201C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职业卫生技术服务机构监督检查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0B6CC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9068A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AF9BF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9225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《中华人民共和国职业病防治法》第二十七条；《职业卫生技术服务机构管理办法》第三十三条。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E1DFC39">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B596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以书面形式与用人单位明确技术服务内容、范围以及双方的责任；技术服务内部审核、原始信息记录等是否规范；职业卫生技术服务档案是否完整；技术服务过程是否存在弄虚作假等违法违规情况；是否按照规定向技术服务所在地卫生健康主管部门报送职业卫生技术服务相关信息；是否按照规定在网上公开职业卫生技术报告相关信息；依法应当监督检查的其他内容。</w:t>
            </w:r>
          </w:p>
        </w:tc>
      </w:tr>
      <w:tr w14:paraId="7D5C0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614D44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28</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43FE41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对医疗机构开展放射诊疗活动的监督检查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6375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对开展放射诊疗活动的医疗机构进行监督检查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4E293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9B34D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87530D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5901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《中华人民共和国职业病防治法》第六十二条；《放射诊疗管理规定》第三十四条。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CD0E6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8858B8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执行法律、法规、规章、标准和规范等情况；放射诊疗规章制度和工作人员岗位责任制等制度的落实情况；健康监护制度和防护措施的落实情况；放射事件调查处理和报告情况。</w:t>
            </w:r>
          </w:p>
        </w:tc>
      </w:tr>
      <w:tr w14:paraId="60A6A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CD3FA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12EBBE">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3FBED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放射卫生技术服务机构的监督检查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B7736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373B3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B7670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DFE339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《中华人民共和国职业病防治法》第九条第二款、第二十七条；《放射卫生技术服务机构管理办法》第四条。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D0CBB2F">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5EBA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开展个人剂量监测结果的报告情况；资质证书；年度内开展技术服务工作情况。</w:t>
            </w:r>
          </w:p>
        </w:tc>
      </w:tr>
      <w:tr w14:paraId="3CB2C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BD321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21E865">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5F86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放射工作人员职业健康管理的监督检查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80A7B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99A52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8A8884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90F31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《中华人民共和国职业病防治法》第六十二条；《放射工作人员职业健康管理办法》第三十三条。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A39CF07">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74F89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有关法规和标准执行情况；放射防护措施落实情况；人员培训、职业健康检查、个人剂量监测及其档案管理情况；放射工作人员培训及考试合格情况；放射工作人员其他职业健康权益保障情况。</w:t>
            </w:r>
          </w:p>
        </w:tc>
      </w:tr>
      <w:tr w14:paraId="3617F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1004A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31</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064F4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对医疗机构和医疗行为的监督检查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E76AE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医疗机构设置审批情况的监督检查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0CB3B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5918C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3E4D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C648A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《医疗机构管理条例》第五条至第十四条。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206AE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A027B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医疗机构设置审批情况。</w:t>
            </w:r>
          </w:p>
        </w:tc>
      </w:tr>
      <w:tr w14:paraId="485DA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F092D1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32</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50EB9F8">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E3F4E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《医疗机构执业许可证》的监督检查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1E4DC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31C45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6042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31998E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《中华人民共和国基本医疗卫生与健康促进法》第三十八条、第九十四条、第九十九条；《医疗机构管理条例》第五条、第二十三条。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0ADAEA8">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EEAA3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医疗机构是否有出卖、转让、出借《医疗机构执业许可证》的情况。</w:t>
            </w:r>
          </w:p>
        </w:tc>
      </w:tr>
      <w:tr w14:paraId="39589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111C6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33</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1059C5">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CAE6F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诊疗活动超出登记范围的监督检查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D6A10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29C67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9816F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5B3F2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《医疗机构管理条例》第五条、第二十七条。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25CE00">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24F12F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医疗机构是否有诊疗活动超出登记范围的情况。</w:t>
            </w:r>
          </w:p>
        </w:tc>
      </w:tr>
      <w:tr w14:paraId="3CC03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C04AB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34</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2686BE">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5D27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使用非卫生技术人员从事医疗卫生技术工作的监督检查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1D46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CCEED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BC9C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3AD7F0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《医疗机构管理条例》第五条、第二十八条。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EC824F6">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1FE6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医疗机构是否有使用非卫生技术人员从事医疗卫生技术工作的情况。</w:t>
            </w:r>
          </w:p>
        </w:tc>
      </w:tr>
      <w:tr w14:paraId="21E7A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2"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4C8009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8545BF">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10662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出具虚假证明文件的监督检查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5882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E323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9C2C3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CF2E44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《医疗机构管理条例》第五条、第三十二条。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DC8ADE">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0D7A7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医疗机构是否有出具虚假证明文件的情况。</w:t>
            </w:r>
          </w:p>
        </w:tc>
      </w:tr>
      <w:tr w14:paraId="029E8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98D8D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36</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C39E332">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6359E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未取得《医疗机构执业许可证》开展诊疗活动的监督检查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AD93C5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DA7A85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E823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8A30F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《中华人民共和国基本医疗卫生与健康促进法》第三十八条、第九十四条、第九十九条；《中华人民共和国医师法》第五十九条；《医疗机构管理条例》第二十四条；《无证行医查处工作规范》第三条。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59B9AE">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911E14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是否未取得《医疗机构执业许可证》开展诊疗活动的。</w:t>
            </w:r>
          </w:p>
        </w:tc>
      </w:tr>
      <w:tr w14:paraId="4C400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96"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55F8A5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F59AEE">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7C8C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使用伪造、变造的《医疗机构执业许可证》开展诊疗活动的监督检查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F3139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C546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CE4B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601317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《中华人民共和国基本医疗卫生与健康促进法》第三十八条、第九十四条、第九十九条；《中华人民共和国医师法》第五十九条；《医疗机构管理条例》第二十四条；《无证行医查处工作规范》第三条。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B24BB49">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66ED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是否使用伪造、变造的《医疗机构执业许可证》开展诊疗活动的。</w:t>
            </w:r>
          </w:p>
        </w:tc>
      </w:tr>
      <w:tr w14:paraId="55633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9F7C6B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38</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7ECE23">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0EE73D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《医疗机构执业许可证》被撤销、吊销或者已经办理注销登记，继续开展诊疗活动的监督检查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1A299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DC20A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9B8AD5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33B70C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《中华人民共和国基本医疗卫生与健康促进法》第三十八条、第九十四条、第九十九条；《中华人民共和国医师法》第五十九条；《医疗机构管理条例》第二十四条；《无证行医查处工作规范》第三条。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F45E061">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FC939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《医疗机构执业许可证》被撤销、吊销或者已经办理注销登记，是否继续开展诊疗活动的。</w:t>
            </w:r>
          </w:p>
        </w:tc>
      </w:tr>
      <w:tr w14:paraId="18ADB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8FD5F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39</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913C4F">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65B34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当事人未按规定申请延续以及卫生计生行政部门不予受理延续或者不批准延续，《医疗机构执业许可证》有效期届满后继续开展诊疗活动的监督检查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5D7B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A106E6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57641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A442E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《中华人民共和国基本医疗卫生与健康促进法》第三十八条、第九十四条、第九十九条；《中华人民共和国医师法》第五十九条；《医疗机构管理条例》第二十四条；《无证行医查处工作规范》第三条。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F04B4EB">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814702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当事人未按规定申请延续以及卫生计生行政部门不予受理延续或者不批准延续，《医疗机构执业许可证》有效期届满后是否继续开展诊疗活动的。</w:t>
            </w:r>
          </w:p>
        </w:tc>
      </w:tr>
      <w:tr w14:paraId="7907C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3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665FB1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2FD5D2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对传染病防治工作的监督检查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5EBEA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预防接种的卫生监督检查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07FF4A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07ABA7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8D37B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DB45A1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《中华人民共和国传染病防治法》第六条第一款；《中华人民共和国疫苗管理法》第八条。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72AFB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69E6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接种单位和人员的资质情况；接种单位疫苗公示、接种告知（询问）的情况；疫苗的接收、购进、分发、供应、使用登记和报告情况；预防接种异常反应或者疑似预防接种异常反应的处理和报告情况。</w:t>
            </w:r>
          </w:p>
        </w:tc>
      </w:tr>
      <w:tr w14:paraId="68403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54B45A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41</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21B86E">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8FEA2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传染病疫情报告的卫生监督检查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6CADA7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33C3F5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2221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8FD808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09E3C0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609D5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传染病疫情报告的管理组织、制度情况；依法履行传染病疫情报告、日常管理和质量控制的情况；疾病预防控制机构及时对辖区内的传染病疫情信息审核确认，并开展疫情分析、调查与核实的情况；疾病预防控制机构依法履行与相关部门传染病疫情信息通报职责的情况。</w:t>
            </w:r>
          </w:p>
        </w:tc>
      </w:tr>
      <w:tr w14:paraId="67B84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80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B931C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42</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1047626">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61E691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传染病疫情控制的卫生监督检查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70A98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D3AE1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1749F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B70B3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C1A1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D6B34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传染病预检、分诊制度及落实情况；检查医疗卫生人员、就诊病人防护措施的落实情况；感染性疾病科或分诊点的设置和运行情况；发现传染病疫情时，按照规定对传染病病人、疑似传染病病人提供诊疗的情况；消毒隔离措施落实情况；对传染病病原体污染的污水、污物、场所和物品的消毒处理情况。</w:t>
            </w:r>
          </w:p>
        </w:tc>
      </w:tr>
      <w:tr w14:paraId="6EF92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416F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43</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739791D">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5B3662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消毒隔离制度执行情况的卫生监督检查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A8FF7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8BB97F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0F6EC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64B19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95E58E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EE2528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消毒管理组织、制度及落实情况；医疗卫生人员接受消毒技术培训、掌握消毒知识、执行消毒隔离制度的情况；医疗用品、器械的消毒、灭菌情况；开展消毒与灭菌效果检测的情况；消毒产品进货检查验收、使用和管理情况；对传染病病人、疑似传染病病人的消毒隔离措施落实情况。</w:t>
            </w:r>
          </w:p>
        </w:tc>
      </w:tr>
      <w:tr w14:paraId="52BD1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4CAF6B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44</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2A3BC3">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4B4D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医疗废物处置的卫生监督检查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C4613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96B996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89EC18E">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E6228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《中华人民共和国传染病防治法》第六条第一款；《医疗废物管理条例》第三十四条、第三十五条。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04C6B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EF7609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医疗废物管理组织、制度、应急方案的建立和落实情况；从事医疗废物分类收集、运送、暂时贮存、处置工作人员和管理人员的职业卫生安全防护和培训情况；医疗废物分类收集、转运、登记的情况；医疗废物暂时贮存的情况；医疗废物、污水的处置情况；实行医疗废物集中处置的医疗卫生机构与具有资质的医疗废物集中处置单位签订合同的情况；不具备集中处置医疗废物条件的医疗卫生机构按照有关部门的要求自行处置医疗废物的情况。</w:t>
            </w:r>
          </w:p>
        </w:tc>
      </w:tr>
      <w:tr w14:paraId="40E38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D4F3CE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21BB14">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490AD1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病原微生物实验室生物安全管理的卫生监督检查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6EA45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C14DC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77848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26456F2">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《中华人民共和国传染病防治法》第六条第一款；《病原微生物实验室生物安全管理条例》第三条、第四十九条。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EAA1E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6EF75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二级病原微生物实验室的备案情况；三、四级病原微生物实验室开展高致病性病原微生物实验活动的资格；从事实验活动的人员培训、考核及上岗持证情况；管理制度、应急预案的制定和落实情况；开展实验活动情况；实验档案建立和保存情况；菌（毒）种和样本的采集、运输和储存情况。</w:t>
            </w:r>
          </w:p>
        </w:tc>
      </w:tr>
      <w:tr w14:paraId="16CA9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847F4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46</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AE749C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对消毒产品的监督检查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0E9D8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对有关机构、场所和物品的消毒工作进行监督检查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02814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979F760">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91489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DF259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《消毒管理办法》第三十六条。</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BA2D68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C1498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是否达到消毒的卫生要求。</w:t>
            </w:r>
          </w:p>
        </w:tc>
      </w:tr>
      <w:tr w14:paraId="1A8C8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1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6E4893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75220CD">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004C9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消毒产品生产企业的卫生监督</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9DE843">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DDB81D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9B3E08">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EC6CD6">
            <w:pPr>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80ACA53">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2B7771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消毒产品及生产企业卫生许可资质、生产条件、生产过程；使用原材料卫生质量；消毒产品和物料仓储条件；消毒产品从业人员配备和管理情况；消毒产品卫生质量。</w:t>
            </w:r>
          </w:p>
        </w:tc>
      </w:tr>
      <w:tr w14:paraId="0E913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95D209">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48</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ECD419">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49C1A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在华责任单位的卫生监督</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2B8C06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5AE3975">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34B7A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DA4AF0">
            <w:pPr>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AF2BEE0">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FE660C">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工商营业执照、新消毒产品卫生许可批件、卫生安全评价报告、进口消毒产品卫生质量。</w:t>
            </w:r>
          </w:p>
        </w:tc>
      </w:tr>
      <w:tr w14:paraId="0C2C0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6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F075DA">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49</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722B10">
            <w:pPr>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A672AD6">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消毒产品经营、使用单位监督</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40D20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550331">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BF9B1F">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AC391C5">
            <w:pPr>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D523C5">
            <w:pPr>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E89547">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消毒产品进货检查验收制度情况；索取国产消毒产品生产企业卫生许可证、消毒产品卫生许可批件或卫生安全评价报告和备案凭证情况；核对消毒产品名称、生产企业或在华责任单位名称以及消毒产品标签(铭牌)、说明书；检查消毒产品使用情况；消毒产品卫生监督抽检情况。</w:t>
            </w:r>
          </w:p>
        </w:tc>
      </w:tr>
      <w:tr w14:paraId="1D472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E9450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927B80">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E928C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对消毒服务机构的消毒服务质量进行监督检查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AF9B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AB82F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E90D9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552753A">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439581F">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C2A3C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具备符合国家有关规范、标准和规定的消毒与灭菌设备；消毒与灭菌工艺流程和工作环境是否符合卫生要求；是否具有能对消毒与灭菌效果进行检测的人员和条件，建立自检制度；用环氧乙烷和电离辐射的方法进行消毒与灭菌的，其安全与环境保护等方面的要求是否按国家有关规定执行。</w:t>
            </w:r>
          </w:p>
        </w:tc>
      </w:tr>
      <w:tr w14:paraId="02A98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80"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CCDB7E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51</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39890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对餐饮具集中消毒服务单位的监督检查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775C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对作业场所、清洗消毒设备或者设施用水和使用的洗涤剂、消毒剂的监督检查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1C98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5D72D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165436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A2AFC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《中华人民共和国食品安全法》第五十八条；《餐饮具集中消毒单位卫生监督规范（试行）》第二条；《河北省食品安全监督管理规定》第六条第一款。 </w:t>
            </w: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DE86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现场检查、抽样检验</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BCF57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作业场所是否符合要求；清洗消毒设备或者设施用水是否符合要求；使用的洗涤剂、消毒剂是否符合要求。</w:t>
            </w:r>
          </w:p>
        </w:tc>
      </w:tr>
      <w:tr w14:paraId="4EDAD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96"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A39F1C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52</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3A6D2DB">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E4632C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对消毒餐具、饮具逐批检验，检验合格方可出厂，并随附消毒合格证明情况的监督检查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CF5A7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32C9F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2AFE9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3F8CF6E">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E873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DF633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消毒合格证明的情况。</w:t>
            </w:r>
          </w:p>
        </w:tc>
      </w:tr>
      <w:tr w14:paraId="6A297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2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21445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53</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926E232">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067C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对消毒后的餐具、饮具在独立包装上标注单位名称、地址、联系方式、消毒日期以及使用期限等内容情况的监督检查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531C3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一般检查事项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2B3A6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D8239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7495B63">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05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B6D55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B40C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消毒后的餐具、饮具在独立包装内容的情况。</w:t>
            </w:r>
          </w:p>
        </w:tc>
      </w:tr>
      <w:tr w14:paraId="2E2E3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67E2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54</w:t>
            </w:r>
          </w:p>
        </w:tc>
        <w:tc>
          <w:tcPr>
            <w:tcW w:w="111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C5810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对</w:t>
            </w:r>
            <w:r>
              <w:rPr>
                <w:rFonts w:hint="eastAsia" w:ascii="宋体" w:hAnsi="宋体" w:cs="宋体"/>
                <w:i w:val="0"/>
                <w:color w:val="000000"/>
                <w:kern w:val="0"/>
                <w:sz w:val="18"/>
                <w:szCs w:val="18"/>
                <w:u w:val="none"/>
                <w:lang w:val="en-US" w:eastAsia="zh-CN" w:bidi="ar"/>
              </w:rPr>
              <w:t>母婴保健技术服务机构的监督检查</w:t>
            </w: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7BE31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计划生育法律法规执行情况的监督检查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29E06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247B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FF5D6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DAECE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《中华人民共和国人口与计划生育法》第六条；《计划生育技术服务管理条例》第三十一条；《计划生育监督工作规范（试行）》第五条、第十一条。</w:t>
            </w:r>
          </w:p>
        </w:tc>
        <w:tc>
          <w:tcPr>
            <w:tcW w:w="1056" w:type="dxa"/>
            <w:vMerge w:val="restar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A34248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现场检查</w:t>
            </w: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76B55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计划生育法律法规贯彻执行情况；卫生计生行政部门依法履职情况；行政管理相对人的法定权利维护情况；法律法规中的具体监督管理制度落实情况。</w:t>
            </w:r>
          </w:p>
        </w:tc>
      </w:tr>
      <w:tr w14:paraId="325AD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8F058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55</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90B6661">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80844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对从事计划生育技术服务的机构及人员的监督检查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C1DA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55814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872D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F8C00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《中华人民共和国人口与计划生育法》第六条；《计划生育技术服务管理条例》第三十一条；《计划生育监督工作规范（试行）》第五条、第十三条。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5A3E59">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CDB5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机构执业资质合法性情况；计划生育技术服务从业人员执业资格情况；计划生育技术服务项目及业务范围依法开展情况。</w:t>
            </w:r>
          </w:p>
        </w:tc>
      </w:tr>
      <w:tr w14:paraId="0D16B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CFFBB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56</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2E5497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1AB21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对打击“两非”行为的监督检查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2B1C7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16E1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66288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15D15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《中华人民共和国人口与计划生育法》第六条；《计划生育技术服务管理条例》第三十一条；《计划生育监督工作规范（试行）》第五条、第十五条。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38770B8">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7053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打击“两非”行为制度建设情况；从事计划生育技术服务的机构及人员落实禁止“两非”相关制度情况；“两非”行为案件的查处情况，包括打击非法行医中涉及“两非”的案件查处情况。</w:t>
            </w:r>
          </w:p>
        </w:tc>
      </w:tr>
      <w:tr w14:paraId="70410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4DF4B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57</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421D0D8">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6CE0F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对从事婚前医学检查的监督检查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728D3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CD072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E25BB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5F039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《中华人民共和国母婴保健法实施办法》第三十四条。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F0AF4FC">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FC7F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资格检查、母婴保健法和母婴保健法实施办法的执行情况。</w:t>
            </w:r>
          </w:p>
        </w:tc>
      </w:tr>
      <w:tr w14:paraId="7F983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188C9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58</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A23B5E8">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95D1A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对从事遗传病诊断的医疗、保健机构的监督检查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FB9605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DD9D4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B6BA2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6A672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《中华人民共和国母婴保健法实施办法》第三十四条。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3C1006F">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0C6ADA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资格检查、母婴保健法和母婴保健法实施办法的执行情况。</w:t>
            </w:r>
          </w:p>
        </w:tc>
      </w:tr>
      <w:tr w14:paraId="1C1D6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BF542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59</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28A27C">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C7F5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对从事产前诊断的医疗、保健机构的监督检查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1064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BABFF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C8EBF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3D8D49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《中华人民共和国母婴保健法实施办法》第三十四条。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F9EC5CC">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75598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资格检查、母婴保健法和母婴保健法实施办法的执行情况。</w:t>
            </w:r>
          </w:p>
        </w:tc>
      </w:tr>
      <w:tr w14:paraId="32EC0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48"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0F7D8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60</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7FF3498">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3B908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对从事终止妊娠手术的监督检查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A2C4FD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EC76D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3B050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A36369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《中华人民共和国母婴保健法实施办法》第三十四条。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57224EC">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86C7B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资格检查、母婴保健法和母婴保健法实施办法的执行情况。</w:t>
            </w:r>
          </w:p>
        </w:tc>
      </w:tr>
      <w:tr w14:paraId="43924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64"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0FE85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61</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424414B">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D1200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对从事医学技术鉴定或者出具有关医学证明的监督检查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67185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48303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484F6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B4886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《中华人民共和国母婴保健法实施办法》第三十四条、第四十条。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725227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40A1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资格检查、母婴保健法和母婴保健法实施办法的执行情况。</w:t>
            </w:r>
          </w:p>
        </w:tc>
      </w:tr>
      <w:tr w14:paraId="58B5C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96" w:hRule="atLeast"/>
        </w:trPr>
        <w:tc>
          <w:tcPr>
            <w:tcW w:w="588"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42A0B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62</w:t>
            </w:r>
          </w:p>
        </w:tc>
        <w:tc>
          <w:tcPr>
            <w:tcW w:w="111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451EA9A">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1392"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20003E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对开展人类辅助生殖技术的医疗机构的监督检查</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EF379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重点检查事项</w:t>
            </w:r>
          </w:p>
        </w:tc>
        <w:tc>
          <w:tcPr>
            <w:tcW w:w="1215"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EC76E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区卫生健康局</w:t>
            </w:r>
          </w:p>
        </w:tc>
        <w:tc>
          <w:tcPr>
            <w:tcW w:w="126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FDE60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区疾控中心（卫生监督所）</w:t>
            </w:r>
          </w:p>
        </w:tc>
        <w:tc>
          <w:tcPr>
            <w:tcW w:w="3036"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0A09B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《人类辅助生殖技术管理办法》第四条。</w:t>
            </w:r>
          </w:p>
        </w:tc>
        <w:tc>
          <w:tcPr>
            <w:tcW w:w="1056" w:type="dxa"/>
            <w:vMerge w:val="continue"/>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21FA4509">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color w:val="000000"/>
                <w:sz w:val="18"/>
                <w:szCs w:val="18"/>
                <w:u w:val="none"/>
              </w:rPr>
            </w:pPr>
          </w:p>
        </w:tc>
        <w:tc>
          <w:tcPr>
            <w:tcW w:w="3480" w:type="dxa"/>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EEC712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未经批准擅自开展人类辅助生殖技术；有无买卖配子、合子、胚胎，有无实施代孕技术，有无使用不具有《人类精子库批准证书》机构提供的精子，有无擅自进行性别选择；实施人类辅助生殖技术档案是否健全；技术质量是否合格。</w:t>
            </w:r>
          </w:p>
        </w:tc>
      </w:tr>
    </w:tbl>
    <w:p w14:paraId="45FDB7B5">
      <w:pPr>
        <w:pStyle w:val="2"/>
        <w:keepNext w:val="0"/>
        <w:keepLines w:val="0"/>
        <w:pageBreakBefore w:val="0"/>
        <w:kinsoku/>
        <w:wordWrap/>
        <w:overflowPunct/>
        <w:topLinePunct w:val="0"/>
        <w:autoSpaceDE/>
        <w:autoSpaceDN/>
        <w:bidi w:val="0"/>
        <w:adjustRightInd/>
        <w:snapToGrid/>
        <w:spacing w:line="400" w:lineRule="exact"/>
        <w:rPr>
          <w:rFonts w:hint="eastAsia" w:ascii="仿宋_GB2312" w:hAnsi="仿宋_GB2312" w:eastAsia="仿宋_GB2312" w:cs="仿宋_GB2312"/>
          <w:sz w:val="32"/>
          <w:szCs w:val="32"/>
          <w:lang w:val="en-US" w:eastAsia="zh-CN"/>
        </w:rPr>
      </w:pPr>
    </w:p>
    <w:p w14:paraId="2048761C">
      <w:pPr>
        <w:keepNext w:val="0"/>
        <w:keepLines w:val="0"/>
        <w:pageBreakBefore w:val="0"/>
        <w:widowControl w:val="0"/>
        <w:tabs>
          <w:tab w:val="left" w:pos="5487"/>
        </w:tabs>
        <w:kinsoku/>
        <w:wordWrap/>
        <w:overflowPunct/>
        <w:topLinePunct w:val="0"/>
        <w:autoSpaceDE/>
        <w:autoSpaceDN/>
        <w:bidi w:val="0"/>
        <w:adjustRightInd/>
        <w:snapToGrid/>
        <w:spacing w:line="400" w:lineRule="exact"/>
        <w:ind w:left="5040" w:hanging="6160" w:hangingChars="1400"/>
        <w:jc w:val="left"/>
        <w:textAlignment w:val="auto"/>
        <w:rPr>
          <w:rFonts w:hint="eastAsia" w:ascii="方正小标宋简体" w:hAnsi="方正小标宋简体" w:eastAsia="方正小标宋简体" w:cs="方正小标宋简体"/>
          <w:sz w:val="44"/>
          <w:szCs w:val="44"/>
          <w:lang w:val="en-US" w:eastAsia="zh-CN"/>
        </w:rPr>
      </w:pPr>
    </w:p>
    <w:p w14:paraId="7D0AFBFA">
      <w:pPr>
        <w:keepNext w:val="0"/>
        <w:keepLines w:val="0"/>
        <w:pageBreakBefore w:val="0"/>
        <w:kinsoku/>
        <w:wordWrap/>
        <w:overflowPunct/>
        <w:topLinePunct w:val="0"/>
        <w:autoSpaceDE/>
        <w:autoSpaceDN/>
        <w:bidi w:val="0"/>
        <w:adjustRightInd/>
        <w:snapToGrid/>
        <w:spacing w:line="400" w:lineRule="exact"/>
        <w:jc w:val="center"/>
        <w:rPr>
          <w:rFonts w:hint="eastAsia"/>
          <w:lang w:val="en-US" w:eastAsia="zh-CN"/>
        </w:rPr>
      </w:pPr>
    </w:p>
    <w:sectPr>
      <w:pgSz w:w="16838" w:h="11906" w:orient="landscape"/>
      <w:pgMar w:top="1588" w:right="2098" w:bottom="1474" w:left="1440" w:header="851" w:footer="992" w:gutter="0"/>
      <w:pgNumType w:fmt="numberInDash"/>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B00970FE-020A-43E5-B9D1-033F3F4AA664}"/>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embedRegular r:id="rId2" w:fontKey="{21810BEC-950B-4911-8E01-308448B582DF}"/>
  </w:font>
  <w:font w:name="方正大标宋简体">
    <w:altName w:val="宋体"/>
    <w:panose1 w:val="02010601030101010101"/>
    <w:charset w:val="86"/>
    <w:family w:val="auto"/>
    <w:pitch w:val="default"/>
    <w:sig w:usb0="00000000" w:usb1="00000000" w:usb2="00000000" w:usb3="00000000" w:csb0="00040000" w:csb1="00000000"/>
  </w:font>
  <w:font w:name="方正小标宋简体">
    <w:panose1 w:val="02010600010101010101"/>
    <w:charset w:val="86"/>
    <w:family w:val="script"/>
    <w:pitch w:val="default"/>
    <w:sig w:usb0="00000001" w:usb1="080E0000" w:usb2="00000000" w:usb3="00000000" w:csb0="00040000" w:csb1="00000000"/>
    <w:embedRegular r:id="rId3" w:fontKey="{CBC12840-3B19-443F-8B39-474982B2807E}"/>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891713">
    <w:pPr>
      <w:pStyle w:val="5"/>
    </w:pPr>
    <w:r>
      <w:pict>
        <v:rect id="文本框 3" o:spid="_x0000_s3073" o:spt="1"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v:textbox inset="0mm,0mm,0mm,0mm" style="mso-fit-shape-to-text:t;">
            <w:txbxContent>
              <w:p w14:paraId="7EEBE60F">
                <w:pPr>
                  <w:snapToGrid w:val="0"/>
                  <w:rPr>
                    <w:rFonts w:ascii="宋体" w:hAnsi="宋体" w:cs="宋体"/>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Times New Roman" w:hAnsi="Times New Roman" w:cs="Times New Roman"/>
                    <w:szCs w:val="24"/>
                  </w:rPr>
                  <w:t>-</w:t>
                </w:r>
                <w:r>
                  <w:rPr>
                    <w:rFonts w:ascii="宋体" w:hAnsi="宋体" w:cs="宋体"/>
                    <w:sz w:val="28"/>
                    <w:szCs w:val="28"/>
                  </w:rPr>
                  <w:t xml:space="preserve"> 1 -</w:t>
                </w:r>
                <w:r>
                  <w:rPr>
                    <w:rFonts w:hint="eastAsia" w:ascii="宋体" w:hAnsi="宋体" w:cs="宋体"/>
                    <w:sz w:val="28"/>
                    <w:szCs w:val="28"/>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09E9C">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1745E"/>
    <w:rsid w:val="000C6957"/>
    <w:rsid w:val="0011745E"/>
    <w:rsid w:val="002643A6"/>
    <w:rsid w:val="00290D63"/>
    <w:rsid w:val="003432B0"/>
    <w:rsid w:val="003D3176"/>
    <w:rsid w:val="004B2E03"/>
    <w:rsid w:val="005654B9"/>
    <w:rsid w:val="00651D4E"/>
    <w:rsid w:val="008A2AE5"/>
    <w:rsid w:val="008C3815"/>
    <w:rsid w:val="00923543"/>
    <w:rsid w:val="009B1192"/>
    <w:rsid w:val="009B637B"/>
    <w:rsid w:val="009F4D32"/>
    <w:rsid w:val="00A20506"/>
    <w:rsid w:val="00B95F93"/>
    <w:rsid w:val="00C81EC5"/>
    <w:rsid w:val="00CA2043"/>
    <w:rsid w:val="00D00B61"/>
    <w:rsid w:val="00E008D9"/>
    <w:rsid w:val="00E200E2"/>
    <w:rsid w:val="00E22E81"/>
    <w:rsid w:val="00EB303B"/>
    <w:rsid w:val="00F31672"/>
    <w:rsid w:val="0CDA234E"/>
    <w:rsid w:val="120452B0"/>
    <w:rsid w:val="1A5B4FF0"/>
    <w:rsid w:val="1BE455CC"/>
    <w:rsid w:val="1E69539D"/>
    <w:rsid w:val="1F042C03"/>
    <w:rsid w:val="253C5BDC"/>
    <w:rsid w:val="26E5057C"/>
    <w:rsid w:val="36E20B40"/>
    <w:rsid w:val="380D75BF"/>
    <w:rsid w:val="3F1709A4"/>
    <w:rsid w:val="3FDC4572"/>
    <w:rsid w:val="40F65022"/>
    <w:rsid w:val="4578254C"/>
    <w:rsid w:val="46307D1F"/>
    <w:rsid w:val="46842537"/>
    <w:rsid w:val="486C19D3"/>
    <w:rsid w:val="50A065BA"/>
    <w:rsid w:val="5D2045FE"/>
    <w:rsid w:val="6FB74E43"/>
    <w:rsid w:val="769B0A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4"/>
    <w:basedOn w:val="1"/>
    <w:next w:val="1"/>
    <w:uiPriority w:val="0"/>
    <w:pPr>
      <w:keepNext/>
      <w:keepLines/>
      <w:spacing w:line="360" w:lineRule="auto"/>
      <w:outlineLvl w:val="3"/>
    </w:pPr>
    <w:rPr>
      <w:rFonts w:hint="default" w:ascii="Arial" w:hAnsi="Arial"/>
      <w:sz w:val="2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纯文本1"/>
    <w:qFormat/>
    <w:uiPriority w:val="0"/>
    <w:rPr>
      <w:rFonts w:ascii="宋体" w:hAnsi="Courier New" w:eastAsia="宋体" w:cs="Times New Roman"/>
      <w:lang w:val="en-US" w:eastAsia="zh-CN" w:bidi="ar-SA"/>
    </w:rPr>
  </w:style>
  <w:style w:type="paragraph" w:styleId="4">
    <w:name w:val="Body Text"/>
    <w:basedOn w:val="1"/>
    <w:link w:val="12"/>
    <w:qFormat/>
    <w:uiPriority w:val="0"/>
    <w:rPr>
      <w:rFonts w:ascii="Tahoma" w:hAnsi="Tahoma" w:eastAsia="微软雅黑" w:cs="Times New Roman"/>
      <w:kern w:val="0"/>
      <w:sz w:val="22"/>
    </w:rPr>
  </w:style>
  <w:style w:type="paragraph" w:styleId="5">
    <w:name w:val="footer"/>
    <w:basedOn w:val="1"/>
    <w:link w:val="11"/>
    <w:unhideWhenUsed/>
    <w:qFormat/>
    <w:uiPriority w:val="0"/>
    <w:pPr>
      <w:tabs>
        <w:tab w:val="center" w:pos="4153"/>
        <w:tab w:val="right" w:pos="8306"/>
      </w:tabs>
      <w:snapToGrid w:val="0"/>
      <w:jc w:val="left"/>
    </w:pPr>
    <w:rPr>
      <w:sz w:val="18"/>
      <w:szCs w:val="18"/>
    </w:rPr>
  </w:style>
  <w:style w:type="paragraph" w:styleId="6">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页眉 Char"/>
    <w:basedOn w:val="9"/>
    <w:link w:val="6"/>
    <w:semiHidden/>
    <w:qFormat/>
    <w:uiPriority w:val="99"/>
    <w:rPr>
      <w:sz w:val="18"/>
      <w:szCs w:val="18"/>
    </w:rPr>
  </w:style>
  <w:style w:type="character" w:customStyle="1" w:styleId="11">
    <w:name w:val="页脚 Char"/>
    <w:basedOn w:val="9"/>
    <w:link w:val="5"/>
    <w:semiHidden/>
    <w:qFormat/>
    <w:uiPriority w:val="99"/>
    <w:rPr>
      <w:sz w:val="18"/>
      <w:szCs w:val="18"/>
    </w:rPr>
  </w:style>
  <w:style w:type="character" w:customStyle="1" w:styleId="12">
    <w:name w:val="正文文本 Char"/>
    <w:basedOn w:val="9"/>
    <w:link w:val="4"/>
    <w:qFormat/>
    <w:uiPriority w:val="0"/>
    <w:rPr>
      <w:rFonts w:ascii="Tahoma" w:hAnsi="Tahoma" w:eastAsia="微软雅黑" w:cs="Times New Roman"/>
      <w:kern w:val="0"/>
      <w:sz w:val="22"/>
    </w:rPr>
  </w:style>
  <w:style w:type="character" w:customStyle="1" w:styleId="13">
    <w:name w:val="font31"/>
    <w:basedOn w:val="9"/>
    <w:qFormat/>
    <w:uiPriority w:val="0"/>
    <w:rPr>
      <w:rFonts w:hint="eastAsia" w:ascii="仿宋_GB2312" w:eastAsia="仿宋_GB2312" w:cs="仿宋_GB2312"/>
      <w:color w:val="000000"/>
      <w:sz w:val="18"/>
      <w:szCs w:val="18"/>
      <w:u w:val="none"/>
    </w:rPr>
  </w:style>
  <w:style w:type="character" w:customStyle="1" w:styleId="14">
    <w:name w:val="font11"/>
    <w:basedOn w:val="9"/>
    <w:qFormat/>
    <w:uiPriority w:val="0"/>
    <w:rPr>
      <w:rFonts w:hint="eastAsia" w:ascii="仿宋_GB2312" w:eastAsia="仿宋_GB2312" w:cs="仿宋_GB2312"/>
      <w:color w:val="000000"/>
      <w:sz w:val="18"/>
      <w:szCs w:val="18"/>
      <w:u w:val="none"/>
    </w:rPr>
  </w:style>
  <w:style w:type="character" w:customStyle="1" w:styleId="15">
    <w:name w:val="font21"/>
    <w:basedOn w:val="9"/>
    <w:qFormat/>
    <w:uiPriority w:val="0"/>
    <w:rPr>
      <w:rFonts w:hint="eastAsia" w:ascii="宋体" w:hAnsi="宋体" w:eastAsia="宋体" w:cs="宋体"/>
      <w:color w:val="000000"/>
      <w:sz w:val="18"/>
      <w:szCs w:val="18"/>
      <w:u w:val="none"/>
    </w:rPr>
  </w:style>
  <w:style w:type="character" w:customStyle="1" w:styleId="16">
    <w:name w:val="font41"/>
    <w:basedOn w:val="9"/>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036A72-72F0-431F-A87B-97207BCAD47B}">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14</Pages>
  <Words>9871</Words>
  <Characters>9944</Characters>
  <Lines>86</Lines>
  <Paragraphs>24</Paragraphs>
  <TotalTime>3</TotalTime>
  <ScaleCrop>false</ScaleCrop>
  <LinksUpToDate>false</LinksUpToDate>
  <CharactersWithSpaces>9999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2019-03-07T06:57:00Z</dcterms:created>
  <dc:creator>User</dc:creator>
  <cp:lastModifiedBy>13323011735</cp:lastModifiedBy>
  <dcterms:modified xsi:type="dcterms:W3CDTF">2025-09-16T08:11:16Z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eyJoZGlkIjoiZTMzZmIyODEyYmQwZGE2MGU2MDg2NjQ2ZDRlZTY2ODciLCJ1c2VySWQiOiIxNTUwMjQwMDk2In0=</vt:lpwstr>
  </property>
  <property fmtid="{D5CDD505-2E9C-101B-9397-08002B2CF9AE}" pid="4" name="ICV">
    <vt:lpwstr>C42B94F5215847F7A185143726BCBC05_12</vt:lpwstr>
  </property>
</Properties>
</file>