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11759.88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25758.50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14000.00</w:t>
            </w: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935.50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169.54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2255.14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39949.19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207.02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2321.00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51518.38</w:t>
            </w:r>
          </w:p>
        </w:tc>
        <w:tc>
          <w:tcPr>
            <w:tcW w:w="4535" w:type="dxa"/>
            <w:vAlign w:val="center"/>
          </w:tcPr>
          <w:p>
            <w:pPr>
              <w:pStyle w:val="14"/>
            </w:pPr>
            <w:r>
              <w:t>本年支出合计</w:t>
            </w:r>
          </w:p>
        </w:tc>
        <w:tc>
          <w:tcPr>
            <w:tcW w:w="2126" w:type="dxa"/>
            <w:vAlign w:val="center"/>
          </w:tcPr>
          <w:p>
            <w:pPr>
              <w:pStyle w:val="15"/>
            </w:pPr>
            <w:r>
              <w:t>61378.30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9859.92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61378.30</w:t>
            </w:r>
          </w:p>
        </w:tc>
        <w:tc>
          <w:tcPr>
            <w:tcW w:w="4535" w:type="dxa"/>
            <w:vAlign w:val="center"/>
          </w:tcPr>
          <w:p>
            <w:pPr>
              <w:pStyle w:val="14"/>
            </w:pPr>
            <w:r>
              <w:t>支出总计</w:t>
            </w:r>
          </w:p>
        </w:tc>
        <w:tc>
          <w:tcPr>
            <w:tcW w:w="2126" w:type="dxa"/>
            <w:vAlign w:val="center"/>
          </w:tcPr>
          <w:p>
            <w:pPr>
              <w:pStyle w:val="15"/>
            </w:pPr>
            <w:r>
              <w:t>61378.30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61378.30</w:t>
            </w:r>
          </w:p>
        </w:tc>
        <w:tc>
          <w:tcPr>
            <w:tcW w:w="1134" w:type="dxa"/>
            <w:vAlign w:val="center"/>
          </w:tcPr>
          <w:p>
            <w:pPr>
              <w:pStyle w:val="15"/>
            </w:pPr>
            <w:r>
              <w:t>51518.38</w:t>
            </w:r>
          </w:p>
        </w:tc>
        <w:tc>
          <w:tcPr>
            <w:tcW w:w="1134" w:type="dxa"/>
            <w:vAlign w:val="center"/>
          </w:tcPr>
          <w:p>
            <w:pPr>
              <w:pStyle w:val="15"/>
            </w:pPr>
            <w:r>
              <w:t>51518.38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9859.92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r>
              <w:t>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935.50</w:t>
            </w:r>
          </w:p>
        </w:tc>
        <w:tc>
          <w:tcPr>
            <w:tcW w:w="1134" w:type="dxa"/>
            <w:vAlign w:val="center"/>
          </w:tcPr>
          <w:p>
            <w:pPr>
              <w:pStyle w:val="11"/>
            </w:pPr>
            <w:r>
              <w:t>935.50</w:t>
            </w:r>
          </w:p>
        </w:tc>
        <w:tc>
          <w:tcPr>
            <w:tcW w:w="1134" w:type="dxa"/>
            <w:vAlign w:val="center"/>
          </w:tcPr>
          <w:p>
            <w:pPr>
              <w:pStyle w:val="11"/>
            </w:pPr>
            <w:r>
              <w:t>935.50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935.50</w:t>
            </w:r>
          </w:p>
        </w:tc>
        <w:tc>
          <w:tcPr>
            <w:tcW w:w="1134" w:type="dxa"/>
            <w:vAlign w:val="center"/>
          </w:tcPr>
          <w:p>
            <w:pPr>
              <w:pStyle w:val="11"/>
            </w:pPr>
            <w:r>
              <w:t>935.50</w:t>
            </w:r>
          </w:p>
        </w:tc>
        <w:tc>
          <w:tcPr>
            <w:tcW w:w="1134" w:type="dxa"/>
            <w:vAlign w:val="center"/>
          </w:tcPr>
          <w:p>
            <w:pPr>
              <w:pStyle w:val="11"/>
            </w:pPr>
            <w:r>
              <w:t>935.50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653.96</w:t>
            </w:r>
          </w:p>
        </w:tc>
        <w:tc>
          <w:tcPr>
            <w:tcW w:w="1134" w:type="dxa"/>
            <w:vAlign w:val="center"/>
          </w:tcPr>
          <w:p>
            <w:pPr>
              <w:pStyle w:val="11"/>
            </w:pPr>
            <w:r>
              <w:t>653.96</w:t>
            </w:r>
          </w:p>
        </w:tc>
        <w:tc>
          <w:tcPr>
            <w:tcW w:w="1134" w:type="dxa"/>
            <w:vAlign w:val="center"/>
          </w:tcPr>
          <w:p>
            <w:pPr>
              <w:pStyle w:val="11"/>
            </w:pPr>
            <w:r>
              <w:t>653.96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281.54</w:t>
            </w:r>
          </w:p>
        </w:tc>
        <w:tc>
          <w:tcPr>
            <w:tcW w:w="1134" w:type="dxa"/>
            <w:vAlign w:val="center"/>
          </w:tcPr>
          <w:p>
            <w:pPr>
              <w:pStyle w:val="11"/>
            </w:pPr>
            <w:r>
              <w:t>281.54</w:t>
            </w:r>
          </w:p>
        </w:tc>
        <w:tc>
          <w:tcPr>
            <w:tcW w:w="1134" w:type="dxa"/>
            <w:vAlign w:val="center"/>
          </w:tcPr>
          <w:p>
            <w:pPr>
              <w:pStyle w:val="11"/>
            </w:pPr>
            <w:r>
              <w:t>281.54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169.54</w:t>
            </w:r>
          </w:p>
        </w:tc>
        <w:tc>
          <w:tcPr>
            <w:tcW w:w="1134" w:type="dxa"/>
            <w:vAlign w:val="center"/>
          </w:tcPr>
          <w:p>
            <w:pPr>
              <w:pStyle w:val="11"/>
            </w:pPr>
            <w:r>
              <w:t>169.54</w:t>
            </w:r>
          </w:p>
        </w:tc>
        <w:tc>
          <w:tcPr>
            <w:tcW w:w="1134" w:type="dxa"/>
            <w:vAlign w:val="center"/>
          </w:tcPr>
          <w:p>
            <w:pPr>
              <w:pStyle w:val="11"/>
            </w:pPr>
            <w:r>
              <w:t>169.54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169.54</w:t>
            </w:r>
          </w:p>
        </w:tc>
        <w:tc>
          <w:tcPr>
            <w:tcW w:w="1134" w:type="dxa"/>
            <w:vAlign w:val="center"/>
          </w:tcPr>
          <w:p>
            <w:pPr>
              <w:pStyle w:val="11"/>
            </w:pPr>
            <w:r>
              <w:t>169.54</w:t>
            </w:r>
          </w:p>
        </w:tc>
        <w:tc>
          <w:tcPr>
            <w:tcW w:w="1134" w:type="dxa"/>
            <w:vAlign w:val="center"/>
          </w:tcPr>
          <w:p>
            <w:pPr>
              <w:pStyle w:val="11"/>
            </w:pPr>
            <w:r>
              <w:t>169.54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73.96</w:t>
            </w:r>
          </w:p>
        </w:tc>
        <w:tc>
          <w:tcPr>
            <w:tcW w:w="1134" w:type="dxa"/>
            <w:vAlign w:val="center"/>
          </w:tcPr>
          <w:p>
            <w:pPr>
              <w:pStyle w:val="11"/>
            </w:pPr>
            <w:r>
              <w:t>73.96</w:t>
            </w:r>
          </w:p>
        </w:tc>
        <w:tc>
          <w:tcPr>
            <w:tcW w:w="1134" w:type="dxa"/>
            <w:vAlign w:val="center"/>
          </w:tcPr>
          <w:p>
            <w:pPr>
              <w:pStyle w:val="11"/>
            </w:pPr>
            <w:r>
              <w:t>73.96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2255.14</w:t>
            </w:r>
          </w:p>
        </w:tc>
        <w:tc>
          <w:tcPr>
            <w:tcW w:w="1134" w:type="dxa"/>
            <w:vAlign w:val="center"/>
          </w:tcPr>
          <w:p>
            <w:pPr>
              <w:pStyle w:val="11"/>
            </w:pPr>
            <w:r>
              <w:t>1837.00</w:t>
            </w:r>
          </w:p>
        </w:tc>
        <w:tc>
          <w:tcPr>
            <w:tcW w:w="1134" w:type="dxa"/>
            <w:vAlign w:val="center"/>
          </w:tcPr>
          <w:p>
            <w:pPr>
              <w:pStyle w:val="11"/>
            </w:pPr>
            <w:r>
              <w:t>1837.00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418.14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2255.14</w:t>
            </w:r>
          </w:p>
        </w:tc>
        <w:tc>
          <w:tcPr>
            <w:tcW w:w="1134" w:type="dxa"/>
            <w:vAlign w:val="center"/>
          </w:tcPr>
          <w:p>
            <w:pPr>
              <w:pStyle w:val="11"/>
            </w:pPr>
            <w:r>
              <w:t>1837.00</w:t>
            </w:r>
          </w:p>
        </w:tc>
        <w:tc>
          <w:tcPr>
            <w:tcW w:w="1134" w:type="dxa"/>
            <w:vAlign w:val="center"/>
          </w:tcPr>
          <w:p>
            <w:pPr>
              <w:pStyle w:val="11"/>
            </w:pPr>
            <w:r>
              <w:t>1837.00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418.14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2255.14</w:t>
            </w:r>
          </w:p>
        </w:tc>
        <w:tc>
          <w:tcPr>
            <w:tcW w:w="1134" w:type="dxa"/>
            <w:vAlign w:val="center"/>
          </w:tcPr>
          <w:p>
            <w:pPr>
              <w:pStyle w:val="11"/>
            </w:pPr>
            <w:r>
              <w:t>1837.00</w:t>
            </w:r>
          </w:p>
        </w:tc>
        <w:tc>
          <w:tcPr>
            <w:tcW w:w="1134" w:type="dxa"/>
            <w:vAlign w:val="center"/>
          </w:tcPr>
          <w:p>
            <w:pPr>
              <w:pStyle w:val="11"/>
            </w:pPr>
            <w:r>
              <w:t>1837.00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418.14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39949.19</w:t>
            </w:r>
          </w:p>
        </w:tc>
        <w:tc>
          <w:tcPr>
            <w:tcW w:w="1134" w:type="dxa"/>
            <w:vAlign w:val="center"/>
          </w:tcPr>
          <w:p>
            <w:pPr>
              <w:pStyle w:val="11"/>
            </w:pPr>
            <w:r>
              <w:t>32042.42</w:t>
            </w:r>
          </w:p>
        </w:tc>
        <w:tc>
          <w:tcPr>
            <w:tcW w:w="1134" w:type="dxa"/>
            <w:vAlign w:val="center"/>
          </w:tcPr>
          <w:p>
            <w:pPr>
              <w:pStyle w:val="11"/>
            </w:pPr>
            <w:r>
              <w:t>32042.42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7906.78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2290.39</w:t>
            </w:r>
          </w:p>
        </w:tc>
        <w:tc>
          <w:tcPr>
            <w:tcW w:w="1134" w:type="dxa"/>
            <w:vAlign w:val="center"/>
          </w:tcPr>
          <w:p>
            <w:pPr>
              <w:pStyle w:val="11"/>
            </w:pPr>
            <w:r>
              <w:t>2290.39</w:t>
            </w:r>
          </w:p>
        </w:tc>
        <w:tc>
          <w:tcPr>
            <w:tcW w:w="1134" w:type="dxa"/>
            <w:vAlign w:val="center"/>
          </w:tcPr>
          <w:p>
            <w:pPr>
              <w:pStyle w:val="11"/>
            </w:pPr>
            <w:r>
              <w:t>2290.39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2290.39</w:t>
            </w:r>
          </w:p>
        </w:tc>
        <w:tc>
          <w:tcPr>
            <w:tcW w:w="1134" w:type="dxa"/>
            <w:vAlign w:val="center"/>
          </w:tcPr>
          <w:p>
            <w:pPr>
              <w:pStyle w:val="11"/>
            </w:pPr>
            <w:r>
              <w:t>2290.39</w:t>
            </w:r>
          </w:p>
        </w:tc>
        <w:tc>
          <w:tcPr>
            <w:tcW w:w="1134" w:type="dxa"/>
            <w:vAlign w:val="center"/>
          </w:tcPr>
          <w:p>
            <w:pPr>
              <w:pStyle w:val="11"/>
            </w:pPr>
            <w:r>
              <w:t>2290.39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5367.99</w:t>
            </w:r>
          </w:p>
        </w:tc>
        <w:tc>
          <w:tcPr>
            <w:tcW w:w="1134" w:type="dxa"/>
            <w:vAlign w:val="center"/>
          </w:tcPr>
          <w:p>
            <w:pPr>
              <w:pStyle w:val="11"/>
            </w:pPr>
            <w:r>
              <w:t>2055.55</w:t>
            </w:r>
          </w:p>
        </w:tc>
        <w:tc>
          <w:tcPr>
            <w:tcW w:w="1134" w:type="dxa"/>
            <w:vAlign w:val="center"/>
          </w:tcPr>
          <w:p>
            <w:pPr>
              <w:pStyle w:val="11"/>
            </w:pPr>
            <w:r>
              <w:t>2055.55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3312.44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3752.99</w:t>
            </w:r>
          </w:p>
        </w:tc>
        <w:tc>
          <w:tcPr>
            <w:tcW w:w="1134" w:type="dxa"/>
            <w:vAlign w:val="center"/>
          </w:tcPr>
          <w:p>
            <w:pPr>
              <w:pStyle w:val="11"/>
            </w:pPr>
            <w:r>
              <w:t>440.55</w:t>
            </w:r>
          </w:p>
        </w:tc>
        <w:tc>
          <w:tcPr>
            <w:tcW w:w="1134" w:type="dxa"/>
            <w:vAlign w:val="center"/>
          </w:tcPr>
          <w:p>
            <w:pPr>
              <w:pStyle w:val="11"/>
            </w:pPr>
            <w:r>
              <w:t>440.55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3312.44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1615.00</w:t>
            </w:r>
          </w:p>
        </w:tc>
        <w:tc>
          <w:tcPr>
            <w:tcW w:w="1134" w:type="dxa"/>
            <w:vAlign w:val="center"/>
          </w:tcPr>
          <w:p>
            <w:pPr>
              <w:pStyle w:val="11"/>
            </w:pPr>
            <w:r>
              <w:t>1615.00</w:t>
            </w:r>
          </w:p>
        </w:tc>
        <w:tc>
          <w:tcPr>
            <w:tcW w:w="1134" w:type="dxa"/>
            <w:vAlign w:val="center"/>
          </w:tcPr>
          <w:p>
            <w:pPr>
              <w:pStyle w:val="11"/>
            </w:pPr>
            <w:r>
              <w:t>1615.00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8853.32</w:t>
            </w:r>
          </w:p>
        </w:tc>
        <w:tc>
          <w:tcPr>
            <w:tcW w:w="1134" w:type="dxa"/>
            <w:vAlign w:val="center"/>
          </w:tcPr>
          <w:p>
            <w:pPr>
              <w:pStyle w:val="11"/>
            </w:pPr>
            <w:r>
              <w:t>4258.98</w:t>
            </w:r>
          </w:p>
        </w:tc>
        <w:tc>
          <w:tcPr>
            <w:tcW w:w="1134" w:type="dxa"/>
            <w:vAlign w:val="center"/>
          </w:tcPr>
          <w:p>
            <w:pPr>
              <w:pStyle w:val="11"/>
            </w:pPr>
            <w:r>
              <w:t>4258.98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4594.34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8853.32</w:t>
            </w:r>
          </w:p>
        </w:tc>
        <w:tc>
          <w:tcPr>
            <w:tcW w:w="1134" w:type="dxa"/>
            <w:vAlign w:val="center"/>
          </w:tcPr>
          <w:p>
            <w:pPr>
              <w:pStyle w:val="11"/>
            </w:pPr>
            <w:r>
              <w:t>4258.98</w:t>
            </w:r>
          </w:p>
        </w:tc>
        <w:tc>
          <w:tcPr>
            <w:tcW w:w="1134" w:type="dxa"/>
            <w:vAlign w:val="center"/>
          </w:tcPr>
          <w:p>
            <w:pPr>
              <w:pStyle w:val="11"/>
            </w:pPr>
            <w:r>
              <w:t>4258.98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4594.34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22537.50</w:t>
            </w:r>
          </w:p>
        </w:tc>
        <w:tc>
          <w:tcPr>
            <w:tcW w:w="1134" w:type="dxa"/>
            <w:vAlign w:val="center"/>
          </w:tcPr>
          <w:p>
            <w:pPr>
              <w:pStyle w:val="11"/>
            </w:pPr>
            <w:r>
              <w:t>22537.50</w:t>
            </w:r>
          </w:p>
        </w:tc>
        <w:tc>
          <w:tcPr>
            <w:tcW w:w="1134" w:type="dxa"/>
            <w:vAlign w:val="center"/>
          </w:tcPr>
          <w:p>
            <w:pPr>
              <w:pStyle w:val="11"/>
            </w:pPr>
            <w:r>
              <w:t>22537.50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18090.83</w:t>
            </w:r>
          </w:p>
        </w:tc>
        <w:tc>
          <w:tcPr>
            <w:tcW w:w="1134" w:type="dxa"/>
            <w:vAlign w:val="center"/>
          </w:tcPr>
          <w:p>
            <w:pPr>
              <w:pStyle w:val="11"/>
            </w:pPr>
            <w:r>
              <w:t>18090.83</w:t>
            </w:r>
          </w:p>
        </w:tc>
        <w:tc>
          <w:tcPr>
            <w:tcW w:w="1134" w:type="dxa"/>
            <w:vAlign w:val="center"/>
          </w:tcPr>
          <w:p>
            <w:pPr>
              <w:pStyle w:val="11"/>
            </w:pPr>
            <w:r>
              <w:t>18090.83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4429.67</w:t>
            </w:r>
          </w:p>
        </w:tc>
        <w:tc>
          <w:tcPr>
            <w:tcW w:w="1134" w:type="dxa"/>
            <w:vAlign w:val="center"/>
          </w:tcPr>
          <w:p>
            <w:pPr>
              <w:pStyle w:val="11"/>
            </w:pPr>
            <w:r>
              <w:t>4429.67</w:t>
            </w:r>
          </w:p>
        </w:tc>
        <w:tc>
          <w:tcPr>
            <w:tcW w:w="1134" w:type="dxa"/>
            <w:vAlign w:val="center"/>
          </w:tcPr>
          <w:p>
            <w:pPr>
              <w:pStyle w:val="11"/>
            </w:pPr>
            <w:r>
              <w:t>4429.67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21214</w:t>
            </w:r>
          </w:p>
        </w:tc>
        <w:tc>
          <w:tcPr>
            <w:tcW w:w="1559" w:type="dxa"/>
            <w:vAlign w:val="center"/>
          </w:tcPr>
          <w:p>
            <w:pPr>
              <w:pStyle w:val="12"/>
            </w:pPr>
            <w:r>
              <w:t>污水处理费安排的支出</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2121401</w:t>
            </w:r>
          </w:p>
        </w:tc>
        <w:tc>
          <w:tcPr>
            <w:tcW w:w="1559" w:type="dxa"/>
            <w:vAlign w:val="center"/>
          </w:tcPr>
          <w:p>
            <w:pPr>
              <w:pStyle w:val="12"/>
            </w:pPr>
            <w:r>
              <w:t>污水处理设施建设和运营</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207.02</w:t>
            </w:r>
          </w:p>
        </w:tc>
        <w:tc>
          <w:tcPr>
            <w:tcW w:w="1134" w:type="dxa"/>
            <w:vAlign w:val="center"/>
          </w:tcPr>
          <w:p>
            <w:pPr>
              <w:pStyle w:val="11"/>
            </w:pPr>
            <w:r>
              <w:t>207.02</w:t>
            </w:r>
          </w:p>
        </w:tc>
        <w:tc>
          <w:tcPr>
            <w:tcW w:w="1134" w:type="dxa"/>
            <w:vAlign w:val="center"/>
          </w:tcPr>
          <w:p>
            <w:pPr>
              <w:pStyle w:val="11"/>
            </w:pPr>
            <w:r>
              <w:t>207.02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207.02</w:t>
            </w:r>
          </w:p>
        </w:tc>
        <w:tc>
          <w:tcPr>
            <w:tcW w:w="1134" w:type="dxa"/>
            <w:vAlign w:val="center"/>
          </w:tcPr>
          <w:p>
            <w:pPr>
              <w:pStyle w:val="11"/>
            </w:pPr>
            <w:r>
              <w:t>207.02</w:t>
            </w:r>
          </w:p>
        </w:tc>
        <w:tc>
          <w:tcPr>
            <w:tcW w:w="1134" w:type="dxa"/>
            <w:vAlign w:val="center"/>
          </w:tcPr>
          <w:p>
            <w:pPr>
              <w:pStyle w:val="11"/>
            </w:pPr>
            <w:r>
              <w:t>207.02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207.02</w:t>
            </w:r>
          </w:p>
        </w:tc>
        <w:tc>
          <w:tcPr>
            <w:tcW w:w="1134" w:type="dxa"/>
            <w:vAlign w:val="center"/>
          </w:tcPr>
          <w:p>
            <w:pPr>
              <w:pStyle w:val="11"/>
            </w:pPr>
            <w:r>
              <w:t>207.02</w:t>
            </w:r>
          </w:p>
        </w:tc>
        <w:tc>
          <w:tcPr>
            <w:tcW w:w="1134" w:type="dxa"/>
            <w:vAlign w:val="center"/>
          </w:tcPr>
          <w:p>
            <w:pPr>
              <w:pStyle w:val="11"/>
            </w:pPr>
            <w:r>
              <w:t>207.02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14000.00</w:t>
            </w:r>
          </w:p>
        </w:tc>
        <w:tc>
          <w:tcPr>
            <w:tcW w:w="1134" w:type="dxa"/>
            <w:vAlign w:val="center"/>
          </w:tcPr>
          <w:p>
            <w:pPr>
              <w:pStyle w:val="11"/>
            </w:pPr>
            <w:r>
              <w:t>14000.00</w:t>
            </w:r>
          </w:p>
        </w:tc>
        <w:tc>
          <w:tcPr>
            <w:tcW w:w="1134" w:type="dxa"/>
            <w:vAlign w:val="center"/>
          </w:tcPr>
          <w:p>
            <w:pPr>
              <w:pStyle w:val="11"/>
            </w:pPr>
            <w:r>
              <w:t>14000.00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14000.00</w:t>
            </w:r>
          </w:p>
        </w:tc>
        <w:tc>
          <w:tcPr>
            <w:tcW w:w="1134" w:type="dxa"/>
            <w:vAlign w:val="center"/>
          </w:tcPr>
          <w:p>
            <w:pPr>
              <w:pStyle w:val="11"/>
            </w:pPr>
            <w:r>
              <w:t>14000.00</w:t>
            </w:r>
          </w:p>
        </w:tc>
        <w:tc>
          <w:tcPr>
            <w:tcW w:w="1134" w:type="dxa"/>
            <w:vAlign w:val="center"/>
          </w:tcPr>
          <w:p>
            <w:pPr>
              <w:pStyle w:val="11"/>
            </w:pPr>
            <w:r>
              <w:t>14000.00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2230199</w:t>
            </w:r>
          </w:p>
        </w:tc>
        <w:tc>
          <w:tcPr>
            <w:tcW w:w="1559" w:type="dxa"/>
            <w:vAlign w:val="center"/>
          </w:tcPr>
          <w:p>
            <w:pPr>
              <w:pStyle w:val="12"/>
            </w:pPr>
            <w:r>
              <w:t>其他解决历史遗留问题及改革成本支出</w:t>
            </w:r>
          </w:p>
        </w:tc>
        <w:tc>
          <w:tcPr>
            <w:tcW w:w="1134" w:type="dxa"/>
            <w:vAlign w:val="center"/>
          </w:tcPr>
          <w:p>
            <w:pPr>
              <w:pStyle w:val="11"/>
            </w:pPr>
            <w:r>
              <w:t>14000.00</w:t>
            </w:r>
          </w:p>
        </w:tc>
        <w:tc>
          <w:tcPr>
            <w:tcW w:w="1134" w:type="dxa"/>
            <w:vAlign w:val="center"/>
          </w:tcPr>
          <w:p>
            <w:pPr>
              <w:pStyle w:val="11"/>
            </w:pPr>
            <w:r>
              <w:t>14000.00</w:t>
            </w:r>
          </w:p>
        </w:tc>
        <w:tc>
          <w:tcPr>
            <w:tcW w:w="1134" w:type="dxa"/>
            <w:vAlign w:val="center"/>
          </w:tcPr>
          <w:p>
            <w:pPr>
              <w:pStyle w:val="11"/>
            </w:pPr>
            <w:r>
              <w:t>14000.00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2321.00</w:t>
            </w:r>
          </w:p>
        </w:tc>
        <w:tc>
          <w:tcPr>
            <w:tcW w:w="1134" w:type="dxa"/>
            <w:vAlign w:val="center"/>
          </w:tcPr>
          <w:p>
            <w:pPr>
              <w:pStyle w:val="11"/>
            </w:pPr>
            <w:r>
              <w:t>2321.00</w:t>
            </w:r>
          </w:p>
        </w:tc>
        <w:tc>
          <w:tcPr>
            <w:tcW w:w="1134" w:type="dxa"/>
            <w:vAlign w:val="center"/>
          </w:tcPr>
          <w:p>
            <w:pPr>
              <w:pStyle w:val="11"/>
            </w:pPr>
            <w:r>
              <w:t>2321.00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2321.00</w:t>
            </w:r>
          </w:p>
        </w:tc>
        <w:tc>
          <w:tcPr>
            <w:tcW w:w="1134" w:type="dxa"/>
            <w:vAlign w:val="center"/>
          </w:tcPr>
          <w:p>
            <w:pPr>
              <w:pStyle w:val="11"/>
            </w:pPr>
            <w:r>
              <w:t>2321.00</w:t>
            </w:r>
          </w:p>
        </w:tc>
        <w:tc>
          <w:tcPr>
            <w:tcW w:w="1134" w:type="dxa"/>
            <w:vAlign w:val="center"/>
          </w:tcPr>
          <w:p>
            <w:pPr>
              <w:pStyle w:val="11"/>
            </w:pPr>
            <w:r>
              <w:t>2321.00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2321.00</w:t>
            </w:r>
          </w:p>
        </w:tc>
        <w:tc>
          <w:tcPr>
            <w:tcW w:w="1134" w:type="dxa"/>
            <w:vAlign w:val="center"/>
          </w:tcPr>
          <w:p>
            <w:pPr>
              <w:pStyle w:val="11"/>
            </w:pPr>
            <w:r>
              <w:t>2321.00</w:t>
            </w:r>
          </w:p>
        </w:tc>
        <w:tc>
          <w:tcPr>
            <w:tcW w:w="1134" w:type="dxa"/>
            <w:vAlign w:val="center"/>
          </w:tcPr>
          <w:p>
            <w:pPr>
              <w:pStyle w:val="11"/>
            </w:pPr>
            <w:r>
              <w:t>2321.00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61378.30</w:t>
            </w:r>
          </w:p>
        </w:tc>
        <w:tc>
          <w:tcPr>
            <w:tcW w:w="1361" w:type="dxa"/>
            <w:vAlign w:val="center"/>
          </w:tcPr>
          <w:p>
            <w:pPr>
              <w:pStyle w:val="15"/>
            </w:pPr>
            <w:r>
              <w:t>3602.45</w:t>
            </w:r>
          </w:p>
        </w:tc>
        <w:tc>
          <w:tcPr>
            <w:tcW w:w="1361" w:type="dxa"/>
            <w:vAlign w:val="center"/>
          </w:tcPr>
          <w:p>
            <w:pPr>
              <w:pStyle w:val="15"/>
            </w:pPr>
            <w:r>
              <w:t>57775.85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r>
              <w:t>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935.50</w:t>
            </w:r>
          </w:p>
        </w:tc>
        <w:tc>
          <w:tcPr>
            <w:tcW w:w="1361" w:type="dxa"/>
            <w:vAlign w:val="center"/>
          </w:tcPr>
          <w:p>
            <w:pPr>
              <w:pStyle w:val="11"/>
            </w:pPr>
            <w:r>
              <w:t>935.50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935.50</w:t>
            </w:r>
          </w:p>
        </w:tc>
        <w:tc>
          <w:tcPr>
            <w:tcW w:w="1361" w:type="dxa"/>
            <w:vAlign w:val="center"/>
          </w:tcPr>
          <w:p>
            <w:pPr>
              <w:pStyle w:val="11"/>
            </w:pPr>
            <w:r>
              <w:t>935.50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653.96</w:t>
            </w:r>
          </w:p>
        </w:tc>
        <w:tc>
          <w:tcPr>
            <w:tcW w:w="1361" w:type="dxa"/>
            <w:vAlign w:val="center"/>
          </w:tcPr>
          <w:p>
            <w:pPr>
              <w:pStyle w:val="11"/>
            </w:pPr>
            <w:r>
              <w:t>653.96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281.54</w:t>
            </w:r>
          </w:p>
        </w:tc>
        <w:tc>
          <w:tcPr>
            <w:tcW w:w="1361" w:type="dxa"/>
            <w:vAlign w:val="center"/>
          </w:tcPr>
          <w:p>
            <w:pPr>
              <w:pStyle w:val="11"/>
            </w:pPr>
            <w:r>
              <w:t>281.54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169.54</w:t>
            </w:r>
          </w:p>
        </w:tc>
        <w:tc>
          <w:tcPr>
            <w:tcW w:w="1361" w:type="dxa"/>
            <w:vAlign w:val="center"/>
          </w:tcPr>
          <w:p>
            <w:pPr>
              <w:pStyle w:val="11"/>
            </w:pPr>
            <w:r>
              <w:t>169.54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169.54</w:t>
            </w:r>
          </w:p>
        </w:tc>
        <w:tc>
          <w:tcPr>
            <w:tcW w:w="1361" w:type="dxa"/>
            <w:vAlign w:val="center"/>
          </w:tcPr>
          <w:p>
            <w:pPr>
              <w:pStyle w:val="11"/>
            </w:pPr>
            <w:r>
              <w:t>169.54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95.58</w:t>
            </w:r>
          </w:p>
        </w:tc>
        <w:tc>
          <w:tcPr>
            <w:tcW w:w="1361" w:type="dxa"/>
            <w:vAlign w:val="center"/>
          </w:tcPr>
          <w:p>
            <w:pPr>
              <w:pStyle w:val="11"/>
            </w:pPr>
            <w:r>
              <w:t>95.58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73.96</w:t>
            </w:r>
          </w:p>
        </w:tc>
        <w:tc>
          <w:tcPr>
            <w:tcW w:w="1361" w:type="dxa"/>
            <w:vAlign w:val="center"/>
          </w:tcPr>
          <w:p>
            <w:pPr>
              <w:pStyle w:val="11"/>
            </w:pPr>
            <w:r>
              <w:t>73.96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2255.14</w:t>
            </w:r>
          </w:p>
        </w:tc>
        <w:tc>
          <w:tcPr>
            <w:tcW w:w="1361" w:type="dxa"/>
            <w:vAlign w:val="center"/>
          </w:tcPr>
          <w:p>
            <w:pPr>
              <w:pStyle w:val="11"/>
            </w:pPr>
          </w:p>
        </w:tc>
        <w:tc>
          <w:tcPr>
            <w:tcW w:w="1361" w:type="dxa"/>
            <w:vAlign w:val="center"/>
          </w:tcPr>
          <w:p>
            <w:pPr>
              <w:pStyle w:val="11"/>
            </w:pPr>
            <w:r>
              <w:t>2255.14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2255.14</w:t>
            </w:r>
          </w:p>
        </w:tc>
        <w:tc>
          <w:tcPr>
            <w:tcW w:w="1361" w:type="dxa"/>
            <w:vAlign w:val="center"/>
          </w:tcPr>
          <w:p>
            <w:pPr>
              <w:pStyle w:val="11"/>
            </w:pPr>
          </w:p>
        </w:tc>
        <w:tc>
          <w:tcPr>
            <w:tcW w:w="1361" w:type="dxa"/>
            <w:vAlign w:val="center"/>
          </w:tcPr>
          <w:p>
            <w:pPr>
              <w:pStyle w:val="11"/>
            </w:pPr>
            <w:r>
              <w:t>2255.14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2255.14</w:t>
            </w:r>
          </w:p>
        </w:tc>
        <w:tc>
          <w:tcPr>
            <w:tcW w:w="1361" w:type="dxa"/>
            <w:vAlign w:val="center"/>
          </w:tcPr>
          <w:p>
            <w:pPr>
              <w:pStyle w:val="11"/>
            </w:pPr>
          </w:p>
        </w:tc>
        <w:tc>
          <w:tcPr>
            <w:tcW w:w="1361" w:type="dxa"/>
            <w:vAlign w:val="center"/>
          </w:tcPr>
          <w:p>
            <w:pPr>
              <w:pStyle w:val="11"/>
            </w:pPr>
            <w:r>
              <w:t>2255.14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39949.19</w:t>
            </w:r>
          </w:p>
        </w:tc>
        <w:tc>
          <w:tcPr>
            <w:tcW w:w="1361" w:type="dxa"/>
            <w:vAlign w:val="center"/>
          </w:tcPr>
          <w:p>
            <w:pPr>
              <w:pStyle w:val="11"/>
            </w:pPr>
            <w:r>
              <w:t>2290.39</w:t>
            </w:r>
          </w:p>
        </w:tc>
        <w:tc>
          <w:tcPr>
            <w:tcW w:w="1361" w:type="dxa"/>
            <w:vAlign w:val="center"/>
          </w:tcPr>
          <w:p>
            <w:pPr>
              <w:pStyle w:val="11"/>
            </w:pPr>
            <w:r>
              <w:t>37658.80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2290.39</w:t>
            </w:r>
          </w:p>
        </w:tc>
        <w:tc>
          <w:tcPr>
            <w:tcW w:w="1361" w:type="dxa"/>
            <w:vAlign w:val="center"/>
          </w:tcPr>
          <w:p>
            <w:pPr>
              <w:pStyle w:val="11"/>
            </w:pPr>
            <w:r>
              <w:t>2290.39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2290.39</w:t>
            </w:r>
          </w:p>
        </w:tc>
        <w:tc>
          <w:tcPr>
            <w:tcW w:w="1361" w:type="dxa"/>
            <w:vAlign w:val="center"/>
          </w:tcPr>
          <w:p>
            <w:pPr>
              <w:pStyle w:val="11"/>
            </w:pPr>
            <w:r>
              <w:t>2290.39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5367.99</w:t>
            </w:r>
          </w:p>
        </w:tc>
        <w:tc>
          <w:tcPr>
            <w:tcW w:w="1361" w:type="dxa"/>
            <w:vAlign w:val="center"/>
          </w:tcPr>
          <w:p>
            <w:pPr>
              <w:pStyle w:val="11"/>
            </w:pPr>
          </w:p>
        </w:tc>
        <w:tc>
          <w:tcPr>
            <w:tcW w:w="1361" w:type="dxa"/>
            <w:vAlign w:val="center"/>
          </w:tcPr>
          <w:p>
            <w:pPr>
              <w:pStyle w:val="11"/>
            </w:pPr>
            <w:r>
              <w:t>5367.99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3752.99</w:t>
            </w:r>
          </w:p>
        </w:tc>
        <w:tc>
          <w:tcPr>
            <w:tcW w:w="1361" w:type="dxa"/>
            <w:vAlign w:val="center"/>
          </w:tcPr>
          <w:p>
            <w:pPr>
              <w:pStyle w:val="11"/>
            </w:pPr>
          </w:p>
        </w:tc>
        <w:tc>
          <w:tcPr>
            <w:tcW w:w="1361" w:type="dxa"/>
            <w:vAlign w:val="center"/>
          </w:tcPr>
          <w:p>
            <w:pPr>
              <w:pStyle w:val="11"/>
            </w:pPr>
            <w:r>
              <w:t>3752.99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1615.00</w:t>
            </w:r>
          </w:p>
        </w:tc>
        <w:tc>
          <w:tcPr>
            <w:tcW w:w="1361" w:type="dxa"/>
            <w:vAlign w:val="center"/>
          </w:tcPr>
          <w:p>
            <w:pPr>
              <w:pStyle w:val="11"/>
            </w:pPr>
          </w:p>
        </w:tc>
        <w:tc>
          <w:tcPr>
            <w:tcW w:w="1361" w:type="dxa"/>
            <w:vAlign w:val="center"/>
          </w:tcPr>
          <w:p>
            <w:pPr>
              <w:pStyle w:val="11"/>
            </w:pPr>
            <w:r>
              <w:t>1615.00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8853.32</w:t>
            </w:r>
          </w:p>
        </w:tc>
        <w:tc>
          <w:tcPr>
            <w:tcW w:w="1361" w:type="dxa"/>
            <w:vAlign w:val="center"/>
          </w:tcPr>
          <w:p>
            <w:pPr>
              <w:pStyle w:val="11"/>
            </w:pPr>
          </w:p>
        </w:tc>
        <w:tc>
          <w:tcPr>
            <w:tcW w:w="1361" w:type="dxa"/>
            <w:vAlign w:val="center"/>
          </w:tcPr>
          <w:p>
            <w:pPr>
              <w:pStyle w:val="11"/>
            </w:pPr>
            <w:r>
              <w:t>8853.32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8853.32</w:t>
            </w:r>
          </w:p>
        </w:tc>
        <w:tc>
          <w:tcPr>
            <w:tcW w:w="1361" w:type="dxa"/>
            <w:vAlign w:val="center"/>
          </w:tcPr>
          <w:p>
            <w:pPr>
              <w:pStyle w:val="11"/>
            </w:pPr>
          </w:p>
        </w:tc>
        <w:tc>
          <w:tcPr>
            <w:tcW w:w="1361" w:type="dxa"/>
            <w:vAlign w:val="center"/>
          </w:tcPr>
          <w:p>
            <w:pPr>
              <w:pStyle w:val="11"/>
            </w:pPr>
            <w:r>
              <w:t>8853.32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22537.50</w:t>
            </w:r>
          </w:p>
        </w:tc>
        <w:tc>
          <w:tcPr>
            <w:tcW w:w="1361" w:type="dxa"/>
            <w:vAlign w:val="center"/>
          </w:tcPr>
          <w:p>
            <w:pPr>
              <w:pStyle w:val="11"/>
            </w:pPr>
          </w:p>
        </w:tc>
        <w:tc>
          <w:tcPr>
            <w:tcW w:w="1361" w:type="dxa"/>
            <w:vAlign w:val="center"/>
          </w:tcPr>
          <w:p>
            <w:pPr>
              <w:pStyle w:val="11"/>
            </w:pPr>
            <w:r>
              <w:t>22537.50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18090.83</w:t>
            </w:r>
          </w:p>
        </w:tc>
        <w:tc>
          <w:tcPr>
            <w:tcW w:w="1361" w:type="dxa"/>
            <w:vAlign w:val="center"/>
          </w:tcPr>
          <w:p>
            <w:pPr>
              <w:pStyle w:val="11"/>
            </w:pPr>
          </w:p>
        </w:tc>
        <w:tc>
          <w:tcPr>
            <w:tcW w:w="1361" w:type="dxa"/>
            <w:vAlign w:val="center"/>
          </w:tcPr>
          <w:p>
            <w:pPr>
              <w:pStyle w:val="11"/>
            </w:pPr>
            <w:r>
              <w:t>18090.83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4429.67</w:t>
            </w:r>
          </w:p>
        </w:tc>
        <w:tc>
          <w:tcPr>
            <w:tcW w:w="1361" w:type="dxa"/>
            <w:vAlign w:val="center"/>
          </w:tcPr>
          <w:p>
            <w:pPr>
              <w:pStyle w:val="11"/>
            </w:pPr>
          </w:p>
        </w:tc>
        <w:tc>
          <w:tcPr>
            <w:tcW w:w="1361" w:type="dxa"/>
            <w:vAlign w:val="center"/>
          </w:tcPr>
          <w:p>
            <w:pPr>
              <w:pStyle w:val="11"/>
            </w:pPr>
            <w:r>
              <w:t>4429.67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21214</w:t>
            </w:r>
          </w:p>
        </w:tc>
        <w:tc>
          <w:tcPr>
            <w:tcW w:w="4535" w:type="dxa"/>
            <w:vAlign w:val="center"/>
          </w:tcPr>
          <w:p>
            <w:pPr>
              <w:pStyle w:val="12"/>
            </w:pPr>
            <w:r>
              <w:t>污水处理费安排的支出</w:t>
            </w: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2121401</w:t>
            </w:r>
          </w:p>
        </w:tc>
        <w:tc>
          <w:tcPr>
            <w:tcW w:w="4535" w:type="dxa"/>
            <w:vAlign w:val="center"/>
          </w:tcPr>
          <w:p>
            <w:pPr>
              <w:pStyle w:val="12"/>
            </w:pPr>
            <w:r>
              <w:t>污水处理设施建设和运营</w:t>
            </w: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207.02</w:t>
            </w:r>
          </w:p>
        </w:tc>
        <w:tc>
          <w:tcPr>
            <w:tcW w:w="1361" w:type="dxa"/>
            <w:vAlign w:val="center"/>
          </w:tcPr>
          <w:p>
            <w:pPr>
              <w:pStyle w:val="11"/>
            </w:pPr>
            <w:r>
              <w:t>207.02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207.02</w:t>
            </w:r>
          </w:p>
        </w:tc>
        <w:tc>
          <w:tcPr>
            <w:tcW w:w="1361" w:type="dxa"/>
            <w:vAlign w:val="center"/>
          </w:tcPr>
          <w:p>
            <w:pPr>
              <w:pStyle w:val="11"/>
            </w:pPr>
            <w:r>
              <w:t>207.02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207.02</w:t>
            </w:r>
          </w:p>
        </w:tc>
        <w:tc>
          <w:tcPr>
            <w:tcW w:w="1361" w:type="dxa"/>
            <w:vAlign w:val="center"/>
          </w:tcPr>
          <w:p>
            <w:pPr>
              <w:pStyle w:val="11"/>
            </w:pPr>
            <w:r>
              <w:t>207.02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14000.00</w:t>
            </w:r>
          </w:p>
        </w:tc>
        <w:tc>
          <w:tcPr>
            <w:tcW w:w="1361" w:type="dxa"/>
            <w:vAlign w:val="center"/>
          </w:tcPr>
          <w:p>
            <w:pPr>
              <w:pStyle w:val="11"/>
            </w:pPr>
          </w:p>
        </w:tc>
        <w:tc>
          <w:tcPr>
            <w:tcW w:w="1361" w:type="dxa"/>
            <w:vAlign w:val="center"/>
          </w:tcPr>
          <w:p>
            <w:pPr>
              <w:pStyle w:val="11"/>
            </w:pPr>
            <w:r>
              <w:t>14000.00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14000.00</w:t>
            </w:r>
          </w:p>
        </w:tc>
        <w:tc>
          <w:tcPr>
            <w:tcW w:w="1361" w:type="dxa"/>
            <w:vAlign w:val="center"/>
          </w:tcPr>
          <w:p>
            <w:pPr>
              <w:pStyle w:val="11"/>
            </w:pPr>
          </w:p>
        </w:tc>
        <w:tc>
          <w:tcPr>
            <w:tcW w:w="1361" w:type="dxa"/>
            <w:vAlign w:val="center"/>
          </w:tcPr>
          <w:p>
            <w:pPr>
              <w:pStyle w:val="11"/>
            </w:pPr>
            <w:r>
              <w:t>14000.00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2230199</w:t>
            </w:r>
          </w:p>
        </w:tc>
        <w:tc>
          <w:tcPr>
            <w:tcW w:w="4535" w:type="dxa"/>
            <w:vAlign w:val="center"/>
          </w:tcPr>
          <w:p>
            <w:pPr>
              <w:pStyle w:val="12"/>
            </w:pPr>
            <w:r>
              <w:t>其他解决历史遗留问题及改革成本支出</w:t>
            </w:r>
          </w:p>
        </w:tc>
        <w:tc>
          <w:tcPr>
            <w:tcW w:w="1361" w:type="dxa"/>
            <w:vAlign w:val="center"/>
          </w:tcPr>
          <w:p>
            <w:pPr>
              <w:pStyle w:val="11"/>
            </w:pPr>
            <w:r>
              <w:t>14000.00</w:t>
            </w:r>
          </w:p>
        </w:tc>
        <w:tc>
          <w:tcPr>
            <w:tcW w:w="1361" w:type="dxa"/>
            <w:vAlign w:val="center"/>
          </w:tcPr>
          <w:p>
            <w:pPr>
              <w:pStyle w:val="11"/>
            </w:pPr>
          </w:p>
        </w:tc>
        <w:tc>
          <w:tcPr>
            <w:tcW w:w="1361" w:type="dxa"/>
            <w:vAlign w:val="center"/>
          </w:tcPr>
          <w:p>
            <w:pPr>
              <w:pStyle w:val="11"/>
            </w:pPr>
            <w:r>
              <w:t>14000.00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1535.00</w:t>
            </w:r>
          </w:p>
        </w:tc>
        <w:tc>
          <w:tcPr>
            <w:tcW w:w="1361" w:type="dxa"/>
            <w:vAlign w:val="center"/>
          </w:tcPr>
          <w:p>
            <w:pPr>
              <w:pStyle w:val="11"/>
            </w:pPr>
          </w:p>
        </w:tc>
        <w:tc>
          <w:tcPr>
            <w:tcW w:w="1361" w:type="dxa"/>
            <w:vAlign w:val="center"/>
          </w:tcPr>
          <w:p>
            <w:pPr>
              <w:pStyle w:val="11"/>
            </w:pPr>
            <w:r>
              <w:t>1535.00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1535.00</w:t>
            </w:r>
          </w:p>
        </w:tc>
        <w:tc>
          <w:tcPr>
            <w:tcW w:w="1361" w:type="dxa"/>
            <w:vAlign w:val="center"/>
          </w:tcPr>
          <w:p>
            <w:pPr>
              <w:pStyle w:val="11"/>
            </w:pPr>
          </w:p>
        </w:tc>
        <w:tc>
          <w:tcPr>
            <w:tcW w:w="1361" w:type="dxa"/>
            <w:vAlign w:val="center"/>
          </w:tcPr>
          <w:p>
            <w:pPr>
              <w:pStyle w:val="11"/>
            </w:pPr>
            <w:r>
              <w:t>1535.00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1535.00</w:t>
            </w:r>
          </w:p>
        </w:tc>
        <w:tc>
          <w:tcPr>
            <w:tcW w:w="1361" w:type="dxa"/>
            <w:vAlign w:val="center"/>
          </w:tcPr>
          <w:p>
            <w:pPr>
              <w:pStyle w:val="11"/>
            </w:pPr>
          </w:p>
        </w:tc>
        <w:tc>
          <w:tcPr>
            <w:tcW w:w="1361" w:type="dxa"/>
            <w:vAlign w:val="center"/>
          </w:tcPr>
          <w:p>
            <w:pPr>
              <w:pStyle w:val="11"/>
            </w:pPr>
            <w:r>
              <w:t>1535.00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2321.00</w:t>
            </w:r>
          </w:p>
        </w:tc>
        <w:tc>
          <w:tcPr>
            <w:tcW w:w="1361" w:type="dxa"/>
            <w:vAlign w:val="center"/>
          </w:tcPr>
          <w:p>
            <w:pPr>
              <w:pStyle w:val="11"/>
            </w:pPr>
          </w:p>
        </w:tc>
        <w:tc>
          <w:tcPr>
            <w:tcW w:w="1361" w:type="dxa"/>
            <w:vAlign w:val="center"/>
          </w:tcPr>
          <w:p>
            <w:pPr>
              <w:pStyle w:val="11"/>
            </w:pPr>
            <w:r>
              <w:t>2321.00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2321.00</w:t>
            </w:r>
          </w:p>
        </w:tc>
        <w:tc>
          <w:tcPr>
            <w:tcW w:w="1361" w:type="dxa"/>
            <w:vAlign w:val="center"/>
          </w:tcPr>
          <w:p>
            <w:pPr>
              <w:pStyle w:val="11"/>
            </w:pPr>
          </w:p>
        </w:tc>
        <w:tc>
          <w:tcPr>
            <w:tcW w:w="1361" w:type="dxa"/>
            <w:vAlign w:val="center"/>
          </w:tcPr>
          <w:p>
            <w:pPr>
              <w:pStyle w:val="11"/>
            </w:pPr>
            <w:r>
              <w:t>2321.00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2321.00</w:t>
            </w:r>
          </w:p>
        </w:tc>
        <w:tc>
          <w:tcPr>
            <w:tcW w:w="1361" w:type="dxa"/>
            <w:vAlign w:val="center"/>
          </w:tcPr>
          <w:p>
            <w:pPr>
              <w:pStyle w:val="11"/>
            </w:pPr>
          </w:p>
        </w:tc>
        <w:tc>
          <w:tcPr>
            <w:tcW w:w="1361" w:type="dxa"/>
            <w:vAlign w:val="center"/>
          </w:tcPr>
          <w:p>
            <w:pPr>
              <w:pStyle w:val="11"/>
            </w:pPr>
            <w:r>
              <w:t>2321.00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11759.88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25758.50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14000.00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5.90</w:t>
            </w:r>
          </w:p>
        </w:tc>
        <w:tc>
          <w:tcPr>
            <w:tcW w:w="1474" w:type="dxa"/>
            <w:vAlign w:val="center"/>
          </w:tcPr>
          <w:p>
            <w:pPr>
              <w:pStyle w:val="11"/>
            </w:pPr>
            <w:r>
              <w:t>5.90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935.50</w:t>
            </w:r>
          </w:p>
        </w:tc>
        <w:tc>
          <w:tcPr>
            <w:tcW w:w="1474" w:type="dxa"/>
            <w:vAlign w:val="center"/>
          </w:tcPr>
          <w:p>
            <w:pPr>
              <w:pStyle w:val="11"/>
            </w:pPr>
            <w:r>
              <w:t>935.50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169.54</w:t>
            </w:r>
          </w:p>
        </w:tc>
        <w:tc>
          <w:tcPr>
            <w:tcW w:w="1474" w:type="dxa"/>
            <w:vAlign w:val="center"/>
          </w:tcPr>
          <w:p>
            <w:pPr>
              <w:pStyle w:val="11"/>
            </w:pPr>
            <w:r>
              <w:t>169.54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2255.14</w:t>
            </w:r>
          </w:p>
        </w:tc>
        <w:tc>
          <w:tcPr>
            <w:tcW w:w="1474" w:type="dxa"/>
            <w:vAlign w:val="center"/>
          </w:tcPr>
          <w:p>
            <w:pPr>
              <w:pStyle w:val="11"/>
            </w:pPr>
            <w:r>
              <w:t>2255.14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39949.19</w:t>
            </w:r>
          </w:p>
        </w:tc>
        <w:tc>
          <w:tcPr>
            <w:tcW w:w="1474" w:type="dxa"/>
            <w:vAlign w:val="center"/>
          </w:tcPr>
          <w:p>
            <w:pPr>
              <w:pStyle w:val="11"/>
            </w:pPr>
            <w:r>
              <w:t>16511.69</w:t>
            </w:r>
          </w:p>
        </w:tc>
        <w:tc>
          <w:tcPr>
            <w:tcW w:w="1474" w:type="dxa"/>
            <w:vAlign w:val="center"/>
          </w:tcPr>
          <w:p>
            <w:pPr>
              <w:pStyle w:val="11"/>
            </w:pPr>
            <w:r>
              <w:t>23437.50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207.02</w:t>
            </w:r>
          </w:p>
        </w:tc>
        <w:tc>
          <w:tcPr>
            <w:tcW w:w="1474" w:type="dxa"/>
            <w:vAlign w:val="center"/>
          </w:tcPr>
          <w:p>
            <w:pPr>
              <w:pStyle w:val="11"/>
            </w:pPr>
            <w:r>
              <w:t>207.02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14000.00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1535.00</w:t>
            </w:r>
          </w:p>
        </w:tc>
        <w:tc>
          <w:tcPr>
            <w:tcW w:w="1474" w:type="dxa"/>
            <w:vAlign w:val="center"/>
          </w:tcPr>
          <w:p>
            <w:pPr>
              <w:pStyle w:val="11"/>
            </w:pPr>
          </w:p>
        </w:tc>
        <w:tc>
          <w:tcPr>
            <w:tcW w:w="1474" w:type="dxa"/>
            <w:vAlign w:val="center"/>
          </w:tcPr>
          <w:p>
            <w:pPr>
              <w:pStyle w:val="11"/>
            </w:pPr>
            <w:r>
              <w:t>1535.00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2321.00</w:t>
            </w:r>
          </w:p>
        </w:tc>
        <w:tc>
          <w:tcPr>
            <w:tcW w:w="1474" w:type="dxa"/>
            <w:vAlign w:val="center"/>
          </w:tcPr>
          <w:p>
            <w:pPr>
              <w:pStyle w:val="11"/>
            </w:pPr>
          </w:p>
        </w:tc>
        <w:tc>
          <w:tcPr>
            <w:tcW w:w="1474" w:type="dxa"/>
            <w:vAlign w:val="center"/>
          </w:tcPr>
          <w:p>
            <w:pPr>
              <w:pStyle w:val="11"/>
            </w:pPr>
            <w:r>
              <w:t>2321.00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51518.38</w:t>
            </w:r>
          </w:p>
        </w:tc>
        <w:tc>
          <w:tcPr>
            <w:tcW w:w="3402" w:type="dxa"/>
            <w:vAlign w:val="center"/>
          </w:tcPr>
          <w:p>
            <w:pPr>
              <w:pStyle w:val="14"/>
            </w:pPr>
            <w:r>
              <w:t>本年支出合计</w:t>
            </w:r>
          </w:p>
        </w:tc>
        <w:tc>
          <w:tcPr>
            <w:tcW w:w="1474" w:type="dxa"/>
            <w:vAlign w:val="center"/>
          </w:tcPr>
          <w:p>
            <w:pPr>
              <w:pStyle w:val="15"/>
            </w:pPr>
            <w:r>
              <w:t>61378.30</w:t>
            </w:r>
          </w:p>
        </w:tc>
        <w:tc>
          <w:tcPr>
            <w:tcW w:w="1474" w:type="dxa"/>
            <w:vAlign w:val="center"/>
          </w:tcPr>
          <w:p>
            <w:pPr>
              <w:pStyle w:val="15"/>
            </w:pPr>
            <w:r>
              <w:t>20084.80</w:t>
            </w:r>
          </w:p>
        </w:tc>
        <w:tc>
          <w:tcPr>
            <w:tcW w:w="1474" w:type="dxa"/>
            <w:vAlign w:val="center"/>
          </w:tcPr>
          <w:p>
            <w:pPr>
              <w:pStyle w:val="15"/>
            </w:pPr>
            <w:r>
              <w:t>27293.50</w:t>
            </w:r>
          </w:p>
        </w:tc>
        <w:tc>
          <w:tcPr>
            <w:tcW w:w="1474" w:type="dxa"/>
            <w:vAlign w:val="center"/>
          </w:tcPr>
          <w:p>
            <w:pPr>
              <w:pStyle w:val="15"/>
            </w:pPr>
            <w:r>
              <w:t>14000.00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9859.92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8324.92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1535.00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61378.30</w:t>
            </w:r>
          </w:p>
        </w:tc>
        <w:tc>
          <w:tcPr>
            <w:tcW w:w="3402" w:type="dxa"/>
            <w:vAlign w:val="center"/>
          </w:tcPr>
          <w:p>
            <w:pPr>
              <w:pStyle w:val="14"/>
            </w:pPr>
            <w:r>
              <w:t>支出总计</w:t>
            </w:r>
          </w:p>
        </w:tc>
        <w:tc>
          <w:tcPr>
            <w:tcW w:w="1474" w:type="dxa"/>
            <w:vAlign w:val="center"/>
          </w:tcPr>
          <w:p>
            <w:pPr>
              <w:pStyle w:val="15"/>
            </w:pPr>
            <w:r>
              <w:t>61378.30</w:t>
            </w:r>
          </w:p>
        </w:tc>
        <w:tc>
          <w:tcPr>
            <w:tcW w:w="1474" w:type="dxa"/>
            <w:vAlign w:val="center"/>
          </w:tcPr>
          <w:p>
            <w:pPr>
              <w:pStyle w:val="15"/>
            </w:pPr>
            <w:r>
              <w:t>20084.80</w:t>
            </w:r>
          </w:p>
        </w:tc>
        <w:tc>
          <w:tcPr>
            <w:tcW w:w="1474" w:type="dxa"/>
            <w:vAlign w:val="center"/>
          </w:tcPr>
          <w:p>
            <w:pPr>
              <w:pStyle w:val="15"/>
            </w:pPr>
            <w:r>
              <w:t>27293.50</w:t>
            </w:r>
          </w:p>
        </w:tc>
        <w:tc>
          <w:tcPr>
            <w:tcW w:w="1474" w:type="dxa"/>
            <w:vAlign w:val="center"/>
          </w:tcPr>
          <w:p>
            <w:pPr>
              <w:pStyle w:val="15"/>
            </w:pPr>
            <w:r>
              <w:t>14000.00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20084.80</w:t>
            </w:r>
          </w:p>
        </w:tc>
        <w:tc>
          <w:tcPr>
            <w:tcW w:w="2551" w:type="dxa"/>
            <w:vAlign w:val="center"/>
          </w:tcPr>
          <w:p>
            <w:pPr>
              <w:pStyle w:val="15"/>
            </w:pPr>
            <w:r>
              <w:t>3602.45</w:t>
            </w:r>
          </w:p>
        </w:tc>
        <w:tc>
          <w:tcPr>
            <w:tcW w:w="2551" w:type="dxa"/>
            <w:vAlign w:val="center"/>
          </w:tcPr>
          <w:p>
            <w:pPr>
              <w:pStyle w:val="15"/>
            </w:pPr>
            <w:r>
              <w:t>16482.35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935.50</w:t>
            </w:r>
          </w:p>
        </w:tc>
        <w:tc>
          <w:tcPr>
            <w:tcW w:w="2551" w:type="dxa"/>
            <w:vAlign w:val="center"/>
          </w:tcPr>
          <w:p>
            <w:pPr>
              <w:pStyle w:val="11"/>
            </w:pPr>
            <w:r>
              <w:t>935.50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935.50</w:t>
            </w:r>
          </w:p>
        </w:tc>
        <w:tc>
          <w:tcPr>
            <w:tcW w:w="2551" w:type="dxa"/>
            <w:vAlign w:val="center"/>
          </w:tcPr>
          <w:p>
            <w:pPr>
              <w:pStyle w:val="11"/>
            </w:pPr>
            <w:r>
              <w:t>935.50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653.96</w:t>
            </w:r>
          </w:p>
        </w:tc>
        <w:tc>
          <w:tcPr>
            <w:tcW w:w="2551" w:type="dxa"/>
            <w:vAlign w:val="center"/>
          </w:tcPr>
          <w:p>
            <w:pPr>
              <w:pStyle w:val="11"/>
            </w:pPr>
            <w:r>
              <w:t>653.96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281.54</w:t>
            </w:r>
          </w:p>
        </w:tc>
        <w:tc>
          <w:tcPr>
            <w:tcW w:w="2551" w:type="dxa"/>
            <w:vAlign w:val="center"/>
          </w:tcPr>
          <w:p>
            <w:pPr>
              <w:pStyle w:val="11"/>
            </w:pPr>
            <w:r>
              <w:t>281.54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169.54</w:t>
            </w:r>
          </w:p>
        </w:tc>
        <w:tc>
          <w:tcPr>
            <w:tcW w:w="2551" w:type="dxa"/>
            <w:vAlign w:val="center"/>
          </w:tcPr>
          <w:p>
            <w:pPr>
              <w:pStyle w:val="11"/>
            </w:pPr>
            <w:r>
              <w:t>169.54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169.54</w:t>
            </w:r>
          </w:p>
        </w:tc>
        <w:tc>
          <w:tcPr>
            <w:tcW w:w="2551" w:type="dxa"/>
            <w:vAlign w:val="center"/>
          </w:tcPr>
          <w:p>
            <w:pPr>
              <w:pStyle w:val="11"/>
            </w:pPr>
            <w:r>
              <w:t>169.54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95.58</w:t>
            </w:r>
          </w:p>
        </w:tc>
        <w:tc>
          <w:tcPr>
            <w:tcW w:w="2551" w:type="dxa"/>
            <w:vAlign w:val="center"/>
          </w:tcPr>
          <w:p>
            <w:pPr>
              <w:pStyle w:val="11"/>
            </w:pPr>
            <w:r>
              <w:t>95.58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73.96</w:t>
            </w:r>
          </w:p>
        </w:tc>
        <w:tc>
          <w:tcPr>
            <w:tcW w:w="2551" w:type="dxa"/>
            <w:vAlign w:val="center"/>
          </w:tcPr>
          <w:p>
            <w:pPr>
              <w:pStyle w:val="11"/>
            </w:pPr>
            <w:r>
              <w:t>73.96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2255.14</w:t>
            </w:r>
          </w:p>
        </w:tc>
        <w:tc>
          <w:tcPr>
            <w:tcW w:w="2551" w:type="dxa"/>
            <w:vAlign w:val="center"/>
          </w:tcPr>
          <w:p>
            <w:pPr>
              <w:pStyle w:val="11"/>
            </w:pPr>
          </w:p>
        </w:tc>
        <w:tc>
          <w:tcPr>
            <w:tcW w:w="2551" w:type="dxa"/>
            <w:vAlign w:val="center"/>
          </w:tcPr>
          <w:p>
            <w:pPr>
              <w:pStyle w:val="11"/>
            </w:pPr>
            <w:r>
              <w:t>2255.14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2255.14</w:t>
            </w:r>
          </w:p>
        </w:tc>
        <w:tc>
          <w:tcPr>
            <w:tcW w:w="2551" w:type="dxa"/>
            <w:vAlign w:val="center"/>
          </w:tcPr>
          <w:p>
            <w:pPr>
              <w:pStyle w:val="11"/>
            </w:pPr>
          </w:p>
        </w:tc>
        <w:tc>
          <w:tcPr>
            <w:tcW w:w="2551" w:type="dxa"/>
            <w:vAlign w:val="center"/>
          </w:tcPr>
          <w:p>
            <w:pPr>
              <w:pStyle w:val="11"/>
            </w:pPr>
            <w:r>
              <w:t>2255.14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2255.14</w:t>
            </w:r>
          </w:p>
        </w:tc>
        <w:tc>
          <w:tcPr>
            <w:tcW w:w="2551" w:type="dxa"/>
            <w:vAlign w:val="center"/>
          </w:tcPr>
          <w:p>
            <w:pPr>
              <w:pStyle w:val="11"/>
            </w:pPr>
          </w:p>
        </w:tc>
        <w:tc>
          <w:tcPr>
            <w:tcW w:w="2551" w:type="dxa"/>
            <w:vAlign w:val="center"/>
          </w:tcPr>
          <w:p>
            <w:pPr>
              <w:pStyle w:val="11"/>
            </w:pPr>
            <w:r>
              <w:t>2255.14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16511.69</w:t>
            </w:r>
          </w:p>
        </w:tc>
        <w:tc>
          <w:tcPr>
            <w:tcW w:w="2551" w:type="dxa"/>
            <w:vAlign w:val="center"/>
          </w:tcPr>
          <w:p>
            <w:pPr>
              <w:pStyle w:val="11"/>
            </w:pPr>
            <w:r>
              <w:t>2290.39</w:t>
            </w:r>
          </w:p>
        </w:tc>
        <w:tc>
          <w:tcPr>
            <w:tcW w:w="2551" w:type="dxa"/>
            <w:vAlign w:val="center"/>
          </w:tcPr>
          <w:p>
            <w:pPr>
              <w:pStyle w:val="11"/>
            </w:pPr>
            <w:r>
              <w:t>14221.30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2290.39</w:t>
            </w:r>
          </w:p>
        </w:tc>
        <w:tc>
          <w:tcPr>
            <w:tcW w:w="2551" w:type="dxa"/>
            <w:vAlign w:val="center"/>
          </w:tcPr>
          <w:p>
            <w:pPr>
              <w:pStyle w:val="11"/>
            </w:pPr>
            <w:r>
              <w:t>2290.39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2290.39</w:t>
            </w:r>
          </w:p>
        </w:tc>
        <w:tc>
          <w:tcPr>
            <w:tcW w:w="2551" w:type="dxa"/>
            <w:vAlign w:val="center"/>
          </w:tcPr>
          <w:p>
            <w:pPr>
              <w:pStyle w:val="11"/>
            </w:pPr>
            <w:r>
              <w:t>2290.39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5367.99</w:t>
            </w:r>
          </w:p>
        </w:tc>
        <w:tc>
          <w:tcPr>
            <w:tcW w:w="2551" w:type="dxa"/>
            <w:vAlign w:val="center"/>
          </w:tcPr>
          <w:p>
            <w:pPr>
              <w:pStyle w:val="11"/>
            </w:pPr>
          </w:p>
        </w:tc>
        <w:tc>
          <w:tcPr>
            <w:tcW w:w="2551" w:type="dxa"/>
            <w:vAlign w:val="center"/>
          </w:tcPr>
          <w:p>
            <w:pPr>
              <w:pStyle w:val="11"/>
            </w:pPr>
            <w:r>
              <w:t>5367.99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3752.99</w:t>
            </w:r>
          </w:p>
        </w:tc>
        <w:tc>
          <w:tcPr>
            <w:tcW w:w="2551" w:type="dxa"/>
            <w:vAlign w:val="center"/>
          </w:tcPr>
          <w:p>
            <w:pPr>
              <w:pStyle w:val="11"/>
            </w:pPr>
          </w:p>
        </w:tc>
        <w:tc>
          <w:tcPr>
            <w:tcW w:w="2551" w:type="dxa"/>
            <w:vAlign w:val="center"/>
          </w:tcPr>
          <w:p>
            <w:pPr>
              <w:pStyle w:val="11"/>
            </w:pPr>
            <w:r>
              <w:t>3752.99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1615.00</w:t>
            </w:r>
          </w:p>
        </w:tc>
        <w:tc>
          <w:tcPr>
            <w:tcW w:w="2551" w:type="dxa"/>
            <w:vAlign w:val="center"/>
          </w:tcPr>
          <w:p>
            <w:pPr>
              <w:pStyle w:val="11"/>
            </w:pPr>
          </w:p>
        </w:tc>
        <w:tc>
          <w:tcPr>
            <w:tcW w:w="2551" w:type="dxa"/>
            <w:vAlign w:val="center"/>
          </w:tcPr>
          <w:p>
            <w:pPr>
              <w:pStyle w:val="11"/>
            </w:pPr>
            <w:r>
              <w:t>1615.00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8853.32</w:t>
            </w:r>
          </w:p>
        </w:tc>
        <w:tc>
          <w:tcPr>
            <w:tcW w:w="2551" w:type="dxa"/>
            <w:vAlign w:val="center"/>
          </w:tcPr>
          <w:p>
            <w:pPr>
              <w:pStyle w:val="11"/>
            </w:pPr>
          </w:p>
        </w:tc>
        <w:tc>
          <w:tcPr>
            <w:tcW w:w="2551" w:type="dxa"/>
            <w:vAlign w:val="center"/>
          </w:tcPr>
          <w:p>
            <w:pPr>
              <w:pStyle w:val="11"/>
            </w:pPr>
            <w:r>
              <w:t>8853.32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8853.32</w:t>
            </w:r>
          </w:p>
        </w:tc>
        <w:tc>
          <w:tcPr>
            <w:tcW w:w="2551" w:type="dxa"/>
            <w:vAlign w:val="center"/>
          </w:tcPr>
          <w:p>
            <w:pPr>
              <w:pStyle w:val="11"/>
            </w:pPr>
          </w:p>
        </w:tc>
        <w:tc>
          <w:tcPr>
            <w:tcW w:w="2551" w:type="dxa"/>
            <w:vAlign w:val="center"/>
          </w:tcPr>
          <w:p>
            <w:pPr>
              <w:pStyle w:val="11"/>
            </w:pPr>
            <w:r>
              <w:t>8853.32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207.02</w:t>
            </w:r>
          </w:p>
        </w:tc>
        <w:tc>
          <w:tcPr>
            <w:tcW w:w="2551" w:type="dxa"/>
            <w:vAlign w:val="center"/>
          </w:tcPr>
          <w:p>
            <w:pPr>
              <w:pStyle w:val="11"/>
            </w:pPr>
            <w:r>
              <w:t>207.02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207.02</w:t>
            </w:r>
          </w:p>
        </w:tc>
        <w:tc>
          <w:tcPr>
            <w:tcW w:w="2551" w:type="dxa"/>
            <w:vAlign w:val="center"/>
          </w:tcPr>
          <w:p>
            <w:pPr>
              <w:pStyle w:val="11"/>
            </w:pPr>
            <w:r>
              <w:t>207.02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207.02</w:t>
            </w:r>
          </w:p>
        </w:tc>
        <w:tc>
          <w:tcPr>
            <w:tcW w:w="2551" w:type="dxa"/>
            <w:vAlign w:val="center"/>
          </w:tcPr>
          <w:p>
            <w:pPr>
              <w:pStyle w:val="11"/>
            </w:pPr>
            <w:r>
              <w:t>207.02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3602.45</w:t>
            </w:r>
          </w:p>
        </w:tc>
        <w:tc>
          <w:tcPr>
            <w:tcW w:w="2551" w:type="dxa"/>
            <w:vAlign w:val="center"/>
          </w:tcPr>
          <w:p>
            <w:pPr>
              <w:pStyle w:val="15"/>
            </w:pPr>
            <w:r>
              <w:t>3482.90</w:t>
            </w:r>
          </w:p>
        </w:tc>
        <w:tc>
          <w:tcPr>
            <w:tcW w:w="2551" w:type="dxa"/>
            <w:vAlign w:val="center"/>
          </w:tcPr>
          <w:p>
            <w:pPr>
              <w:pStyle w:val="15"/>
            </w:pPr>
            <w:r>
              <w:t>119.55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2819.91</w:t>
            </w:r>
          </w:p>
        </w:tc>
        <w:tc>
          <w:tcPr>
            <w:tcW w:w="2551" w:type="dxa"/>
            <w:vAlign w:val="center"/>
          </w:tcPr>
          <w:p>
            <w:pPr>
              <w:pStyle w:val="11"/>
            </w:pPr>
            <w:r>
              <w:t>2819.91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642.98</w:t>
            </w:r>
          </w:p>
        </w:tc>
        <w:tc>
          <w:tcPr>
            <w:tcW w:w="2551" w:type="dxa"/>
            <w:vAlign w:val="center"/>
          </w:tcPr>
          <w:p>
            <w:pPr>
              <w:pStyle w:val="11"/>
            </w:pPr>
            <w:r>
              <w:t>642.98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338.49</w:t>
            </w:r>
          </w:p>
        </w:tc>
        <w:tc>
          <w:tcPr>
            <w:tcW w:w="2551" w:type="dxa"/>
            <w:vAlign w:val="center"/>
          </w:tcPr>
          <w:p>
            <w:pPr>
              <w:pStyle w:val="11"/>
            </w:pPr>
            <w:r>
              <w:t>338.49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23.02</w:t>
            </w:r>
          </w:p>
        </w:tc>
        <w:tc>
          <w:tcPr>
            <w:tcW w:w="2551" w:type="dxa"/>
            <w:vAlign w:val="center"/>
          </w:tcPr>
          <w:p>
            <w:pPr>
              <w:pStyle w:val="11"/>
            </w:pPr>
            <w:r>
              <w:t>23.02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818.02</w:t>
            </w:r>
          </w:p>
        </w:tc>
        <w:tc>
          <w:tcPr>
            <w:tcW w:w="2551" w:type="dxa"/>
            <w:vAlign w:val="center"/>
          </w:tcPr>
          <w:p>
            <w:pPr>
              <w:pStyle w:val="11"/>
            </w:pPr>
            <w:r>
              <w:t>818.02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281.54</w:t>
            </w:r>
          </w:p>
        </w:tc>
        <w:tc>
          <w:tcPr>
            <w:tcW w:w="2551" w:type="dxa"/>
            <w:vAlign w:val="center"/>
          </w:tcPr>
          <w:p>
            <w:pPr>
              <w:pStyle w:val="11"/>
            </w:pPr>
            <w:r>
              <w:t>281.54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138.01</w:t>
            </w:r>
          </w:p>
        </w:tc>
        <w:tc>
          <w:tcPr>
            <w:tcW w:w="2551" w:type="dxa"/>
            <w:vAlign w:val="center"/>
          </w:tcPr>
          <w:p>
            <w:pPr>
              <w:pStyle w:val="11"/>
            </w:pPr>
            <w:r>
              <w:t>138.01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95.58</w:t>
            </w:r>
          </w:p>
        </w:tc>
        <w:tc>
          <w:tcPr>
            <w:tcW w:w="2551" w:type="dxa"/>
            <w:vAlign w:val="center"/>
          </w:tcPr>
          <w:p>
            <w:pPr>
              <w:pStyle w:val="11"/>
            </w:pPr>
            <w:r>
              <w:t>95.58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73.96</w:t>
            </w:r>
          </w:p>
        </w:tc>
        <w:tc>
          <w:tcPr>
            <w:tcW w:w="2551" w:type="dxa"/>
            <w:vAlign w:val="center"/>
          </w:tcPr>
          <w:p>
            <w:pPr>
              <w:pStyle w:val="11"/>
            </w:pPr>
            <w:r>
              <w:t>73.96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201.29</w:t>
            </w:r>
          </w:p>
        </w:tc>
        <w:tc>
          <w:tcPr>
            <w:tcW w:w="2551" w:type="dxa"/>
            <w:vAlign w:val="center"/>
          </w:tcPr>
          <w:p>
            <w:pPr>
              <w:pStyle w:val="11"/>
            </w:pPr>
            <w:r>
              <w:t>201.29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207.02</w:t>
            </w:r>
          </w:p>
        </w:tc>
        <w:tc>
          <w:tcPr>
            <w:tcW w:w="2551" w:type="dxa"/>
            <w:vAlign w:val="center"/>
          </w:tcPr>
          <w:p>
            <w:pPr>
              <w:pStyle w:val="11"/>
            </w:pPr>
            <w:r>
              <w:t>207.02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119.55</w:t>
            </w:r>
          </w:p>
        </w:tc>
        <w:tc>
          <w:tcPr>
            <w:tcW w:w="2551" w:type="dxa"/>
            <w:vAlign w:val="center"/>
          </w:tcPr>
          <w:p>
            <w:pPr>
              <w:pStyle w:val="11"/>
            </w:pPr>
          </w:p>
        </w:tc>
        <w:tc>
          <w:tcPr>
            <w:tcW w:w="2551" w:type="dxa"/>
            <w:vAlign w:val="center"/>
          </w:tcPr>
          <w:p>
            <w:pPr>
              <w:pStyle w:val="11"/>
            </w:pPr>
            <w:r>
              <w:t>119.55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41.04</w:t>
            </w:r>
          </w:p>
        </w:tc>
        <w:tc>
          <w:tcPr>
            <w:tcW w:w="2551" w:type="dxa"/>
            <w:vAlign w:val="center"/>
          </w:tcPr>
          <w:p>
            <w:pPr>
              <w:pStyle w:val="11"/>
            </w:pPr>
          </w:p>
        </w:tc>
        <w:tc>
          <w:tcPr>
            <w:tcW w:w="2551" w:type="dxa"/>
            <w:vAlign w:val="center"/>
          </w:tcPr>
          <w:p>
            <w:pPr>
              <w:pStyle w:val="11"/>
            </w:pPr>
            <w:r>
              <w:t>41.04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18.10</w:t>
            </w:r>
          </w:p>
        </w:tc>
        <w:tc>
          <w:tcPr>
            <w:tcW w:w="2551" w:type="dxa"/>
            <w:vAlign w:val="center"/>
          </w:tcPr>
          <w:p>
            <w:pPr>
              <w:pStyle w:val="11"/>
            </w:pPr>
          </w:p>
        </w:tc>
        <w:tc>
          <w:tcPr>
            <w:tcW w:w="2551" w:type="dxa"/>
            <w:vAlign w:val="center"/>
          </w:tcPr>
          <w:p>
            <w:pPr>
              <w:pStyle w:val="11"/>
            </w:pPr>
            <w:r>
              <w:t>18.10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16.05</w:t>
            </w:r>
          </w:p>
        </w:tc>
        <w:tc>
          <w:tcPr>
            <w:tcW w:w="2551" w:type="dxa"/>
            <w:vAlign w:val="center"/>
          </w:tcPr>
          <w:p>
            <w:pPr>
              <w:pStyle w:val="11"/>
            </w:pPr>
          </w:p>
        </w:tc>
        <w:tc>
          <w:tcPr>
            <w:tcW w:w="2551" w:type="dxa"/>
            <w:vAlign w:val="center"/>
          </w:tcPr>
          <w:p>
            <w:pPr>
              <w:pStyle w:val="11"/>
            </w:pPr>
            <w:r>
              <w:t>16.05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6.54</w:t>
            </w:r>
          </w:p>
        </w:tc>
        <w:tc>
          <w:tcPr>
            <w:tcW w:w="2551" w:type="dxa"/>
            <w:vAlign w:val="center"/>
          </w:tcPr>
          <w:p>
            <w:pPr>
              <w:pStyle w:val="11"/>
            </w:pPr>
          </w:p>
        </w:tc>
        <w:tc>
          <w:tcPr>
            <w:tcW w:w="2551" w:type="dxa"/>
            <w:vAlign w:val="center"/>
          </w:tcPr>
          <w:p>
            <w:pPr>
              <w:pStyle w:val="11"/>
            </w:pPr>
            <w:r>
              <w:t>6.54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12.76</w:t>
            </w:r>
          </w:p>
        </w:tc>
        <w:tc>
          <w:tcPr>
            <w:tcW w:w="2551" w:type="dxa"/>
            <w:vAlign w:val="center"/>
          </w:tcPr>
          <w:p>
            <w:pPr>
              <w:pStyle w:val="11"/>
            </w:pPr>
          </w:p>
        </w:tc>
        <w:tc>
          <w:tcPr>
            <w:tcW w:w="2551" w:type="dxa"/>
            <w:vAlign w:val="center"/>
          </w:tcPr>
          <w:p>
            <w:pPr>
              <w:pStyle w:val="11"/>
            </w:pPr>
            <w:r>
              <w:t>12.76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662.99</w:t>
            </w:r>
          </w:p>
        </w:tc>
        <w:tc>
          <w:tcPr>
            <w:tcW w:w="2551" w:type="dxa"/>
            <w:vAlign w:val="center"/>
          </w:tcPr>
          <w:p>
            <w:pPr>
              <w:pStyle w:val="11"/>
            </w:pPr>
            <w:r>
              <w:t>662.99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653.96</w:t>
            </w:r>
          </w:p>
        </w:tc>
        <w:tc>
          <w:tcPr>
            <w:tcW w:w="2551" w:type="dxa"/>
            <w:vAlign w:val="center"/>
          </w:tcPr>
          <w:p>
            <w:pPr>
              <w:pStyle w:val="11"/>
            </w:pPr>
            <w:r>
              <w:t>653.96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9.03</w:t>
            </w:r>
          </w:p>
        </w:tc>
        <w:tc>
          <w:tcPr>
            <w:tcW w:w="2551" w:type="dxa"/>
            <w:vAlign w:val="center"/>
          </w:tcPr>
          <w:p>
            <w:pPr>
              <w:pStyle w:val="11"/>
            </w:pPr>
            <w:r>
              <w:t>9.03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27293.50</w:t>
            </w:r>
          </w:p>
        </w:tc>
        <w:tc>
          <w:tcPr>
            <w:tcW w:w="2551" w:type="dxa"/>
            <w:vAlign w:val="center"/>
          </w:tcPr>
          <w:p>
            <w:pPr>
              <w:pStyle w:val="15"/>
            </w:pPr>
          </w:p>
        </w:tc>
        <w:tc>
          <w:tcPr>
            <w:tcW w:w="2551" w:type="dxa"/>
            <w:vAlign w:val="center"/>
          </w:tcPr>
          <w:p>
            <w:pPr>
              <w:pStyle w:val="15"/>
            </w:pPr>
            <w:r>
              <w:t>27293.50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23437.50</w:t>
            </w:r>
          </w:p>
        </w:tc>
        <w:tc>
          <w:tcPr>
            <w:tcW w:w="2551" w:type="dxa"/>
            <w:vAlign w:val="center"/>
          </w:tcPr>
          <w:p>
            <w:pPr>
              <w:pStyle w:val="11"/>
            </w:pPr>
          </w:p>
        </w:tc>
        <w:tc>
          <w:tcPr>
            <w:tcW w:w="2551" w:type="dxa"/>
            <w:vAlign w:val="center"/>
          </w:tcPr>
          <w:p>
            <w:pPr>
              <w:pStyle w:val="11"/>
            </w:pPr>
            <w:r>
              <w:t>23437.50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22537.50</w:t>
            </w:r>
          </w:p>
        </w:tc>
        <w:tc>
          <w:tcPr>
            <w:tcW w:w="2551" w:type="dxa"/>
            <w:vAlign w:val="center"/>
          </w:tcPr>
          <w:p>
            <w:pPr>
              <w:pStyle w:val="11"/>
            </w:pPr>
          </w:p>
        </w:tc>
        <w:tc>
          <w:tcPr>
            <w:tcW w:w="2551" w:type="dxa"/>
            <w:vAlign w:val="center"/>
          </w:tcPr>
          <w:p>
            <w:pPr>
              <w:pStyle w:val="11"/>
            </w:pPr>
            <w:r>
              <w:t>22537.50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18090.83</w:t>
            </w:r>
          </w:p>
        </w:tc>
        <w:tc>
          <w:tcPr>
            <w:tcW w:w="2551" w:type="dxa"/>
            <w:vAlign w:val="center"/>
          </w:tcPr>
          <w:p>
            <w:pPr>
              <w:pStyle w:val="11"/>
            </w:pPr>
          </w:p>
        </w:tc>
        <w:tc>
          <w:tcPr>
            <w:tcW w:w="2551" w:type="dxa"/>
            <w:vAlign w:val="center"/>
          </w:tcPr>
          <w:p>
            <w:pPr>
              <w:pStyle w:val="11"/>
            </w:pPr>
            <w:r>
              <w:t>18090.83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4429.67</w:t>
            </w:r>
          </w:p>
        </w:tc>
        <w:tc>
          <w:tcPr>
            <w:tcW w:w="2551" w:type="dxa"/>
            <w:vAlign w:val="center"/>
          </w:tcPr>
          <w:p>
            <w:pPr>
              <w:pStyle w:val="11"/>
            </w:pPr>
          </w:p>
        </w:tc>
        <w:tc>
          <w:tcPr>
            <w:tcW w:w="2551" w:type="dxa"/>
            <w:vAlign w:val="center"/>
          </w:tcPr>
          <w:p>
            <w:pPr>
              <w:pStyle w:val="11"/>
            </w:pPr>
            <w:r>
              <w:t>4429.67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21214</w:t>
            </w:r>
          </w:p>
        </w:tc>
        <w:tc>
          <w:tcPr>
            <w:tcW w:w="4535" w:type="dxa"/>
            <w:vAlign w:val="center"/>
          </w:tcPr>
          <w:p>
            <w:pPr>
              <w:pStyle w:val="12"/>
            </w:pPr>
            <w:r>
              <w:t>污水处理费安排的支出</w:t>
            </w:r>
          </w:p>
        </w:tc>
        <w:tc>
          <w:tcPr>
            <w:tcW w:w="2551" w:type="dxa"/>
            <w:vAlign w:val="center"/>
          </w:tcPr>
          <w:p>
            <w:pPr>
              <w:pStyle w:val="11"/>
            </w:pPr>
            <w:r>
              <w:t>900.00</w:t>
            </w:r>
          </w:p>
        </w:tc>
        <w:tc>
          <w:tcPr>
            <w:tcW w:w="2551" w:type="dxa"/>
            <w:vAlign w:val="center"/>
          </w:tcPr>
          <w:p>
            <w:pPr>
              <w:pStyle w:val="11"/>
            </w:pPr>
          </w:p>
        </w:tc>
        <w:tc>
          <w:tcPr>
            <w:tcW w:w="2551" w:type="dxa"/>
            <w:vAlign w:val="center"/>
          </w:tcPr>
          <w:p>
            <w:pPr>
              <w:pStyle w:val="11"/>
            </w:pPr>
            <w:r>
              <w:t>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2121401</w:t>
            </w:r>
          </w:p>
        </w:tc>
        <w:tc>
          <w:tcPr>
            <w:tcW w:w="4535" w:type="dxa"/>
            <w:vAlign w:val="center"/>
          </w:tcPr>
          <w:p>
            <w:pPr>
              <w:pStyle w:val="12"/>
            </w:pPr>
            <w:r>
              <w:t>污水处理设施建设和运营</w:t>
            </w:r>
          </w:p>
        </w:tc>
        <w:tc>
          <w:tcPr>
            <w:tcW w:w="2551" w:type="dxa"/>
            <w:vAlign w:val="center"/>
          </w:tcPr>
          <w:p>
            <w:pPr>
              <w:pStyle w:val="11"/>
            </w:pPr>
            <w:r>
              <w:t>900.00</w:t>
            </w:r>
          </w:p>
        </w:tc>
        <w:tc>
          <w:tcPr>
            <w:tcW w:w="2551" w:type="dxa"/>
            <w:vAlign w:val="center"/>
          </w:tcPr>
          <w:p>
            <w:pPr>
              <w:pStyle w:val="11"/>
            </w:pPr>
          </w:p>
        </w:tc>
        <w:tc>
          <w:tcPr>
            <w:tcW w:w="2551" w:type="dxa"/>
            <w:vAlign w:val="center"/>
          </w:tcPr>
          <w:p>
            <w:pPr>
              <w:pStyle w:val="11"/>
            </w:pPr>
            <w:r>
              <w:t>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1535.00</w:t>
            </w:r>
          </w:p>
        </w:tc>
        <w:tc>
          <w:tcPr>
            <w:tcW w:w="2551" w:type="dxa"/>
            <w:vAlign w:val="center"/>
          </w:tcPr>
          <w:p>
            <w:pPr>
              <w:pStyle w:val="11"/>
            </w:pPr>
          </w:p>
        </w:tc>
        <w:tc>
          <w:tcPr>
            <w:tcW w:w="2551"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1535.00</w:t>
            </w:r>
          </w:p>
        </w:tc>
        <w:tc>
          <w:tcPr>
            <w:tcW w:w="2551" w:type="dxa"/>
            <w:vAlign w:val="center"/>
          </w:tcPr>
          <w:p>
            <w:pPr>
              <w:pStyle w:val="11"/>
            </w:pPr>
          </w:p>
        </w:tc>
        <w:tc>
          <w:tcPr>
            <w:tcW w:w="2551"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1535.00</w:t>
            </w:r>
          </w:p>
        </w:tc>
        <w:tc>
          <w:tcPr>
            <w:tcW w:w="2551" w:type="dxa"/>
            <w:vAlign w:val="center"/>
          </w:tcPr>
          <w:p>
            <w:pPr>
              <w:pStyle w:val="11"/>
            </w:pPr>
          </w:p>
        </w:tc>
        <w:tc>
          <w:tcPr>
            <w:tcW w:w="2551" w:type="dxa"/>
            <w:vAlign w:val="center"/>
          </w:tcPr>
          <w:p>
            <w:pPr>
              <w:pStyle w:val="11"/>
            </w:pPr>
            <w:r>
              <w:t>1535.00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2321.00</w:t>
            </w:r>
          </w:p>
        </w:tc>
        <w:tc>
          <w:tcPr>
            <w:tcW w:w="2551" w:type="dxa"/>
            <w:vAlign w:val="center"/>
          </w:tcPr>
          <w:p>
            <w:pPr>
              <w:pStyle w:val="11"/>
            </w:pPr>
          </w:p>
        </w:tc>
        <w:tc>
          <w:tcPr>
            <w:tcW w:w="2551" w:type="dxa"/>
            <w:vAlign w:val="center"/>
          </w:tcPr>
          <w:p>
            <w:pPr>
              <w:pStyle w:val="11"/>
            </w:pPr>
            <w:r>
              <w:t>2321.00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2321.00</w:t>
            </w:r>
          </w:p>
        </w:tc>
        <w:tc>
          <w:tcPr>
            <w:tcW w:w="2551" w:type="dxa"/>
            <w:vAlign w:val="center"/>
          </w:tcPr>
          <w:p>
            <w:pPr>
              <w:pStyle w:val="11"/>
            </w:pPr>
          </w:p>
        </w:tc>
        <w:tc>
          <w:tcPr>
            <w:tcW w:w="2551" w:type="dxa"/>
            <w:vAlign w:val="center"/>
          </w:tcPr>
          <w:p>
            <w:pPr>
              <w:pStyle w:val="11"/>
            </w:pPr>
            <w:r>
              <w:t>2321.00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2321.00</w:t>
            </w:r>
          </w:p>
        </w:tc>
        <w:tc>
          <w:tcPr>
            <w:tcW w:w="2551" w:type="dxa"/>
            <w:vAlign w:val="center"/>
          </w:tcPr>
          <w:p>
            <w:pPr>
              <w:pStyle w:val="11"/>
            </w:pPr>
          </w:p>
        </w:tc>
        <w:tc>
          <w:tcPr>
            <w:tcW w:w="2551" w:type="dxa"/>
            <w:vAlign w:val="center"/>
          </w:tcPr>
          <w:p>
            <w:pPr>
              <w:pStyle w:val="11"/>
            </w:pPr>
            <w:r>
              <w:t>2321.00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14000.00</w:t>
            </w:r>
          </w:p>
        </w:tc>
        <w:tc>
          <w:tcPr>
            <w:tcW w:w="2551" w:type="dxa"/>
            <w:vAlign w:val="center"/>
          </w:tcPr>
          <w:p>
            <w:pPr>
              <w:pStyle w:val="15"/>
            </w:pPr>
          </w:p>
        </w:tc>
        <w:tc>
          <w:tcPr>
            <w:tcW w:w="2551" w:type="dxa"/>
            <w:vAlign w:val="center"/>
          </w:tcPr>
          <w:p>
            <w:pPr>
              <w:pStyle w:val="15"/>
            </w:pPr>
            <w:r>
              <w:t>14000.00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14000.00</w:t>
            </w:r>
          </w:p>
        </w:tc>
        <w:tc>
          <w:tcPr>
            <w:tcW w:w="2551" w:type="dxa"/>
            <w:vAlign w:val="center"/>
          </w:tcPr>
          <w:p>
            <w:pPr>
              <w:pStyle w:val="11"/>
            </w:pPr>
          </w:p>
        </w:tc>
        <w:tc>
          <w:tcPr>
            <w:tcW w:w="2551" w:type="dxa"/>
            <w:vAlign w:val="center"/>
          </w:tcPr>
          <w:p>
            <w:pPr>
              <w:pStyle w:val="11"/>
            </w:pPr>
            <w:r>
              <w:t>14000.00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14000.00</w:t>
            </w:r>
          </w:p>
        </w:tc>
        <w:tc>
          <w:tcPr>
            <w:tcW w:w="2551" w:type="dxa"/>
            <w:vAlign w:val="center"/>
          </w:tcPr>
          <w:p>
            <w:pPr>
              <w:pStyle w:val="11"/>
            </w:pPr>
          </w:p>
        </w:tc>
        <w:tc>
          <w:tcPr>
            <w:tcW w:w="2551" w:type="dxa"/>
            <w:vAlign w:val="center"/>
          </w:tcPr>
          <w:p>
            <w:pPr>
              <w:pStyle w:val="11"/>
            </w:pPr>
            <w:r>
              <w:t>14000.00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2230199</w:t>
            </w:r>
          </w:p>
        </w:tc>
        <w:tc>
          <w:tcPr>
            <w:tcW w:w="4535" w:type="dxa"/>
            <w:vAlign w:val="center"/>
          </w:tcPr>
          <w:p>
            <w:pPr>
              <w:pStyle w:val="12"/>
            </w:pPr>
            <w:r>
              <w:t>其他解决历史遗留问题及改革成本支出</w:t>
            </w:r>
          </w:p>
        </w:tc>
        <w:tc>
          <w:tcPr>
            <w:tcW w:w="2551" w:type="dxa"/>
            <w:vAlign w:val="center"/>
          </w:tcPr>
          <w:p>
            <w:pPr>
              <w:pStyle w:val="11"/>
            </w:pPr>
            <w:r>
              <w:t>14000.00</w:t>
            </w:r>
          </w:p>
        </w:tc>
        <w:tc>
          <w:tcPr>
            <w:tcW w:w="2551" w:type="dxa"/>
            <w:vAlign w:val="center"/>
          </w:tcPr>
          <w:p>
            <w:pPr>
              <w:pStyle w:val="11"/>
            </w:pPr>
          </w:p>
        </w:tc>
        <w:tc>
          <w:tcPr>
            <w:tcW w:w="2551" w:type="dxa"/>
            <w:vAlign w:val="center"/>
          </w:tcPr>
          <w:p>
            <w:pPr>
              <w:pStyle w:val="11"/>
            </w:pPr>
            <w:r>
              <w:t>14000.00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vAlign w:val="center"/>
          </w:tcPr>
          <w:p>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vAlign w:val="center"/>
          </w:tcPr>
          <w:p>
            <w:pPr>
              <w:pStyle w:val="15"/>
              <w:ind w:firstLine="0" w:firstLineChars="0"/>
              <w:rPr>
                <w:rFonts w:hint="eastAsia" w:ascii="方正书宋_GBK" w:hAnsi="方正书宋_GBK" w:eastAsia="方正书宋_GBK" w:cs="方正书宋_GBK"/>
                <w:b/>
                <w:sz w:val="21"/>
                <w:szCs w:val="24"/>
                <w:lang w:val="en-US" w:eastAsia="zh-CN" w:bidi="ar-SA"/>
              </w:rPr>
            </w:pPr>
            <w:r>
              <w:t>0.5</w:t>
            </w:r>
            <w:r>
              <w:rPr>
                <w:rFonts w:hint="eastAsia"/>
                <w:lang w:val="en-US" w:eastAsia="zh-CN"/>
              </w:rPr>
              <w:t>6</w:t>
            </w:r>
          </w:p>
        </w:tc>
        <w:tc>
          <w:tcPr>
            <w:tcW w:w="2381" w:type="dxa"/>
            <w:vAlign w:val="center"/>
          </w:tcPr>
          <w:p>
            <w:pPr>
              <w:pStyle w:val="15"/>
              <w:ind w:firstLine="0" w:firstLineChars="0"/>
              <w:rPr>
                <w:rFonts w:hint="eastAsia" w:ascii="方正书宋_GBK" w:hAnsi="方正书宋_GBK" w:eastAsia="方正书宋_GBK" w:cs="方正书宋_GBK"/>
                <w:b/>
                <w:sz w:val="21"/>
                <w:szCs w:val="24"/>
                <w:lang w:val="en-US" w:eastAsia="zh-CN" w:bidi="ar-SA"/>
              </w:rPr>
            </w:pPr>
            <w:r>
              <w:t>0.5</w:t>
            </w:r>
            <w:r>
              <w:rPr>
                <w:rFonts w:hint="eastAsia"/>
                <w:lang w:val="en-US" w:eastAsia="zh-CN"/>
              </w:rPr>
              <w:t>6</w:t>
            </w: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0.5</w:t>
            </w:r>
            <w:r>
              <w:rPr>
                <w:rFonts w:hint="eastAsia"/>
                <w:lang w:val="en-US" w:eastAsia="zh-CN"/>
              </w:rPr>
              <w:t>6</w:t>
            </w:r>
          </w:p>
        </w:tc>
        <w:tc>
          <w:tcPr>
            <w:tcW w:w="2381"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0.5</w:t>
            </w:r>
            <w:r>
              <w:rPr>
                <w:rFonts w:hint="eastAsia"/>
                <w:lang w:val="en-US" w:eastAsia="zh-CN"/>
              </w:rPr>
              <w:t>6</w:t>
            </w: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石家庄市藁城区城市管理综合行政执法局本级2025年单位预算信息公开情况说明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按照《中华人民共和国预算法》、《地方预决算公开操作规程》和《关于进一步推进预算公开工作的实施意见》规定，现将石家庄市藁城区城市管理综合行政执法局本级2025年单位预算公开如下：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市政管理、环境管理、交通管理、应急管理和城市规划实施管理等。具体实施范围包括：城市道路、桥梁、照明、供水、排水、燃气、供热、污水和垃圾处理等市政公用设施运行管理、城市容貌和环境卫生管理、城市园林绿化管理等方面的全部工作；区政府依法确定的与城市管理密切相关、需要纳入统一管理的公共空间秩序管理、违法建设治理、环境保护管理、交通管理、应急管理等方面的部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石家庄市藁城区城市管理综合行政执法局本级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61378.30万元，其中：一般公共预算收入11759.88万元，基金预算收入25758.50万元，国有资本经营预算收入14000.00万元，财政专户核拨收入0.00万元，单位资金收入0.00万元，上年结转结余9859.92万元。</w:t>
      </w:r>
    </w:p>
    <w:p>
      <w:pPr>
        <w:pStyle w:val="18"/>
      </w:pPr>
      <w:r>
        <w:t>2、支出说明</w:t>
      </w:r>
    </w:p>
    <w:p>
      <w:pPr>
        <w:pStyle w:val="18"/>
      </w:pPr>
      <w:r>
        <w:t>收支预算总表支出栏、基本支出表、项目支出表按经济分类和支出功能分类科目编制，反映石家庄市藁城区城市管理综合行政执法局本级年度单位预算中支出预算的总体情况。2025年支出预算61378.30万元，其中基本支出3602.45万元，包括人员经费3482.90万元和日常公用经费119.55万元；项目支出57775.85万元，主要为环境卫生维护支出4851.18万元，市容管理执法支出3963.87万元，市政设施维护支出985.36万元，园林绿地维护支出2789.36万元，垃圾处理支出1630.38万元，专项债券付息支出2321万元，农村地区“双代”补贴支出2255.14万元，污水处理归还旧欠支出16950万元，污水处理PPP项目运行经费支出1500万元，农业农村生态环境支出4504.63万元，燃气安全支出1908.67万元，城区防涝排水设施建设工程支出2256.59万元，城市小街小巷基础设施建设提升支出5928.69万元。</w:t>
      </w:r>
    </w:p>
    <w:p>
      <w:pPr>
        <w:pStyle w:val="18"/>
      </w:pPr>
      <w:r>
        <w:t>3、比上年增减情况</w:t>
      </w:r>
    </w:p>
    <w:p>
      <w:pPr>
        <w:pStyle w:val="18"/>
      </w:pPr>
      <w:r>
        <w:t>2025年预算收支安排61378.30万元，较2024年预算减少25835.40万元，其中：基本支出增加62.98万元，主要为主要是人员增加，相应增加人员经费和日常公用经费。项目支出减少25898.38万元，主要为主要是减少了预算项目；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2025年，我单位机关运行经费共计安排119.55万元，主要用于日常维修、办公用房水电费、办公用房取暖费、办公用房物业管理费等日常运行支出。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5</w:t>
      </w:r>
      <w:r>
        <w:t>年，财政拨款“三公”经费预算安排0.5</w:t>
      </w:r>
      <w:r>
        <w:rPr>
          <w:rFonts w:hint="eastAsia"/>
          <w:lang w:val="en-US" w:eastAsia="zh-CN"/>
        </w:rPr>
        <w:t>6</w:t>
      </w:r>
      <w:r>
        <w:t>万元，其中：因公出国（境）费0万元，与上年持平，无增减变化；公务用车购置及运维费0万元（其中：公务用车购置费0万元，与上年持平，无增减变化；公务用车运行维护费0万元，与上年持平，无增减变化)；公务接待费0.5</w:t>
      </w:r>
      <w:r>
        <w:rPr>
          <w:rFonts w:hint="eastAsia"/>
          <w:lang w:val="en-US" w:eastAsia="zh-CN"/>
        </w:rPr>
        <w:t>6</w:t>
      </w:r>
      <w:r>
        <w:t>万元，较上年减少0.0</w:t>
      </w:r>
      <w:r>
        <w:rPr>
          <w:rFonts w:hint="eastAsia"/>
          <w:lang w:val="en-US" w:eastAsia="zh-CN"/>
        </w:rPr>
        <w:t>1</w:t>
      </w:r>
      <w:r>
        <w:t>万元，原因是为严格执行中央八项规定。“三公”经费与上年相比减少0.0</w:t>
      </w:r>
      <w:r>
        <w:rPr>
          <w:rFonts w:hint="eastAsia"/>
          <w:lang w:val="en-US" w:eastAsia="zh-CN"/>
        </w:rPr>
        <w:t>1</w:t>
      </w:r>
      <w:r>
        <w:t>万元，原因是为严格执行中央八项规定。</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1、2020年生活垃圾应急处理服务费（2022）绩效目标表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13010925P00001810004P</w:t>
            </w:r>
          </w:p>
        </w:tc>
        <w:tc>
          <w:tcPr>
            <w:tcW w:w="2835" w:type="dxa"/>
            <w:vAlign w:val="center"/>
          </w:tcPr>
          <w:p>
            <w:pPr>
              <w:pStyle w:val="10"/>
            </w:pPr>
            <w:r>
              <w:t>项目名称</w:t>
            </w:r>
          </w:p>
        </w:tc>
        <w:tc>
          <w:tcPr>
            <w:tcW w:w="6095" w:type="dxa"/>
            <w:gridSpan w:val="3"/>
            <w:vAlign w:val="center"/>
          </w:tcPr>
          <w:p>
            <w:pPr>
              <w:pStyle w:val="12"/>
            </w:pPr>
            <w:r>
              <w:t>2020年生活垃圾应急处理服务费（2022）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316.79</w:t>
            </w:r>
          </w:p>
        </w:tc>
        <w:tc>
          <w:tcPr>
            <w:tcW w:w="2835" w:type="dxa"/>
            <w:vAlign w:val="center"/>
          </w:tcPr>
          <w:p>
            <w:pPr>
              <w:pStyle w:val="10"/>
            </w:pPr>
            <w:r>
              <w:t>其中：财政    资金</w:t>
            </w:r>
          </w:p>
        </w:tc>
        <w:tc>
          <w:tcPr>
            <w:tcW w:w="2551" w:type="dxa"/>
            <w:vAlign w:val="center"/>
          </w:tcPr>
          <w:p>
            <w:pPr>
              <w:pStyle w:val="12"/>
            </w:pPr>
            <w:r>
              <w:t>316.79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预算资金总计316.78万元，用于生活垃圾通过机械分选、筛分、破碎等生产线流程，完成生活垃圾的减量化、无害化、资源化处理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190.07</w:t>
            </w:r>
          </w:p>
        </w:tc>
        <w:tc>
          <w:tcPr>
            <w:tcW w:w="2551" w:type="dxa"/>
            <w:vAlign w:val="center"/>
          </w:tcPr>
          <w:p>
            <w:pPr>
              <w:pStyle w:val="13"/>
            </w:pPr>
            <w:r>
              <w:t>285.11</w:t>
            </w:r>
          </w:p>
        </w:tc>
        <w:tc>
          <w:tcPr>
            <w:tcW w:w="3544" w:type="dxa"/>
            <w:gridSpan w:val="2"/>
            <w:vAlign w:val="center"/>
          </w:tcPr>
          <w:p>
            <w:pPr>
              <w:pStyle w:val="13"/>
            </w:pPr>
            <w:r>
              <w:t>316.79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1.通过完成生活垃圾应急处理，达到生活垃圾的减量化、无害化、资源化处理。</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日处理规模</w:t>
            </w:r>
          </w:p>
        </w:tc>
        <w:tc>
          <w:tcPr>
            <w:tcW w:w="5386" w:type="dxa"/>
            <w:vAlign w:val="center"/>
          </w:tcPr>
          <w:p>
            <w:pPr>
              <w:pStyle w:val="12"/>
            </w:pPr>
            <w:r>
              <w:t>每日处理的垃圾量</w:t>
            </w:r>
          </w:p>
        </w:tc>
        <w:tc>
          <w:tcPr>
            <w:tcW w:w="2268" w:type="dxa"/>
            <w:vAlign w:val="center"/>
          </w:tcPr>
          <w:p>
            <w:pPr>
              <w:pStyle w:val="12"/>
            </w:pPr>
            <w:r>
              <w:t>450吨</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生活垃圾无害化处理率</w:t>
            </w:r>
          </w:p>
        </w:tc>
        <w:tc>
          <w:tcPr>
            <w:tcW w:w="5386" w:type="dxa"/>
            <w:vAlign w:val="center"/>
          </w:tcPr>
          <w:p>
            <w:pPr>
              <w:pStyle w:val="12"/>
            </w:pPr>
            <w:r>
              <w:t>生活垃圾无害化处理能量占总处理数量的比率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生活垃圾及时处理率</w:t>
            </w:r>
          </w:p>
        </w:tc>
        <w:tc>
          <w:tcPr>
            <w:tcW w:w="5386" w:type="dxa"/>
            <w:vAlign w:val="center"/>
          </w:tcPr>
          <w:p>
            <w:pPr>
              <w:pStyle w:val="12"/>
            </w:pPr>
            <w:r>
              <w:t>每日处理生活垃圾数量占每日进场生活垃圾数量的比率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生活垃圾处理服务费</w:t>
            </w:r>
          </w:p>
        </w:tc>
        <w:tc>
          <w:tcPr>
            <w:tcW w:w="5386" w:type="dxa"/>
            <w:vAlign w:val="center"/>
          </w:tcPr>
          <w:p>
            <w:pPr>
              <w:pStyle w:val="12"/>
            </w:pPr>
            <w:r>
              <w:t>生活垃圾处理服务费</w:t>
            </w:r>
          </w:p>
        </w:tc>
        <w:tc>
          <w:tcPr>
            <w:tcW w:w="2268" w:type="dxa"/>
            <w:vAlign w:val="center"/>
          </w:tcPr>
          <w:p>
            <w:pPr>
              <w:pStyle w:val="12"/>
            </w:pPr>
            <w:r>
              <w:t>≤72元/吨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促进城市可持续发展</w:t>
            </w:r>
          </w:p>
        </w:tc>
        <w:tc>
          <w:tcPr>
            <w:tcW w:w="5386" w:type="dxa"/>
            <w:vAlign w:val="center"/>
          </w:tcPr>
          <w:p>
            <w:pPr>
              <w:pStyle w:val="12"/>
            </w:pPr>
            <w:r>
              <w:t>生活垃圾无害化处理，保护城市生态环境，保护水土资源不被污染，促进城市可持续发展。</w:t>
            </w:r>
          </w:p>
        </w:tc>
        <w:tc>
          <w:tcPr>
            <w:tcW w:w="2268" w:type="dxa"/>
            <w:vAlign w:val="center"/>
          </w:tcPr>
          <w:p>
            <w:pPr>
              <w:pStyle w:val="12"/>
            </w:pPr>
            <w:r>
              <w:t>生活垃圾无害化处理，保护城市生态环境，保护水土资源不被污染，促进城市可持续发展。</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2、2021年渗滤液应急处理费用绩效目标表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13010925P00000810533Y</w:t>
            </w:r>
          </w:p>
        </w:tc>
        <w:tc>
          <w:tcPr>
            <w:tcW w:w="2835" w:type="dxa"/>
            <w:vAlign w:val="center"/>
          </w:tcPr>
          <w:p>
            <w:pPr>
              <w:pStyle w:val="10"/>
            </w:pPr>
            <w:r>
              <w:t>项目名称</w:t>
            </w:r>
          </w:p>
        </w:tc>
        <w:tc>
          <w:tcPr>
            <w:tcW w:w="6095" w:type="dxa"/>
            <w:gridSpan w:val="3"/>
            <w:vAlign w:val="center"/>
          </w:tcPr>
          <w:p>
            <w:pPr>
              <w:pStyle w:val="12"/>
            </w:pPr>
            <w:r>
              <w:t>2021年渗滤液应急处理费用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资金预算总数10万元，用于处理垃圾在填埋和堆放过程中产生的渗滤液，能回收利用的废水尽可能回收利用，同时不产生二次污染。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1.通过处理垃圾在填埋和堆放过程中产生的渗滤液，对积存的渗滤液进行应急处理，能回收利用的废水尽可能回收利用，同时不产生二次污染，减轻填埋场二号库的渗滤液存量，降低外溢风险。</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2021年渗滤液处理数量</w:t>
            </w:r>
          </w:p>
        </w:tc>
        <w:tc>
          <w:tcPr>
            <w:tcW w:w="5386" w:type="dxa"/>
            <w:vAlign w:val="center"/>
          </w:tcPr>
          <w:p>
            <w:pPr>
              <w:pStyle w:val="12"/>
            </w:pPr>
            <w:r>
              <w:t>2021年渗滤液处理完成净水数量</w:t>
            </w:r>
          </w:p>
        </w:tc>
        <w:tc>
          <w:tcPr>
            <w:tcW w:w="2268" w:type="dxa"/>
            <w:vAlign w:val="center"/>
          </w:tcPr>
          <w:p>
            <w:pPr>
              <w:pStyle w:val="12"/>
            </w:pPr>
            <w:r>
              <w:t>20000吨</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出水合格率</w:t>
            </w:r>
          </w:p>
        </w:tc>
        <w:tc>
          <w:tcPr>
            <w:tcW w:w="5386" w:type="dxa"/>
            <w:vAlign w:val="center"/>
          </w:tcPr>
          <w:p>
            <w:pPr>
              <w:pStyle w:val="12"/>
            </w:pPr>
            <w:r>
              <w:t>合格出水量占总量的比率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及时处理渗滤液</w:t>
            </w:r>
          </w:p>
        </w:tc>
        <w:tc>
          <w:tcPr>
            <w:tcW w:w="5386" w:type="dxa"/>
            <w:vAlign w:val="center"/>
          </w:tcPr>
          <w:p>
            <w:pPr>
              <w:pStyle w:val="12"/>
            </w:pPr>
            <w:r>
              <w:t>及时处理渗滤液</w:t>
            </w:r>
          </w:p>
        </w:tc>
        <w:tc>
          <w:tcPr>
            <w:tcW w:w="2268" w:type="dxa"/>
            <w:vAlign w:val="center"/>
          </w:tcPr>
          <w:p>
            <w:pPr>
              <w:pStyle w:val="12"/>
            </w:pPr>
            <w:r>
              <w:t>及时处理</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处理费用单价</w:t>
            </w:r>
          </w:p>
        </w:tc>
        <w:tc>
          <w:tcPr>
            <w:tcW w:w="5386" w:type="dxa"/>
            <w:vAlign w:val="center"/>
          </w:tcPr>
          <w:p>
            <w:pPr>
              <w:pStyle w:val="12"/>
            </w:pPr>
            <w:r>
              <w:t>处理费用单价</w:t>
            </w:r>
          </w:p>
        </w:tc>
        <w:tc>
          <w:tcPr>
            <w:tcW w:w="2268" w:type="dxa"/>
            <w:vAlign w:val="center"/>
          </w:tcPr>
          <w:p>
            <w:pPr>
              <w:pStyle w:val="12"/>
            </w:pPr>
            <w:r>
              <w:t>≤247元/吨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 xml:space="preserve"> 对渗滤液收集集中应急处理</w:t>
            </w:r>
          </w:p>
        </w:tc>
        <w:tc>
          <w:tcPr>
            <w:tcW w:w="5386" w:type="dxa"/>
            <w:vAlign w:val="center"/>
          </w:tcPr>
          <w:p>
            <w:pPr>
              <w:pStyle w:val="12"/>
            </w:pPr>
            <w:r>
              <w:t>对渗滤液收集集中应急处理，避免外溢的风险，不产生二次污染。</w:t>
            </w:r>
          </w:p>
        </w:tc>
        <w:tc>
          <w:tcPr>
            <w:tcW w:w="2268" w:type="dxa"/>
            <w:vAlign w:val="center"/>
          </w:tcPr>
          <w:p>
            <w:pPr>
              <w:pStyle w:val="12"/>
            </w:pPr>
            <w:r>
              <w:t xml:space="preserve"> 对渗滤液收集集中应急处理，避免外溢的风险，不产生二次污染。</w:t>
            </w:r>
          </w:p>
          <w:p>
            <w:pPr>
              <w:pStyle w:val="12"/>
            </w:pP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3、2021年生活垃圾资源化处理运营费（2024）绩效目标表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13010925P000008104760</w:t>
            </w:r>
          </w:p>
        </w:tc>
        <w:tc>
          <w:tcPr>
            <w:tcW w:w="2835" w:type="dxa"/>
            <w:vAlign w:val="center"/>
          </w:tcPr>
          <w:p>
            <w:pPr>
              <w:pStyle w:val="10"/>
            </w:pPr>
            <w:r>
              <w:t>项目名称</w:t>
            </w:r>
          </w:p>
        </w:tc>
        <w:tc>
          <w:tcPr>
            <w:tcW w:w="6095" w:type="dxa"/>
            <w:gridSpan w:val="3"/>
            <w:vAlign w:val="center"/>
          </w:tcPr>
          <w:p>
            <w:pPr>
              <w:pStyle w:val="12"/>
            </w:pPr>
            <w:r>
              <w:t>2021年生活垃圾资源化处理运营费（2024）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400万元，用于生活垃圾资源化处理项目，2017年11月签订《河北省石家庄市藁城区生活垃圾资源化处理项目PPP项目合同》，本项目建设投资为62393万元，流动资金731万元，总资金63124万元，建设期为2年，运营期28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240.00</w:t>
            </w:r>
          </w:p>
        </w:tc>
        <w:tc>
          <w:tcPr>
            <w:tcW w:w="2551" w:type="dxa"/>
            <w:vAlign w:val="center"/>
          </w:tcPr>
          <w:p>
            <w:pPr>
              <w:pStyle w:val="13"/>
            </w:pPr>
            <w:r>
              <w:t>360.00</w:t>
            </w:r>
          </w:p>
        </w:tc>
        <w:tc>
          <w:tcPr>
            <w:tcW w:w="3544" w:type="dxa"/>
            <w:gridSpan w:val="2"/>
            <w:vAlign w:val="center"/>
          </w:tcPr>
          <w:p>
            <w:pPr>
              <w:pStyle w:val="13"/>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1.通过建成并运营生活垃圾资源化处理项目，解决石家庄市的生活垃圾和市政污泥的处理问题。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运营期</w:t>
            </w:r>
          </w:p>
        </w:tc>
        <w:tc>
          <w:tcPr>
            <w:tcW w:w="5386" w:type="dxa"/>
            <w:vAlign w:val="center"/>
          </w:tcPr>
          <w:p>
            <w:pPr>
              <w:pStyle w:val="12"/>
            </w:pPr>
            <w:r>
              <w:t>运营期</w:t>
            </w:r>
          </w:p>
        </w:tc>
        <w:tc>
          <w:tcPr>
            <w:tcW w:w="2268" w:type="dxa"/>
            <w:vAlign w:val="center"/>
          </w:tcPr>
          <w:p>
            <w:pPr>
              <w:pStyle w:val="12"/>
            </w:pPr>
            <w:r>
              <w:t>28年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垃圾处理率</w:t>
            </w:r>
          </w:p>
        </w:tc>
        <w:tc>
          <w:tcPr>
            <w:tcW w:w="5386" w:type="dxa"/>
            <w:vAlign w:val="center"/>
          </w:tcPr>
          <w:p>
            <w:pPr>
              <w:pStyle w:val="12"/>
            </w:pPr>
            <w:r>
              <w:t>设计标准内的接收的垃圾处理率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生活垃圾及时处理率</w:t>
            </w:r>
          </w:p>
        </w:tc>
        <w:tc>
          <w:tcPr>
            <w:tcW w:w="5386" w:type="dxa"/>
            <w:vAlign w:val="center"/>
          </w:tcPr>
          <w:p>
            <w:pPr>
              <w:pStyle w:val="12"/>
            </w:pPr>
            <w:r>
              <w:t>每日处理生活垃圾数量占每日进场生活垃圾数量的比率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生活垃圾资源化处理运营费</w:t>
            </w:r>
          </w:p>
        </w:tc>
        <w:tc>
          <w:tcPr>
            <w:tcW w:w="5386" w:type="dxa"/>
            <w:vAlign w:val="center"/>
          </w:tcPr>
          <w:p>
            <w:pPr>
              <w:pStyle w:val="12"/>
            </w:pPr>
            <w:r>
              <w:t>生活垃圾资源化处理运营费</w:t>
            </w:r>
          </w:p>
        </w:tc>
        <w:tc>
          <w:tcPr>
            <w:tcW w:w="2268" w:type="dxa"/>
            <w:vAlign w:val="center"/>
          </w:tcPr>
          <w:p>
            <w:pPr>
              <w:pStyle w:val="12"/>
            </w:pPr>
            <w:r>
              <w:t>≤79.85元/吨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提高资源利用率</w:t>
            </w:r>
          </w:p>
        </w:tc>
        <w:tc>
          <w:tcPr>
            <w:tcW w:w="5386" w:type="dxa"/>
            <w:vAlign w:val="center"/>
          </w:tcPr>
          <w:p>
            <w:pPr>
              <w:pStyle w:val="12"/>
            </w:pPr>
            <w:r>
              <w:t>提高资源利用率，减少填埋量，有效改善石家庄市的生态环境。</w:t>
            </w:r>
          </w:p>
        </w:tc>
        <w:tc>
          <w:tcPr>
            <w:tcW w:w="2268" w:type="dxa"/>
            <w:vAlign w:val="center"/>
          </w:tcPr>
          <w:p>
            <w:pPr>
              <w:pStyle w:val="12"/>
            </w:pPr>
            <w:r>
              <w:t>提高资源利用率，减少填埋量，有效改善石家庄市的生态环境。</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4、2022年城市排水淹没企业及农田赔偿绩效目标表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13010925P000008104322</w:t>
            </w:r>
          </w:p>
        </w:tc>
        <w:tc>
          <w:tcPr>
            <w:tcW w:w="2835" w:type="dxa"/>
            <w:vAlign w:val="center"/>
          </w:tcPr>
          <w:p>
            <w:pPr>
              <w:pStyle w:val="10"/>
            </w:pPr>
            <w:r>
              <w:t>项目名称</w:t>
            </w:r>
          </w:p>
        </w:tc>
        <w:tc>
          <w:tcPr>
            <w:tcW w:w="6095" w:type="dxa"/>
            <w:gridSpan w:val="3"/>
            <w:vAlign w:val="center"/>
          </w:tcPr>
          <w:p>
            <w:pPr>
              <w:pStyle w:val="12"/>
            </w:pPr>
            <w:r>
              <w:t>2022年城市排水淹没企业及农田赔偿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45.80</w:t>
            </w:r>
          </w:p>
        </w:tc>
        <w:tc>
          <w:tcPr>
            <w:tcW w:w="2835" w:type="dxa"/>
            <w:vAlign w:val="center"/>
          </w:tcPr>
          <w:p>
            <w:pPr>
              <w:pStyle w:val="10"/>
            </w:pPr>
            <w:r>
              <w:t>其中：财政    资金</w:t>
            </w:r>
          </w:p>
        </w:tc>
        <w:tc>
          <w:tcPr>
            <w:tcW w:w="2551" w:type="dxa"/>
            <w:vAlign w:val="center"/>
          </w:tcPr>
          <w:p>
            <w:pPr>
              <w:pStyle w:val="12"/>
            </w:pPr>
            <w:r>
              <w:t>45.80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预算资金总计45.8万元，用于对2022年因连续降雨，排水管网污水外冒、雨水外溢淹没的农田和企业进行赔偿。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27.48</w:t>
            </w:r>
          </w:p>
        </w:tc>
        <w:tc>
          <w:tcPr>
            <w:tcW w:w="2551" w:type="dxa"/>
            <w:vAlign w:val="center"/>
          </w:tcPr>
          <w:p>
            <w:pPr>
              <w:pStyle w:val="13"/>
            </w:pPr>
            <w:r>
              <w:t>41.22</w:t>
            </w:r>
          </w:p>
        </w:tc>
        <w:tc>
          <w:tcPr>
            <w:tcW w:w="3544" w:type="dxa"/>
            <w:gridSpan w:val="2"/>
            <w:vAlign w:val="center"/>
          </w:tcPr>
          <w:p>
            <w:pPr>
              <w:pStyle w:val="13"/>
            </w:pPr>
            <w:r>
              <w:t>45.80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1.通过对受灾农户、企业损失进行赔偿。为群众解决实际问题。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涉及赔偿户数量</w:t>
            </w:r>
          </w:p>
        </w:tc>
        <w:tc>
          <w:tcPr>
            <w:tcW w:w="5386" w:type="dxa"/>
            <w:vAlign w:val="center"/>
          </w:tcPr>
          <w:p>
            <w:pPr>
              <w:pStyle w:val="12"/>
            </w:pPr>
            <w:r>
              <w:t>被淹造成财产损失的企业、个人数量</w:t>
            </w:r>
          </w:p>
        </w:tc>
        <w:tc>
          <w:tcPr>
            <w:tcW w:w="2268" w:type="dxa"/>
            <w:vAlign w:val="center"/>
          </w:tcPr>
          <w:p>
            <w:pPr>
              <w:pStyle w:val="12"/>
            </w:pPr>
            <w:r>
              <w:t>22户</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赔偿完成率</w:t>
            </w:r>
          </w:p>
        </w:tc>
        <w:tc>
          <w:tcPr>
            <w:tcW w:w="5386" w:type="dxa"/>
            <w:vAlign w:val="center"/>
          </w:tcPr>
          <w:p>
            <w:pPr>
              <w:pStyle w:val="12"/>
            </w:pPr>
            <w:r>
              <w:t>赔偿户数占应赔偿户数的比率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及时赔付率</w:t>
            </w:r>
          </w:p>
        </w:tc>
        <w:tc>
          <w:tcPr>
            <w:tcW w:w="5386" w:type="dxa"/>
            <w:vAlign w:val="center"/>
          </w:tcPr>
          <w:p>
            <w:pPr>
              <w:pStyle w:val="12"/>
            </w:pPr>
            <w:r>
              <w:t>及时赔付率</w:t>
            </w:r>
          </w:p>
        </w:tc>
        <w:tc>
          <w:tcPr>
            <w:tcW w:w="2268" w:type="dxa"/>
            <w:vAlign w:val="center"/>
          </w:tcPr>
          <w:p>
            <w:pPr>
              <w:pStyle w:val="12"/>
            </w:pPr>
            <w:r>
              <w:t>≥80%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玉米地赔付标准</w:t>
            </w:r>
          </w:p>
        </w:tc>
        <w:tc>
          <w:tcPr>
            <w:tcW w:w="5386" w:type="dxa"/>
            <w:vAlign w:val="center"/>
          </w:tcPr>
          <w:p>
            <w:pPr>
              <w:pStyle w:val="12"/>
            </w:pPr>
            <w:r>
              <w:t>玉米地赔付标准</w:t>
            </w:r>
          </w:p>
        </w:tc>
        <w:tc>
          <w:tcPr>
            <w:tcW w:w="2268" w:type="dxa"/>
            <w:vAlign w:val="center"/>
          </w:tcPr>
          <w:p>
            <w:pPr>
              <w:pStyle w:val="12"/>
            </w:pPr>
            <w:r>
              <w:t>≤1280元/㎡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黄豆赔付标准</w:t>
            </w:r>
          </w:p>
        </w:tc>
        <w:tc>
          <w:tcPr>
            <w:tcW w:w="5386" w:type="dxa"/>
            <w:vAlign w:val="center"/>
          </w:tcPr>
          <w:p>
            <w:pPr>
              <w:pStyle w:val="12"/>
            </w:pPr>
            <w:r>
              <w:t>黄豆赔付标准</w:t>
            </w:r>
          </w:p>
        </w:tc>
        <w:tc>
          <w:tcPr>
            <w:tcW w:w="2268" w:type="dxa"/>
            <w:vAlign w:val="center"/>
          </w:tcPr>
          <w:p>
            <w:pPr>
              <w:pStyle w:val="12"/>
            </w:pPr>
            <w:r>
              <w:t>≤1456元/㎡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茴香、大葱、油菜、菜地等赔付标准</w:t>
            </w:r>
          </w:p>
        </w:tc>
        <w:tc>
          <w:tcPr>
            <w:tcW w:w="5386" w:type="dxa"/>
            <w:vAlign w:val="center"/>
          </w:tcPr>
          <w:p>
            <w:pPr>
              <w:pStyle w:val="12"/>
            </w:pPr>
            <w:r>
              <w:t>茴香、大葱、油菜、菜地等赔付标准</w:t>
            </w:r>
          </w:p>
        </w:tc>
        <w:tc>
          <w:tcPr>
            <w:tcW w:w="2268" w:type="dxa"/>
            <w:vAlign w:val="center"/>
          </w:tcPr>
          <w:p>
            <w:pPr>
              <w:pStyle w:val="12"/>
            </w:pPr>
            <w:r>
              <w:t>≤1800元/㎡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为群众解决实际问题</w:t>
            </w:r>
          </w:p>
        </w:tc>
        <w:tc>
          <w:tcPr>
            <w:tcW w:w="5386" w:type="dxa"/>
            <w:vAlign w:val="center"/>
          </w:tcPr>
          <w:p>
            <w:pPr>
              <w:pStyle w:val="12"/>
            </w:pPr>
            <w:r>
              <w:t>消除受灾群众烦恼，解决其后顾之忧</w:t>
            </w:r>
          </w:p>
        </w:tc>
        <w:tc>
          <w:tcPr>
            <w:tcW w:w="2268" w:type="dxa"/>
            <w:vAlign w:val="center"/>
          </w:tcPr>
          <w:p>
            <w:pPr>
              <w:pStyle w:val="12"/>
            </w:pPr>
            <w:r>
              <w:t>消除受灾群众烦恼，减少受灾群众损失</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受灾居民满意程度</w:t>
            </w:r>
          </w:p>
        </w:tc>
        <w:tc>
          <w:tcPr>
            <w:tcW w:w="5386" w:type="dxa"/>
            <w:vAlign w:val="center"/>
          </w:tcPr>
          <w:p>
            <w:pPr>
              <w:pStyle w:val="12"/>
            </w:pPr>
            <w:r>
              <w:t>调查中满意和较满意的受灾居民数量占全部调查人数的比率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5、2022年小街小巷整治提升工程绩效目标表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13010925P00000810521U</w:t>
            </w:r>
          </w:p>
        </w:tc>
        <w:tc>
          <w:tcPr>
            <w:tcW w:w="2835" w:type="dxa"/>
            <w:vAlign w:val="center"/>
          </w:tcPr>
          <w:p>
            <w:pPr>
              <w:pStyle w:val="10"/>
            </w:pPr>
            <w:r>
              <w:t>项目名称</w:t>
            </w:r>
          </w:p>
        </w:tc>
        <w:tc>
          <w:tcPr>
            <w:tcW w:w="6095" w:type="dxa"/>
            <w:gridSpan w:val="3"/>
            <w:vAlign w:val="center"/>
          </w:tcPr>
          <w:p>
            <w:pPr>
              <w:pStyle w:val="12"/>
            </w:pPr>
            <w:r>
              <w:t>2022年小街小巷整治提升工程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2258.98</w:t>
            </w:r>
          </w:p>
        </w:tc>
        <w:tc>
          <w:tcPr>
            <w:tcW w:w="2835" w:type="dxa"/>
            <w:vAlign w:val="center"/>
          </w:tcPr>
          <w:p>
            <w:pPr>
              <w:pStyle w:val="10"/>
            </w:pPr>
            <w:r>
              <w:t>其中：财政    资金</w:t>
            </w:r>
          </w:p>
        </w:tc>
        <w:tc>
          <w:tcPr>
            <w:tcW w:w="2551" w:type="dxa"/>
            <w:vAlign w:val="center"/>
          </w:tcPr>
          <w:p>
            <w:pPr>
              <w:pStyle w:val="12"/>
            </w:pPr>
            <w:r>
              <w:t>2258.98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1355.39</w:t>
            </w:r>
          </w:p>
        </w:tc>
        <w:tc>
          <w:tcPr>
            <w:tcW w:w="2551" w:type="dxa"/>
            <w:vAlign w:val="center"/>
          </w:tcPr>
          <w:p>
            <w:pPr>
              <w:pStyle w:val="13"/>
            </w:pPr>
            <w:r>
              <w:t>2033.08</w:t>
            </w:r>
          </w:p>
        </w:tc>
        <w:tc>
          <w:tcPr>
            <w:tcW w:w="3544" w:type="dxa"/>
            <w:gridSpan w:val="2"/>
            <w:vAlign w:val="center"/>
          </w:tcPr>
          <w:p>
            <w:pPr>
              <w:pStyle w:val="13"/>
            </w:pPr>
            <w:r>
              <w:t>2258.98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1.通过完成167条街巷的整治工作，提高城区居民生活条件，推动藁城生态环境可持续发展。</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小街巷数量</w:t>
            </w:r>
          </w:p>
        </w:tc>
        <w:tc>
          <w:tcPr>
            <w:tcW w:w="5386" w:type="dxa"/>
            <w:vAlign w:val="center"/>
          </w:tcPr>
          <w:p>
            <w:pPr>
              <w:pStyle w:val="12"/>
            </w:pPr>
            <w:r>
              <w:t>需整治的小街巷数量</w:t>
            </w:r>
          </w:p>
        </w:tc>
        <w:tc>
          <w:tcPr>
            <w:tcW w:w="2268" w:type="dxa"/>
            <w:vAlign w:val="center"/>
          </w:tcPr>
          <w:p>
            <w:pPr>
              <w:pStyle w:val="12"/>
            </w:pPr>
            <w:r>
              <w:t>167条</w:t>
            </w:r>
          </w:p>
        </w:tc>
        <w:tc>
          <w:tcPr>
            <w:tcW w:w="1276" w:type="dxa"/>
            <w:vAlign w:val="center"/>
          </w:tcPr>
          <w:p>
            <w:pPr>
              <w:pStyle w:val="12"/>
            </w:pPr>
            <w:r>
              <w:t>可研、委托代建协议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符合国家颁布的建设工程质量标准</w:t>
            </w:r>
          </w:p>
        </w:tc>
        <w:tc>
          <w:tcPr>
            <w:tcW w:w="5386" w:type="dxa"/>
            <w:vAlign w:val="center"/>
          </w:tcPr>
          <w:p>
            <w:pPr>
              <w:pStyle w:val="12"/>
            </w:pPr>
            <w:r>
              <w:t>符合国家颁布的建设工程质量标准</w:t>
            </w:r>
          </w:p>
        </w:tc>
        <w:tc>
          <w:tcPr>
            <w:tcW w:w="2268" w:type="dxa"/>
            <w:vAlign w:val="center"/>
          </w:tcPr>
          <w:p>
            <w:pPr>
              <w:pStyle w:val="12"/>
            </w:pPr>
            <w:r>
              <w:t>符合国家颁布的建设工程质量标准</w:t>
            </w:r>
          </w:p>
        </w:tc>
        <w:tc>
          <w:tcPr>
            <w:tcW w:w="1276" w:type="dxa"/>
            <w:vAlign w:val="center"/>
          </w:tcPr>
          <w:p>
            <w:pPr>
              <w:pStyle w:val="12"/>
            </w:pPr>
            <w:r>
              <w:t>可研</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w:t>
            </w:r>
          </w:p>
        </w:tc>
        <w:tc>
          <w:tcPr>
            <w:tcW w:w="5386" w:type="dxa"/>
            <w:vAlign w:val="center"/>
          </w:tcPr>
          <w:p>
            <w:pPr>
              <w:pStyle w:val="12"/>
            </w:pPr>
            <w:r>
              <w:t>计划工期</w:t>
            </w:r>
          </w:p>
        </w:tc>
        <w:tc>
          <w:tcPr>
            <w:tcW w:w="2268" w:type="dxa"/>
            <w:vAlign w:val="center"/>
          </w:tcPr>
          <w:p>
            <w:pPr>
              <w:pStyle w:val="12"/>
            </w:pPr>
            <w:r>
              <w:t>≤9月</w:t>
            </w:r>
          </w:p>
        </w:tc>
        <w:tc>
          <w:tcPr>
            <w:tcW w:w="1276" w:type="dxa"/>
            <w:vAlign w:val="center"/>
          </w:tcPr>
          <w:p>
            <w:pPr>
              <w:pStyle w:val="12"/>
            </w:pPr>
            <w:r>
              <w:t>委托代建协议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工程金额</w:t>
            </w:r>
          </w:p>
        </w:tc>
        <w:tc>
          <w:tcPr>
            <w:tcW w:w="5386" w:type="dxa"/>
            <w:vAlign w:val="center"/>
          </w:tcPr>
          <w:p>
            <w:pPr>
              <w:pStyle w:val="12"/>
            </w:pPr>
            <w:r>
              <w:t>项目计划总投资金额</w:t>
            </w:r>
          </w:p>
        </w:tc>
        <w:tc>
          <w:tcPr>
            <w:tcW w:w="2268" w:type="dxa"/>
            <w:vAlign w:val="center"/>
          </w:tcPr>
          <w:p>
            <w:pPr>
              <w:pStyle w:val="12"/>
            </w:pPr>
            <w:r>
              <w:t>10050万元</w:t>
            </w:r>
          </w:p>
        </w:tc>
        <w:tc>
          <w:tcPr>
            <w:tcW w:w="1276" w:type="dxa"/>
            <w:vAlign w:val="center"/>
          </w:tcPr>
          <w:p>
            <w:pPr>
              <w:pStyle w:val="12"/>
            </w:pPr>
            <w:r>
              <w:t>委托代建协议、可研报告</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提高城区居民生活条件，推动藁城生态环境可持续发展</w:t>
            </w:r>
          </w:p>
        </w:tc>
        <w:tc>
          <w:tcPr>
            <w:tcW w:w="5386" w:type="dxa"/>
            <w:vAlign w:val="center"/>
          </w:tcPr>
          <w:p>
            <w:pPr>
              <w:pStyle w:val="12"/>
            </w:pPr>
            <w:r>
              <w:t>提升市民的交通、居住、生活环境，提高城区居民生活条件，推动藁城生态环境可持续发展</w:t>
            </w:r>
          </w:p>
        </w:tc>
        <w:tc>
          <w:tcPr>
            <w:tcW w:w="2268" w:type="dxa"/>
            <w:vAlign w:val="center"/>
          </w:tcPr>
          <w:p>
            <w:pPr>
              <w:pStyle w:val="12"/>
            </w:pPr>
            <w:r>
              <w:t>提升市民的交通、居住、生活环境，提高城区居民生活条件，推动藁城生态环境可持续发展</w:t>
            </w:r>
          </w:p>
        </w:tc>
        <w:tc>
          <w:tcPr>
            <w:tcW w:w="1276" w:type="dxa"/>
            <w:vAlign w:val="center"/>
          </w:tcPr>
          <w:p>
            <w:pPr>
              <w:pStyle w:val="12"/>
            </w:pPr>
            <w:r>
              <w:t>可研报告</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调查中满意和较满意的市民数量占全部调查人数的比率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6、2025年为全区燃气用户购买燃气安全意外保险项目绩效目标表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13010925P00000810458F</w:t>
            </w:r>
          </w:p>
        </w:tc>
        <w:tc>
          <w:tcPr>
            <w:tcW w:w="2835" w:type="dxa"/>
            <w:vAlign w:val="center"/>
          </w:tcPr>
          <w:p>
            <w:pPr>
              <w:pStyle w:val="10"/>
            </w:pPr>
            <w:r>
              <w:t>项目名称</w:t>
            </w:r>
          </w:p>
        </w:tc>
        <w:tc>
          <w:tcPr>
            <w:tcW w:w="6095" w:type="dxa"/>
            <w:gridSpan w:val="3"/>
            <w:vAlign w:val="center"/>
          </w:tcPr>
          <w:p>
            <w:pPr>
              <w:pStyle w:val="12"/>
            </w:pPr>
            <w:r>
              <w:t>2025年为全区燃气用户购买燃气安全意外保险项目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预算资金总计20万元，用于为全区燃气用户购买燃气安全意外保险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1.为全区燃气用户购买燃气安全意外保险，有效减轻因燃气事故可能给用户带来的经济损失。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燃气用户数</w:t>
            </w:r>
          </w:p>
        </w:tc>
        <w:tc>
          <w:tcPr>
            <w:tcW w:w="5386" w:type="dxa"/>
            <w:vAlign w:val="center"/>
          </w:tcPr>
          <w:p>
            <w:pPr>
              <w:pStyle w:val="12"/>
            </w:pPr>
            <w:r>
              <w:t>全区燃气用户数</w:t>
            </w:r>
          </w:p>
        </w:tc>
        <w:tc>
          <w:tcPr>
            <w:tcW w:w="2268" w:type="dxa"/>
            <w:vAlign w:val="center"/>
          </w:tcPr>
          <w:p>
            <w:pPr>
              <w:pStyle w:val="12"/>
            </w:pPr>
            <w:r>
              <w:t>184245户</w:t>
            </w:r>
          </w:p>
        </w:tc>
        <w:tc>
          <w:tcPr>
            <w:tcW w:w="1276" w:type="dxa"/>
            <w:vAlign w:val="center"/>
          </w:tcPr>
          <w:p>
            <w:pPr>
              <w:pStyle w:val="12"/>
            </w:pPr>
            <w:r>
              <w:t>燃气用户台账</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购买保险覆盖率</w:t>
            </w:r>
          </w:p>
        </w:tc>
        <w:tc>
          <w:tcPr>
            <w:tcW w:w="5386" w:type="dxa"/>
            <w:vAlign w:val="center"/>
          </w:tcPr>
          <w:p>
            <w:pPr>
              <w:pStyle w:val="12"/>
            </w:pPr>
            <w:r>
              <w:t>购买保险户数在燃气用户总户数中所占的比重</w:t>
            </w:r>
          </w:p>
        </w:tc>
        <w:tc>
          <w:tcPr>
            <w:tcW w:w="2268" w:type="dxa"/>
            <w:vAlign w:val="center"/>
          </w:tcPr>
          <w:p>
            <w:pPr>
              <w:pStyle w:val="12"/>
            </w:pPr>
            <w:r>
              <w:t>100%</w:t>
            </w:r>
          </w:p>
        </w:tc>
        <w:tc>
          <w:tcPr>
            <w:tcW w:w="1276" w:type="dxa"/>
            <w:vAlign w:val="center"/>
          </w:tcPr>
          <w:p>
            <w:pPr>
              <w:pStyle w:val="12"/>
            </w:pPr>
            <w:r>
              <w:t>签订购买燃气意外保险合同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购买保险时间</w:t>
            </w:r>
          </w:p>
        </w:tc>
        <w:tc>
          <w:tcPr>
            <w:tcW w:w="5386" w:type="dxa"/>
            <w:vAlign w:val="center"/>
          </w:tcPr>
          <w:p>
            <w:pPr>
              <w:pStyle w:val="12"/>
            </w:pPr>
            <w:r>
              <w:t>购买保险时间</w:t>
            </w:r>
          </w:p>
        </w:tc>
        <w:tc>
          <w:tcPr>
            <w:tcW w:w="2268" w:type="dxa"/>
            <w:vAlign w:val="center"/>
          </w:tcPr>
          <w:p>
            <w:pPr>
              <w:pStyle w:val="12"/>
            </w:pPr>
            <w:r>
              <w:t>2025年12月31日前</w:t>
            </w:r>
          </w:p>
        </w:tc>
        <w:tc>
          <w:tcPr>
            <w:tcW w:w="1276" w:type="dxa"/>
            <w:vAlign w:val="center"/>
          </w:tcPr>
          <w:p>
            <w:pPr>
              <w:pStyle w:val="12"/>
            </w:pPr>
            <w:r>
              <w:t>签订购买燃气意外保险合同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购买燃气意外保险金额</w:t>
            </w:r>
          </w:p>
        </w:tc>
        <w:tc>
          <w:tcPr>
            <w:tcW w:w="5386" w:type="dxa"/>
            <w:vAlign w:val="center"/>
          </w:tcPr>
          <w:p>
            <w:pPr>
              <w:pStyle w:val="12"/>
            </w:pPr>
            <w:r>
              <w:t>为全区燃气用户购买燃气意外保险所需金额</w:t>
            </w:r>
          </w:p>
        </w:tc>
        <w:tc>
          <w:tcPr>
            <w:tcW w:w="2268" w:type="dxa"/>
            <w:vAlign w:val="center"/>
          </w:tcPr>
          <w:p>
            <w:pPr>
              <w:pStyle w:val="12"/>
            </w:pPr>
            <w:r>
              <w:t>≤368.49万元</w:t>
            </w:r>
          </w:p>
        </w:tc>
        <w:tc>
          <w:tcPr>
            <w:tcW w:w="1276" w:type="dxa"/>
            <w:vAlign w:val="center"/>
          </w:tcPr>
          <w:p>
            <w:pPr>
              <w:pStyle w:val="12"/>
            </w:pPr>
            <w:r>
              <w:t>关于继续为全区燃气用户购买燃气安全意外保险的请示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提高燃气用户安全用气意识，有效减轻因燃气事故可能给用户带来的经济损失</w:t>
            </w:r>
          </w:p>
        </w:tc>
        <w:tc>
          <w:tcPr>
            <w:tcW w:w="5386" w:type="dxa"/>
            <w:vAlign w:val="center"/>
          </w:tcPr>
          <w:p>
            <w:pPr>
              <w:pStyle w:val="12"/>
            </w:pPr>
            <w:r>
              <w:t>为燃气用户购买燃气意外保险，提高燃气用户抗风险能力，有效减轻因燃气事故可能给用户带来的经济损失</w:t>
            </w:r>
          </w:p>
        </w:tc>
        <w:tc>
          <w:tcPr>
            <w:tcW w:w="2268" w:type="dxa"/>
            <w:vAlign w:val="center"/>
          </w:tcPr>
          <w:p>
            <w:pPr>
              <w:pStyle w:val="12"/>
            </w:pPr>
            <w:r>
              <w:t>提高燃气用户安全用气意识，有效减轻因燃气事故可能给用户带来的经济损失</w:t>
            </w:r>
          </w:p>
          <w:p>
            <w:pPr>
              <w:pStyle w:val="12"/>
            </w:pPr>
          </w:p>
        </w:tc>
        <w:tc>
          <w:tcPr>
            <w:tcW w:w="1276" w:type="dxa"/>
            <w:vAlign w:val="center"/>
          </w:tcPr>
          <w:p>
            <w:pPr>
              <w:pStyle w:val="12"/>
            </w:pPr>
            <w:r>
              <w:t>签订购买燃气意外保险合同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燃气用户</w:t>
            </w:r>
          </w:p>
        </w:tc>
        <w:tc>
          <w:tcPr>
            <w:tcW w:w="5386" w:type="dxa"/>
            <w:vAlign w:val="center"/>
          </w:tcPr>
          <w:p>
            <w:pPr>
              <w:pStyle w:val="12"/>
            </w:pPr>
            <w:r>
              <w:t>燃气用户满意程度</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7、采购移动垃圾压缩设备及配套勾臂车绩效目标表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13010925P00000810450J</w:t>
            </w:r>
          </w:p>
        </w:tc>
        <w:tc>
          <w:tcPr>
            <w:tcW w:w="2835" w:type="dxa"/>
            <w:vAlign w:val="center"/>
          </w:tcPr>
          <w:p>
            <w:pPr>
              <w:pStyle w:val="10"/>
            </w:pPr>
            <w:r>
              <w:t>项目名称</w:t>
            </w:r>
          </w:p>
        </w:tc>
        <w:tc>
          <w:tcPr>
            <w:tcW w:w="6095" w:type="dxa"/>
            <w:gridSpan w:val="3"/>
            <w:vAlign w:val="center"/>
          </w:tcPr>
          <w:p>
            <w:pPr>
              <w:pStyle w:val="12"/>
            </w:pPr>
            <w:r>
              <w:t>采购移动垃圾压缩设备及配套勾臂车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资金预算总数60万元，用于为2019-2020年新建的15座垃圾转运站采购移动式垃圾压缩设备15套、配套勾臂车3辆,进一步提高生活垃圾转运效率，努力创造干净整洁的卫生环境，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36.00</w:t>
            </w:r>
          </w:p>
        </w:tc>
        <w:tc>
          <w:tcPr>
            <w:tcW w:w="2551" w:type="dxa"/>
            <w:vAlign w:val="center"/>
          </w:tcPr>
          <w:p>
            <w:pPr>
              <w:pStyle w:val="13"/>
            </w:pPr>
            <w:r>
              <w:t>54.00</w:t>
            </w:r>
          </w:p>
        </w:tc>
        <w:tc>
          <w:tcPr>
            <w:tcW w:w="3544" w:type="dxa"/>
            <w:gridSpan w:val="2"/>
            <w:vAlign w:val="center"/>
          </w:tcPr>
          <w:p>
            <w:pPr>
              <w:pStyle w:val="13"/>
            </w:pPr>
            <w:r>
              <w:t>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1.通过为15座垃圾转运站采购移动式垃圾压缩设备15套、配套勾臂车3辆，提高城区垃圾转运站建设管理水平，解决市民倒垃圾问题，改善人居环境质量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采购压缩设备数量</w:t>
            </w:r>
          </w:p>
        </w:tc>
        <w:tc>
          <w:tcPr>
            <w:tcW w:w="5386" w:type="dxa"/>
            <w:vAlign w:val="center"/>
          </w:tcPr>
          <w:p>
            <w:pPr>
              <w:pStyle w:val="12"/>
            </w:pPr>
            <w:r>
              <w:t>采购移动式垃圾压缩设备数量</w:t>
            </w:r>
          </w:p>
        </w:tc>
        <w:tc>
          <w:tcPr>
            <w:tcW w:w="2268" w:type="dxa"/>
            <w:vAlign w:val="center"/>
          </w:tcPr>
          <w:p>
            <w:pPr>
              <w:pStyle w:val="12"/>
            </w:pPr>
            <w:r>
              <w:t>15套</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采购车辆数量</w:t>
            </w:r>
          </w:p>
        </w:tc>
        <w:tc>
          <w:tcPr>
            <w:tcW w:w="5386" w:type="dxa"/>
            <w:vAlign w:val="center"/>
          </w:tcPr>
          <w:p>
            <w:pPr>
              <w:pStyle w:val="12"/>
            </w:pPr>
            <w:r>
              <w:t>采购配套勾臂车数量</w:t>
            </w:r>
          </w:p>
        </w:tc>
        <w:tc>
          <w:tcPr>
            <w:tcW w:w="2268" w:type="dxa"/>
            <w:vAlign w:val="center"/>
          </w:tcPr>
          <w:p>
            <w:pPr>
              <w:pStyle w:val="12"/>
            </w:pPr>
            <w:r>
              <w:t>3辆</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验收合格产品在购买的所有产品中的比重</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已于2021年采购完成</w:t>
            </w:r>
          </w:p>
        </w:tc>
        <w:tc>
          <w:tcPr>
            <w:tcW w:w="5386" w:type="dxa"/>
            <w:vAlign w:val="center"/>
          </w:tcPr>
          <w:p>
            <w:pPr>
              <w:pStyle w:val="12"/>
            </w:pPr>
            <w:r>
              <w:t>已于2021年采购完成</w:t>
            </w:r>
          </w:p>
        </w:tc>
        <w:tc>
          <w:tcPr>
            <w:tcW w:w="2268" w:type="dxa"/>
            <w:vAlign w:val="center"/>
          </w:tcPr>
          <w:p>
            <w:pPr>
              <w:pStyle w:val="12"/>
            </w:pPr>
            <w:r>
              <w:t>已于2021年采购完成</w:t>
            </w:r>
          </w:p>
          <w:p>
            <w:pPr>
              <w:pStyle w:val="12"/>
            </w:pP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移动式垃圾压缩设备单价</w:t>
            </w:r>
          </w:p>
        </w:tc>
        <w:tc>
          <w:tcPr>
            <w:tcW w:w="5386" w:type="dxa"/>
            <w:vAlign w:val="center"/>
          </w:tcPr>
          <w:p>
            <w:pPr>
              <w:pStyle w:val="12"/>
            </w:pPr>
            <w:r>
              <w:t>移动式垃圾压缩设备单价</w:t>
            </w:r>
          </w:p>
        </w:tc>
        <w:tc>
          <w:tcPr>
            <w:tcW w:w="2268" w:type="dxa"/>
            <w:vAlign w:val="center"/>
          </w:tcPr>
          <w:p>
            <w:pPr>
              <w:pStyle w:val="12"/>
            </w:pPr>
            <w:r>
              <w:t>≤26万元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配套勾臂车单价</w:t>
            </w:r>
          </w:p>
        </w:tc>
        <w:tc>
          <w:tcPr>
            <w:tcW w:w="5386" w:type="dxa"/>
            <w:vAlign w:val="center"/>
          </w:tcPr>
          <w:p>
            <w:pPr>
              <w:pStyle w:val="12"/>
            </w:pPr>
            <w:r>
              <w:t>配套勾臂车单价</w:t>
            </w:r>
          </w:p>
        </w:tc>
        <w:tc>
          <w:tcPr>
            <w:tcW w:w="2268" w:type="dxa"/>
            <w:vAlign w:val="center"/>
          </w:tcPr>
          <w:p>
            <w:pPr>
              <w:pStyle w:val="12"/>
            </w:pPr>
            <w:r>
              <w:t>≤53万元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提高城区垃圾转运站建设管理水平，解决市民倒垃圾问题，改善人居环境质量</w:t>
            </w:r>
          </w:p>
        </w:tc>
        <w:tc>
          <w:tcPr>
            <w:tcW w:w="5386" w:type="dxa"/>
            <w:vAlign w:val="center"/>
          </w:tcPr>
          <w:p>
            <w:pPr>
              <w:pStyle w:val="12"/>
            </w:pPr>
            <w:r>
              <w:t>提高垃圾转运站管理标准，管理精细、服务到位</w:t>
            </w:r>
          </w:p>
        </w:tc>
        <w:tc>
          <w:tcPr>
            <w:tcW w:w="2268" w:type="dxa"/>
            <w:vAlign w:val="center"/>
          </w:tcPr>
          <w:p>
            <w:pPr>
              <w:pStyle w:val="12"/>
            </w:pPr>
            <w:r>
              <w:t>提高垃圾转运站管理标准，管理精细、服务到位</w:t>
            </w:r>
          </w:p>
          <w:p>
            <w:pPr>
              <w:pStyle w:val="12"/>
            </w:pP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8、城管局劳务费绩效目标表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13010925P00000810421J</w:t>
            </w:r>
          </w:p>
        </w:tc>
        <w:tc>
          <w:tcPr>
            <w:tcW w:w="2835" w:type="dxa"/>
            <w:vAlign w:val="center"/>
          </w:tcPr>
          <w:p>
            <w:pPr>
              <w:pStyle w:val="10"/>
            </w:pPr>
            <w:r>
              <w:t>项目名称</w:t>
            </w:r>
          </w:p>
        </w:tc>
        <w:tc>
          <w:tcPr>
            <w:tcW w:w="6095" w:type="dxa"/>
            <w:gridSpan w:val="3"/>
            <w:vAlign w:val="center"/>
          </w:tcPr>
          <w:p>
            <w:pPr>
              <w:pStyle w:val="12"/>
            </w:pPr>
            <w:r>
              <w:t>城管局劳务费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240.55</w:t>
            </w:r>
          </w:p>
        </w:tc>
        <w:tc>
          <w:tcPr>
            <w:tcW w:w="2835" w:type="dxa"/>
            <w:vAlign w:val="center"/>
          </w:tcPr>
          <w:p>
            <w:pPr>
              <w:pStyle w:val="10"/>
            </w:pPr>
            <w:r>
              <w:t>其中：财政    资金</w:t>
            </w:r>
          </w:p>
        </w:tc>
        <w:tc>
          <w:tcPr>
            <w:tcW w:w="2551" w:type="dxa"/>
            <w:vAlign w:val="center"/>
          </w:tcPr>
          <w:p>
            <w:pPr>
              <w:pStyle w:val="12"/>
            </w:pPr>
            <w:r>
              <w:t>240.55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240.547万元.用于自收自支单位燃气热力运营中心、建筑市场稽查中队在职人员工资、取暖、年度考核奖等的发放、五险一金的缴纳，退休人员月度生活补贴、交通费、取暖、年度考核奖等发放，及日常公用经费的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144.33</w:t>
            </w:r>
          </w:p>
        </w:tc>
        <w:tc>
          <w:tcPr>
            <w:tcW w:w="2551" w:type="dxa"/>
            <w:vAlign w:val="center"/>
          </w:tcPr>
          <w:p>
            <w:pPr>
              <w:pStyle w:val="13"/>
            </w:pPr>
            <w:r>
              <w:t>216.49</w:t>
            </w:r>
          </w:p>
        </w:tc>
        <w:tc>
          <w:tcPr>
            <w:tcW w:w="3544" w:type="dxa"/>
            <w:gridSpan w:val="2"/>
            <w:vAlign w:val="center"/>
          </w:tcPr>
          <w:p>
            <w:pPr>
              <w:pStyle w:val="13"/>
            </w:pPr>
            <w:r>
              <w:t>240.55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1.用于发放人员工资、缴纳社保等</w:t>
            </w:r>
            <w:r>
              <w:tab/>
            </w:r>
            <w:r>
              <w:t>，主要用于支付日常公用经费，保障单位正常运行</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在编人员数量</w:t>
            </w:r>
          </w:p>
        </w:tc>
        <w:tc>
          <w:tcPr>
            <w:tcW w:w="5386" w:type="dxa"/>
            <w:vAlign w:val="center"/>
          </w:tcPr>
          <w:p>
            <w:pPr>
              <w:pStyle w:val="12"/>
            </w:pPr>
            <w:r>
              <w:t>在编人员数量</w:t>
            </w:r>
          </w:p>
        </w:tc>
        <w:tc>
          <w:tcPr>
            <w:tcW w:w="2268" w:type="dxa"/>
            <w:vAlign w:val="center"/>
          </w:tcPr>
          <w:p>
            <w:pPr>
              <w:pStyle w:val="12"/>
            </w:pPr>
            <w:r>
              <w:t>22人</w:t>
            </w:r>
          </w:p>
        </w:tc>
        <w:tc>
          <w:tcPr>
            <w:tcW w:w="1276" w:type="dxa"/>
            <w:vAlign w:val="center"/>
          </w:tcPr>
          <w:p>
            <w:pPr>
              <w:pStyle w:val="12"/>
            </w:pPr>
            <w:r>
              <w:t>工资明细表</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人员工资到位率</w:t>
            </w:r>
          </w:p>
        </w:tc>
        <w:tc>
          <w:tcPr>
            <w:tcW w:w="5386" w:type="dxa"/>
            <w:vAlign w:val="center"/>
          </w:tcPr>
          <w:p>
            <w:pPr>
              <w:pStyle w:val="12"/>
            </w:pPr>
            <w:r>
              <w:t>发放人员工资到位率</w:t>
            </w:r>
          </w:p>
        </w:tc>
        <w:tc>
          <w:tcPr>
            <w:tcW w:w="2268" w:type="dxa"/>
            <w:vAlign w:val="center"/>
          </w:tcPr>
          <w:p>
            <w:pPr>
              <w:pStyle w:val="12"/>
            </w:pPr>
            <w:r>
              <w:t>100%</w:t>
            </w:r>
          </w:p>
        </w:tc>
        <w:tc>
          <w:tcPr>
            <w:tcW w:w="1276" w:type="dxa"/>
            <w:vAlign w:val="center"/>
          </w:tcPr>
          <w:p>
            <w:pPr>
              <w:pStyle w:val="12"/>
            </w:pPr>
            <w:r>
              <w:t>银行回单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缴纳社保及时率</w:t>
            </w:r>
          </w:p>
        </w:tc>
        <w:tc>
          <w:tcPr>
            <w:tcW w:w="5386" w:type="dxa"/>
            <w:vAlign w:val="center"/>
          </w:tcPr>
          <w:p>
            <w:pPr>
              <w:pStyle w:val="12"/>
            </w:pPr>
            <w:r>
              <w:t>是否及时缴纳社保</w:t>
            </w:r>
          </w:p>
        </w:tc>
        <w:tc>
          <w:tcPr>
            <w:tcW w:w="2268" w:type="dxa"/>
            <w:vAlign w:val="center"/>
          </w:tcPr>
          <w:p>
            <w:pPr>
              <w:pStyle w:val="12"/>
            </w:pPr>
            <w:r>
              <w:t>100%</w:t>
            </w:r>
          </w:p>
        </w:tc>
        <w:tc>
          <w:tcPr>
            <w:tcW w:w="1276" w:type="dxa"/>
            <w:vAlign w:val="center"/>
          </w:tcPr>
          <w:p>
            <w:pPr>
              <w:pStyle w:val="12"/>
            </w:pPr>
            <w:r>
              <w:t>银行回单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劳务费预算数</w:t>
            </w:r>
          </w:p>
        </w:tc>
        <w:tc>
          <w:tcPr>
            <w:tcW w:w="5386" w:type="dxa"/>
            <w:vAlign w:val="center"/>
          </w:tcPr>
          <w:p>
            <w:pPr>
              <w:pStyle w:val="12"/>
            </w:pPr>
            <w:r>
              <w:t>劳务费预算数</w:t>
            </w:r>
          </w:p>
        </w:tc>
        <w:tc>
          <w:tcPr>
            <w:tcW w:w="2268" w:type="dxa"/>
            <w:vAlign w:val="center"/>
          </w:tcPr>
          <w:p>
            <w:pPr>
              <w:pStyle w:val="12"/>
            </w:pPr>
            <w:r>
              <w:t>240.55万元</w:t>
            </w:r>
          </w:p>
        </w:tc>
        <w:tc>
          <w:tcPr>
            <w:tcW w:w="1276" w:type="dxa"/>
            <w:vAlign w:val="center"/>
          </w:tcPr>
          <w:p>
            <w:pPr>
              <w:pStyle w:val="12"/>
            </w:pPr>
            <w:r>
              <w:t>工资明细表</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及时为员工缴纳社保以及发放工资，提高人员办公积极性</w:t>
            </w:r>
          </w:p>
        </w:tc>
        <w:tc>
          <w:tcPr>
            <w:tcW w:w="5386" w:type="dxa"/>
            <w:vAlign w:val="center"/>
          </w:tcPr>
          <w:p>
            <w:pPr>
              <w:pStyle w:val="12"/>
            </w:pPr>
            <w:r>
              <w:t>及时为员工缴纳社保以及发放工资，提高人员办公积极性</w:t>
            </w:r>
          </w:p>
        </w:tc>
        <w:tc>
          <w:tcPr>
            <w:tcW w:w="2268" w:type="dxa"/>
            <w:vAlign w:val="center"/>
          </w:tcPr>
          <w:p>
            <w:pPr>
              <w:pStyle w:val="12"/>
            </w:pPr>
            <w:r>
              <w:t>及时为员工缴纳社保以及发放工资，提高人员办公积极性</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在编人员满意度</w:t>
            </w:r>
          </w:p>
        </w:tc>
        <w:tc>
          <w:tcPr>
            <w:tcW w:w="5386" w:type="dxa"/>
            <w:vAlign w:val="center"/>
          </w:tcPr>
          <w:p>
            <w:pPr>
              <w:pStyle w:val="12"/>
            </w:pPr>
            <w:r>
              <w:t>调查中满意和较满意的在编人员数量占全部调查人数的比率</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9、城市维护服务管理费绩效目标表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13010925P000008104612</w:t>
            </w:r>
          </w:p>
        </w:tc>
        <w:tc>
          <w:tcPr>
            <w:tcW w:w="2835" w:type="dxa"/>
            <w:vAlign w:val="center"/>
          </w:tcPr>
          <w:p>
            <w:pPr>
              <w:pStyle w:val="10"/>
            </w:pPr>
            <w:r>
              <w:t>项目名称</w:t>
            </w:r>
          </w:p>
        </w:tc>
        <w:tc>
          <w:tcPr>
            <w:tcW w:w="6095" w:type="dxa"/>
            <w:gridSpan w:val="3"/>
            <w:vAlign w:val="center"/>
          </w:tcPr>
          <w:p>
            <w:pPr>
              <w:pStyle w:val="12"/>
            </w:pPr>
            <w:r>
              <w:t>城市维护服务管理费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1757.20</w:t>
            </w:r>
          </w:p>
        </w:tc>
        <w:tc>
          <w:tcPr>
            <w:tcW w:w="2835" w:type="dxa"/>
            <w:vAlign w:val="center"/>
          </w:tcPr>
          <w:p>
            <w:pPr>
              <w:pStyle w:val="10"/>
            </w:pPr>
            <w:r>
              <w:t>其中：财政    资金</w:t>
            </w:r>
          </w:p>
        </w:tc>
        <w:tc>
          <w:tcPr>
            <w:tcW w:w="2551" w:type="dxa"/>
            <w:vAlign w:val="center"/>
          </w:tcPr>
          <w:p>
            <w:pPr>
              <w:pStyle w:val="12"/>
            </w:pPr>
            <w:r>
              <w:t>1757.20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1757.2万元，用于市容管理、监察所需的协管员工资、执法服装费、人员培训费等，规范景观牌匾广告所需的费用，维护便民市场正常运行所需的水费、电费、设施维修等费用。以及环卫、市政、园林、公园等日常监督管理考核所需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1054.32</w:t>
            </w:r>
          </w:p>
        </w:tc>
        <w:tc>
          <w:tcPr>
            <w:tcW w:w="2551" w:type="dxa"/>
            <w:vAlign w:val="center"/>
          </w:tcPr>
          <w:p>
            <w:pPr>
              <w:pStyle w:val="13"/>
            </w:pPr>
            <w:r>
              <w:t>1581.48</w:t>
            </w:r>
          </w:p>
        </w:tc>
        <w:tc>
          <w:tcPr>
            <w:tcW w:w="3544" w:type="dxa"/>
            <w:gridSpan w:val="2"/>
            <w:vAlign w:val="center"/>
          </w:tcPr>
          <w:p>
            <w:pPr>
              <w:pStyle w:val="13"/>
            </w:pPr>
            <w:r>
              <w:t>1757.20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1.通过市容管理、渣土管理、广告管理、垃圾处理费收费管理以及环卫、市政、园林、公园监督管理等，提高城市管理水平，改善城市容貌，创造有序环境。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协管员数量</w:t>
            </w:r>
          </w:p>
        </w:tc>
        <w:tc>
          <w:tcPr>
            <w:tcW w:w="5386" w:type="dxa"/>
            <w:vAlign w:val="center"/>
          </w:tcPr>
          <w:p>
            <w:pPr>
              <w:pStyle w:val="12"/>
            </w:pPr>
            <w:r>
              <w:t>协管员数量</w:t>
            </w:r>
          </w:p>
        </w:tc>
        <w:tc>
          <w:tcPr>
            <w:tcW w:w="2268" w:type="dxa"/>
            <w:vAlign w:val="center"/>
          </w:tcPr>
          <w:p>
            <w:pPr>
              <w:pStyle w:val="12"/>
            </w:pPr>
            <w:r>
              <w:t>≤368人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“门前三包”检查合格率</w:t>
            </w:r>
          </w:p>
        </w:tc>
        <w:tc>
          <w:tcPr>
            <w:tcW w:w="5386" w:type="dxa"/>
            <w:vAlign w:val="center"/>
          </w:tcPr>
          <w:p>
            <w:pPr>
              <w:pStyle w:val="12"/>
            </w:pPr>
            <w:r>
              <w:t>“门前三包”检查合格次数占检查总次数的比率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日常巡查及时率</w:t>
            </w:r>
          </w:p>
        </w:tc>
        <w:tc>
          <w:tcPr>
            <w:tcW w:w="5386" w:type="dxa"/>
            <w:vAlign w:val="center"/>
          </w:tcPr>
          <w:p>
            <w:pPr>
              <w:pStyle w:val="12"/>
            </w:pPr>
            <w:r>
              <w:t>有记录的巡查次数占规定巡查到场次数的比率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协管员工资</w:t>
            </w:r>
          </w:p>
        </w:tc>
        <w:tc>
          <w:tcPr>
            <w:tcW w:w="5386" w:type="dxa"/>
            <w:vAlign w:val="center"/>
          </w:tcPr>
          <w:p>
            <w:pPr>
              <w:pStyle w:val="12"/>
            </w:pPr>
            <w:r>
              <w:t>协管员工资</w:t>
            </w:r>
          </w:p>
        </w:tc>
        <w:tc>
          <w:tcPr>
            <w:tcW w:w="2268" w:type="dxa"/>
            <w:vAlign w:val="center"/>
          </w:tcPr>
          <w:p>
            <w:pPr>
              <w:pStyle w:val="12"/>
            </w:pPr>
            <w:r>
              <w:t>≤2400元/月/人</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市容秩序良好、规范</w:t>
            </w:r>
          </w:p>
        </w:tc>
        <w:tc>
          <w:tcPr>
            <w:tcW w:w="5386" w:type="dxa"/>
            <w:vAlign w:val="center"/>
          </w:tcPr>
          <w:p>
            <w:pPr>
              <w:pStyle w:val="12"/>
            </w:pPr>
            <w:r>
              <w:t>提高城市管理水平，改善城市容貌，创造有序环境。</w:t>
            </w:r>
          </w:p>
        </w:tc>
        <w:tc>
          <w:tcPr>
            <w:tcW w:w="2268" w:type="dxa"/>
            <w:vAlign w:val="center"/>
          </w:tcPr>
          <w:p>
            <w:pPr>
              <w:pStyle w:val="12"/>
            </w:pPr>
            <w:r>
              <w:t>提高城市管理水平，改善城市容貌，创造有序环境。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10、儿童公园维护费（2024）绩效目标表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13010925P00000810468B</w:t>
            </w:r>
          </w:p>
        </w:tc>
        <w:tc>
          <w:tcPr>
            <w:tcW w:w="2835" w:type="dxa"/>
            <w:vAlign w:val="center"/>
          </w:tcPr>
          <w:p>
            <w:pPr>
              <w:pStyle w:val="10"/>
            </w:pPr>
            <w:r>
              <w:t>项目名称</w:t>
            </w:r>
          </w:p>
        </w:tc>
        <w:tc>
          <w:tcPr>
            <w:tcW w:w="6095" w:type="dxa"/>
            <w:gridSpan w:val="3"/>
            <w:vAlign w:val="center"/>
          </w:tcPr>
          <w:p>
            <w:pPr>
              <w:pStyle w:val="12"/>
            </w:pPr>
            <w:r>
              <w:t>儿童公园维护费（2024）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11.56</w:t>
            </w:r>
          </w:p>
        </w:tc>
        <w:tc>
          <w:tcPr>
            <w:tcW w:w="2835" w:type="dxa"/>
            <w:vAlign w:val="center"/>
          </w:tcPr>
          <w:p>
            <w:pPr>
              <w:pStyle w:val="10"/>
            </w:pPr>
            <w:r>
              <w:t>其中：财政    资金</w:t>
            </w:r>
          </w:p>
        </w:tc>
        <w:tc>
          <w:tcPr>
            <w:tcW w:w="2551" w:type="dxa"/>
            <w:vAlign w:val="center"/>
          </w:tcPr>
          <w:p>
            <w:pPr>
              <w:pStyle w:val="12"/>
            </w:pPr>
            <w:r>
              <w:t>11.56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预算资金总计11.563912万元，用于园内植物正常管护，园路甬路、公厕、照明、水体及公共设施正常运行所需的维护、维修费，园内秩序维持，水费、电费、临时工工资及其他等费用。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6.94</w:t>
            </w:r>
          </w:p>
        </w:tc>
        <w:tc>
          <w:tcPr>
            <w:tcW w:w="2551" w:type="dxa"/>
            <w:vAlign w:val="center"/>
          </w:tcPr>
          <w:p>
            <w:pPr>
              <w:pStyle w:val="13"/>
            </w:pPr>
            <w:r>
              <w:t>10.41</w:t>
            </w:r>
          </w:p>
        </w:tc>
        <w:tc>
          <w:tcPr>
            <w:tcW w:w="3544" w:type="dxa"/>
            <w:gridSpan w:val="2"/>
            <w:vAlign w:val="center"/>
          </w:tcPr>
          <w:p>
            <w:pPr>
              <w:pStyle w:val="13"/>
            </w:pPr>
            <w:r>
              <w:t>11.56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1.通过维护儿童公园，实现园内植物生长健壮，路面整洁，照明设施良好，人工湖水质洁净，公厕洁净无异味，园林小品和健身器材设施完好。</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管护公园面积</w:t>
            </w:r>
          </w:p>
        </w:tc>
        <w:tc>
          <w:tcPr>
            <w:tcW w:w="5386" w:type="dxa"/>
            <w:vAlign w:val="center"/>
          </w:tcPr>
          <w:p>
            <w:pPr>
              <w:pStyle w:val="12"/>
            </w:pPr>
            <w:r>
              <w:t>管护公园面积</w:t>
            </w:r>
          </w:p>
        </w:tc>
        <w:tc>
          <w:tcPr>
            <w:tcW w:w="2268" w:type="dxa"/>
            <w:vAlign w:val="center"/>
          </w:tcPr>
          <w:p>
            <w:pPr>
              <w:pStyle w:val="12"/>
            </w:pPr>
            <w:r>
              <w:t>3.14万平方米</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公共设施完好率</w:t>
            </w:r>
          </w:p>
        </w:tc>
        <w:tc>
          <w:tcPr>
            <w:tcW w:w="5386" w:type="dxa"/>
            <w:vAlign w:val="center"/>
          </w:tcPr>
          <w:p>
            <w:pPr>
              <w:pStyle w:val="12"/>
            </w:pPr>
            <w:r>
              <w:t>达到可安全使用状态的设施数量占所有公共设施的比率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垃圾及时清理率</w:t>
            </w:r>
          </w:p>
        </w:tc>
        <w:tc>
          <w:tcPr>
            <w:tcW w:w="5386" w:type="dxa"/>
            <w:vAlign w:val="center"/>
          </w:tcPr>
          <w:p>
            <w:pPr>
              <w:pStyle w:val="12"/>
            </w:pPr>
            <w:r>
              <w:t>绿地垃圾及时清理量占园内垃圾总量的比率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每年维护费</w:t>
            </w:r>
          </w:p>
        </w:tc>
        <w:tc>
          <w:tcPr>
            <w:tcW w:w="5386" w:type="dxa"/>
            <w:vAlign w:val="center"/>
          </w:tcPr>
          <w:p>
            <w:pPr>
              <w:pStyle w:val="12"/>
            </w:pPr>
            <w:r>
              <w:t>每年维护费</w:t>
            </w:r>
          </w:p>
        </w:tc>
        <w:tc>
          <w:tcPr>
            <w:tcW w:w="2268" w:type="dxa"/>
            <w:vAlign w:val="center"/>
          </w:tcPr>
          <w:p>
            <w:pPr>
              <w:pStyle w:val="12"/>
            </w:pPr>
            <w:r>
              <w:t>≤48.88万元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年接待游客量</w:t>
            </w:r>
          </w:p>
        </w:tc>
        <w:tc>
          <w:tcPr>
            <w:tcW w:w="5386" w:type="dxa"/>
            <w:vAlign w:val="center"/>
          </w:tcPr>
          <w:p>
            <w:pPr>
              <w:pStyle w:val="12"/>
            </w:pPr>
            <w:r>
              <w:t>为市民提供休闲、健身场地</w:t>
            </w:r>
          </w:p>
        </w:tc>
        <w:tc>
          <w:tcPr>
            <w:tcW w:w="2268" w:type="dxa"/>
            <w:vAlign w:val="center"/>
          </w:tcPr>
          <w:p>
            <w:pPr>
              <w:pStyle w:val="12"/>
            </w:pPr>
            <w:r>
              <w:t>≥33万人</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11、公益事业租地费绩效目标表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13010925P000008104541</w:t>
            </w:r>
          </w:p>
        </w:tc>
        <w:tc>
          <w:tcPr>
            <w:tcW w:w="2835" w:type="dxa"/>
            <w:vAlign w:val="center"/>
          </w:tcPr>
          <w:p>
            <w:pPr>
              <w:pStyle w:val="10"/>
            </w:pPr>
            <w:r>
              <w:t>项目名称</w:t>
            </w:r>
          </w:p>
        </w:tc>
        <w:tc>
          <w:tcPr>
            <w:tcW w:w="6095" w:type="dxa"/>
            <w:gridSpan w:val="3"/>
            <w:vAlign w:val="center"/>
          </w:tcPr>
          <w:p>
            <w:pPr>
              <w:pStyle w:val="12"/>
            </w:pPr>
            <w:r>
              <w:t>公益事业租地费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115.57</w:t>
            </w:r>
          </w:p>
        </w:tc>
        <w:tc>
          <w:tcPr>
            <w:tcW w:w="2835" w:type="dxa"/>
            <w:vAlign w:val="center"/>
          </w:tcPr>
          <w:p>
            <w:pPr>
              <w:pStyle w:val="10"/>
            </w:pPr>
            <w:r>
              <w:t>其中：财政    资金</w:t>
            </w:r>
          </w:p>
        </w:tc>
        <w:tc>
          <w:tcPr>
            <w:tcW w:w="2551" w:type="dxa"/>
            <w:vAlign w:val="center"/>
          </w:tcPr>
          <w:p>
            <w:pPr>
              <w:pStyle w:val="12"/>
            </w:pPr>
            <w:r>
              <w:t>115.57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预算资金总计115.573万元，用于租用廉州镇各村土地进行园林绿化、垃圾场、公园、垃圾转运站、便民市场等建设，支付租地费。进一步改善城区容貌环境，提高城市管理水平。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69.34</w:t>
            </w:r>
          </w:p>
        </w:tc>
        <w:tc>
          <w:tcPr>
            <w:tcW w:w="2551" w:type="dxa"/>
            <w:vAlign w:val="center"/>
          </w:tcPr>
          <w:p>
            <w:pPr>
              <w:pStyle w:val="13"/>
            </w:pPr>
            <w:r>
              <w:t>104.02</w:t>
            </w:r>
          </w:p>
        </w:tc>
        <w:tc>
          <w:tcPr>
            <w:tcW w:w="3544" w:type="dxa"/>
            <w:gridSpan w:val="2"/>
            <w:vAlign w:val="center"/>
          </w:tcPr>
          <w:p>
            <w:pPr>
              <w:pStyle w:val="13"/>
            </w:pPr>
            <w:r>
              <w:t>115.57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1.通过增加公园绿地、公厕转运站、建设便民市场和停车场，改善市容市貌，营造宜居的城市环境。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租地合同数量</w:t>
            </w:r>
          </w:p>
        </w:tc>
        <w:tc>
          <w:tcPr>
            <w:tcW w:w="5386" w:type="dxa"/>
            <w:vAlign w:val="center"/>
          </w:tcPr>
          <w:p>
            <w:pPr>
              <w:pStyle w:val="12"/>
            </w:pPr>
            <w:r>
              <w:t>签订的租地合同数量合同</w:t>
            </w:r>
          </w:p>
        </w:tc>
        <w:tc>
          <w:tcPr>
            <w:tcW w:w="2268" w:type="dxa"/>
            <w:vAlign w:val="center"/>
          </w:tcPr>
          <w:p>
            <w:pPr>
              <w:pStyle w:val="12"/>
            </w:pPr>
            <w:r>
              <w:t>3个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规范经营合格率</w:t>
            </w:r>
          </w:p>
        </w:tc>
        <w:tc>
          <w:tcPr>
            <w:tcW w:w="5386" w:type="dxa"/>
            <w:vAlign w:val="center"/>
          </w:tcPr>
          <w:p>
            <w:pPr>
              <w:pStyle w:val="12"/>
            </w:pPr>
            <w:r>
              <w:t>规范经营户数占总经营户数比重</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支付租金时间</w:t>
            </w:r>
          </w:p>
        </w:tc>
        <w:tc>
          <w:tcPr>
            <w:tcW w:w="5386" w:type="dxa"/>
            <w:vAlign w:val="center"/>
          </w:tcPr>
          <w:p>
            <w:pPr>
              <w:pStyle w:val="12"/>
            </w:pPr>
            <w:r>
              <w:t>支付租金时间</w:t>
            </w:r>
          </w:p>
        </w:tc>
        <w:tc>
          <w:tcPr>
            <w:tcW w:w="2268" w:type="dxa"/>
            <w:vAlign w:val="center"/>
          </w:tcPr>
          <w:p>
            <w:pPr>
              <w:pStyle w:val="12"/>
            </w:pPr>
            <w:r>
              <w:t>按计划支付</w:t>
            </w:r>
          </w:p>
          <w:p>
            <w:pPr>
              <w:pStyle w:val="12"/>
            </w:pP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廉北路便民市场</w:t>
            </w:r>
          </w:p>
        </w:tc>
        <w:tc>
          <w:tcPr>
            <w:tcW w:w="5386" w:type="dxa"/>
            <w:vAlign w:val="center"/>
          </w:tcPr>
          <w:p>
            <w:pPr>
              <w:pStyle w:val="12"/>
            </w:pPr>
            <w:r>
              <w:t>廉北路便民市场租金</w:t>
            </w:r>
          </w:p>
        </w:tc>
        <w:tc>
          <w:tcPr>
            <w:tcW w:w="2268" w:type="dxa"/>
            <w:vAlign w:val="center"/>
          </w:tcPr>
          <w:p>
            <w:pPr>
              <w:pStyle w:val="12"/>
            </w:pPr>
            <w:r>
              <w:t>≤94万元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工业路便民市场</w:t>
            </w:r>
          </w:p>
        </w:tc>
        <w:tc>
          <w:tcPr>
            <w:tcW w:w="5386" w:type="dxa"/>
            <w:vAlign w:val="center"/>
          </w:tcPr>
          <w:p>
            <w:pPr>
              <w:pStyle w:val="12"/>
            </w:pPr>
            <w:r>
              <w:t>工业路便民市场租金</w:t>
            </w:r>
          </w:p>
        </w:tc>
        <w:tc>
          <w:tcPr>
            <w:tcW w:w="2268" w:type="dxa"/>
            <w:vAlign w:val="center"/>
          </w:tcPr>
          <w:p>
            <w:pPr>
              <w:pStyle w:val="12"/>
            </w:pPr>
            <w:r>
              <w:t>≤94万元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社会服务能力提升</w:t>
            </w:r>
          </w:p>
        </w:tc>
        <w:tc>
          <w:tcPr>
            <w:tcW w:w="5386" w:type="dxa"/>
            <w:vAlign w:val="center"/>
          </w:tcPr>
          <w:p>
            <w:pPr>
              <w:pStyle w:val="12"/>
            </w:pPr>
            <w:r>
              <w:t>公共基础设施增加，服务社会能力显著提升。</w:t>
            </w:r>
          </w:p>
        </w:tc>
        <w:tc>
          <w:tcPr>
            <w:tcW w:w="2268" w:type="dxa"/>
            <w:vAlign w:val="center"/>
          </w:tcPr>
          <w:p>
            <w:pPr>
              <w:pStyle w:val="12"/>
            </w:pPr>
            <w:r>
              <w:t>公共基础设施增加，服务社会能力显著提升。</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12、环境卫生维护费（2022）绩效目标表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13010925P000018100034</w:t>
            </w:r>
          </w:p>
        </w:tc>
        <w:tc>
          <w:tcPr>
            <w:tcW w:w="2835" w:type="dxa"/>
            <w:vAlign w:val="center"/>
          </w:tcPr>
          <w:p>
            <w:pPr>
              <w:pStyle w:val="10"/>
            </w:pPr>
            <w:r>
              <w:t>项目名称</w:t>
            </w:r>
          </w:p>
        </w:tc>
        <w:tc>
          <w:tcPr>
            <w:tcW w:w="6095" w:type="dxa"/>
            <w:gridSpan w:val="3"/>
            <w:vAlign w:val="center"/>
          </w:tcPr>
          <w:p>
            <w:pPr>
              <w:pStyle w:val="12"/>
            </w:pPr>
            <w:r>
              <w:t>环境卫生维护费（2022）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2514.52</w:t>
            </w:r>
          </w:p>
        </w:tc>
        <w:tc>
          <w:tcPr>
            <w:tcW w:w="2835" w:type="dxa"/>
            <w:vAlign w:val="center"/>
          </w:tcPr>
          <w:p>
            <w:pPr>
              <w:pStyle w:val="10"/>
            </w:pPr>
            <w:r>
              <w:t>其中：财政    资金</w:t>
            </w:r>
          </w:p>
        </w:tc>
        <w:tc>
          <w:tcPr>
            <w:tcW w:w="2551" w:type="dxa"/>
            <w:vAlign w:val="center"/>
          </w:tcPr>
          <w:p>
            <w:pPr>
              <w:pStyle w:val="12"/>
            </w:pPr>
            <w:r>
              <w:t>2514.52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预算资金总计2514.52万元，1508.712用于街道清扫保洁、公厕、转运站和垃圾箱点等环卫基础设施及车辆正常运行所需的临时工工资、水费、电费、工具费、设施维修及车辆保险、加油、维修保养等其他费用。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1508.71</w:t>
            </w:r>
          </w:p>
        </w:tc>
        <w:tc>
          <w:tcPr>
            <w:tcW w:w="2551" w:type="dxa"/>
            <w:vAlign w:val="center"/>
          </w:tcPr>
          <w:p>
            <w:pPr>
              <w:pStyle w:val="13"/>
            </w:pPr>
            <w:r>
              <w:t>2263.07</w:t>
            </w:r>
          </w:p>
        </w:tc>
        <w:tc>
          <w:tcPr>
            <w:tcW w:w="3544" w:type="dxa"/>
            <w:gridSpan w:val="2"/>
            <w:vAlign w:val="center"/>
          </w:tcPr>
          <w:p>
            <w:pPr>
              <w:pStyle w:val="13"/>
            </w:pPr>
            <w:r>
              <w:t>2514.52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维护的公厕转运站的数量</w:t>
            </w:r>
          </w:p>
        </w:tc>
        <w:tc>
          <w:tcPr>
            <w:tcW w:w="5386" w:type="dxa"/>
            <w:vAlign w:val="center"/>
          </w:tcPr>
          <w:p>
            <w:pPr>
              <w:pStyle w:val="12"/>
            </w:pPr>
            <w:r>
              <w:t>维护的公厕转运站的数量</w:t>
            </w:r>
          </w:p>
        </w:tc>
        <w:tc>
          <w:tcPr>
            <w:tcW w:w="2268" w:type="dxa"/>
            <w:vAlign w:val="center"/>
          </w:tcPr>
          <w:p>
            <w:pPr>
              <w:pStyle w:val="12"/>
            </w:pPr>
            <w:r>
              <w:t>34座</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环卫设施完好率</w:t>
            </w:r>
          </w:p>
        </w:tc>
        <w:tc>
          <w:tcPr>
            <w:tcW w:w="5386" w:type="dxa"/>
            <w:vAlign w:val="center"/>
          </w:tcPr>
          <w:p>
            <w:pPr>
              <w:pStyle w:val="12"/>
            </w:pPr>
            <w:r>
              <w:t>环卫设施可正常使用数量占所有数量的比率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垃圾转运日产日清完成率</w:t>
            </w:r>
          </w:p>
        </w:tc>
        <w:tc>
          <w:tcPr>
            <w:tcW w:w="5386" w:type="dxa"/>
            <w:vAlign w:val="center"/>
          </w:tcPr>
          <w:p>
            <w:pPr>
              <w:pStyle w:val="12"/>
            </w:pPr>
            <w:r>
              <w:t>垃圾转运日清量占日产量的比率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主次街道清扫费用</w:t>
            </w:r>
          </w:p>
        </w:tc>
        <w:tc>
          <w:tcPr>
            <w:tcW w:w="5386" w:type="dxa"/>
            <w:vAlign w:val="center"/>
          </w:tcPr>
          <w:p>
            <w:pPr>
              <w:pStyle w:val="12"/>
            </w:pPr>
            <w:r>
              <w:t>主次街道清扫费用</w:t>
            </w:r>
          </w:p>
        </w:tc>
        <w:tc>
          <w:tcPr>
            <w:tcW w:w="2268" w:type="dxa"/>
            <w:vAlign w:val="center"/>
          </w:tcPr>
          <w:p>
            <w:pPr>
              <w:pStyle w:val="12"/>
            </w:pPr>
            <w:r>
              <w:t>≤9元/平方米</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小街小巷清扫费用</w:t>
            </w:r>
          </w:p>
        </w:tc>
        <w:tc>
          <w:tcPr>
            <w:tcW w:w="5386" w:type="dxa"/>
            <w:vAlign w:val="center"/>
          </w:tcPr>
          <w:p>
            <w:pPr>
              <w:pStyle w:val="12"/>
            </w:pPr>
            <w:r>
              <w:t>小街小巷清扫费用</w:t>
            </w:r>
          </w:p>
        </w:tc>
        <w:tc>
          <w:tcPr>
            <w:tcW w:w="2268" w:type="dxa"/>
            <w:vAlign w:val="center"/>
          </w:tcPr>
          <w:p>
            <w:pPr>
              <w:pStyle w:val="12"/>
            </w:pPr>
            <w:r>
              <w:t>≤4.5元/平方米</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优化人居环境</w:t>
            </w:r>
          </w:p>
        </w:tc>
        <w:tc>
          <w:tcPr>
            <w:tcW w:w="5386" w:type="dxa"/>
            <w:vAlign w:val="center"/>
          </w:tcPr>
          <w:p>
            <w:pPr>
              <w:pStyle w:val="12"/>
            </w:pPr>
            <w:r>
              <w:t>街道干净整洁，优化了人居环境</w:t>
            </w:r>
          </w:p>
        </w:tc>
        <w:tc>
          <w:tcPr>
            <w:tcW w:w="2268" w:type="dxa"/>
            <w:vAlign w:val="center"/>
          </w:tcPr>
          <w:p>
            <w:pPr>
              <w:pStyle w:val="12"/>
            </w:pPr>
            <w:r>
              <w:t>街道干净整洁，优化了人居环境</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13、环境卫生维护费及供暖补贴（2024）绩效目标表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13010925P000008104639</w:t>
            </w:r>
          </w:p>
        </w:tc>
        <w:tc>
          <w:tcPr>
            <w:tcW w:w="2835" w:type="dxa"/>
            <w:vAlign w:val="center"/>
          </w:tcPr>
          <w:p>
            <w:pPr>
              <w:pStyle w:val="10"/>
            </w:pPr>
            <w:r>
              <w:t>项目名称</w:t>
            </w:r>
          </w:p>
        </w:tc>
        <w:tc>
          <w:tcPr>
            <w:tcW w:w="6095" w:type="dxa"/>
            <w:gridSpan w:val="3"/>
            <w:vAlign w:val="center"/>
          </w:tcPr>
          <w:p>
            <w:pPr>
              <w:pStyle w:val="12"/>
            </w:pPr>
            <w:r>
              <w:t>环境卫生维护费及供暖补贴（2024）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4550.59</w:t>
            </w:r>
          </w:p>
        </w:tc>
        <w:tc>
          <w:tcPr>
            <w:tcW w:w="2835" w:type="dxa"/>
            <w:vAlign w:val="center"/>
          </w:tcPr>
          <w:p>
            <w:pPr>
              <w:pStyle w:val="10"/>
            </w:pPr>
            <w:r>
              <w:t>其中：财政    资金</w:t>
            </w:r>
          </w:p>
        </w:tc>
        <w:tc>
          <w:tcPr>
            <w:tcW w:w="2551" w:type="dxa"/>
            <w:vAlign w:val="center"/>
          </w:tcPr>
          <w:p>
            <w:pPr>
              <w:pStyle w:val="12"/>
            </w:pPr>
            <w:r>
              <w:t>4550.59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资金预算总数为4550.591472万元，用于街道清扫保洁、公厕、转运站和垃圾箱点等环卫基础设施及车辆正常运行所需的临时工工资、水费、电费、工具费、设施维修及车辆保险、加油、维修保养等其他费用。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2730.36</w:t>
            </w:r>
          </w:p>
        </w:tc>
        <w:tc>
          <w:tcPr>
            <w:tcW w:w="2551" w:type="dxa"/>
            <w:vAlign w:val="center"/>
          </w:tcPr>
          <w:p>
            <w:pPr>
              <w:pStyle w:val="13"/>
            </w:pPr>
            <w:r>
              <w:t>4095.54</w:t>
            </w:r>
          </w:p>
        </w:tc>
        <w:tc>
          <w:tcPr>
            <w:tcW w:w="3544" w:type="dxa"/>
            <w:gridSpan w:val="2"/>
            <w:vAlign w:val="center"/>
          </w:tcPr>
          <w:p>
            <w:pPr>
              <w:pStyle w:val="13"/>
            </w:pPr>
            <w:r>
              <w:t>4550.59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维护的公厕转运站的数量</w:t>
            </w:r>
          </w:p>
        </w:tc>
        <w:tc>
          <w:tcPr>
            <w:tcW w:w="5386" w:type="dxa"/>
            <w:vAlign w:val="center"/>
          </w:tcPr>
          <w:p>
            <w:pPr>
              <w:pStyle w:val="12"/>
            </w:pPr>
            <w:r>
              <w:t>维护的公厕转运站的数量</w:t>
            </w:r>
          </w:p>
        </w:tc>
        <w:tc>
          <w:tcPr>
            <w:tcW w:w="2268" w:type="dxa"/>
            <w:vAlign w:val="center"/>
          </w:tcPr>
          <w:p>
            <w:pPr>
              <w:pStyle w:val="12"/>
            </w:pPr>
            <w:r>
              <w:t>34座</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环卫设施完好率</w:t>
            </w:r>
          </w:p>
        </w:tc>
        <w:tc>
          <w:tcPr>
            <w:tcW w:w="5386" w:type="dxa"/>
            <w:vAlign w:val="center"/>
          </w:tcPr>
          <w:p>
            <w:pPr>
              <w:pStyle w:val="12"/>
            </w:pPr>
            <w:r>
              <w:t>环卫设施可正常使用数量占所有数量的比率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垃圾转运日产日清完成率</w:t>
            </w:r>
          </w:p>
        </w:tc>
        <w:tc>
          <w:tcPr>
            <w:tcW w:w="5386" w:type="dxa"/>
            <w:vAlign w:val="center"/>
          </w:tcPr>
          <w:p>
            <w:pPr>
              <w:pStyle w:val="12"/>
            </w:pPr>
            <w:r>
              <w:t>垃圾转运日清量占日产量的比率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主次街道清扫费用</w:t>
            </w:r>
          </w:p>
        </w:tc>
        <w:tc>
          <w:tcPr>
            <w:tcW w:w="5386" w:type="dxa"/>
            <w:vAlign w:val="center"/>
          </w:tcPr>
          <w:p>
            <w:pPr>
              <w:pStyle w:val="12"/>
            </w:pPr>
            <w:r>
              <w:t>主次街道清扫费用</w:t>
            </w:r>
          </w:p>
        </w:tc>
        <w:tc>
          <w:tcPr>
            <w:tcW w:w="2268" w:type="dxa"/>
            <w:vAlign w:val="center"/>
          </w:tcPr>
          <w:p>
            <w:pPr>
              <w:pStyle w:val="12"/>
            </w:pPr>
            <w:r>
              <w:t>≤9元/平方米</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小街小巷清扫费用</w:t>
            </w:r>
          </w:p>
        </w:tc>
        <w:tc>
          <w:tcPr>
            <w:tcW w:w="5386" w:type="dxa"/>
            <w:vAlign w:val="center"/>
          </w:tcPr>
          <w:p>
            <w:pPr>
              <w:pStyle w:val="12"/>
            </w:pPr>
            <w:r>
              <w:t>小街小巷清扫费用</w:t>
            </w:r>
          </w:p>
        </w:tc>
        <w:tc>
          <w:tcPr>
            <w:tcW w:w="2268" w:type="dxa"/>
            <w:vAlign w:val="center"/>
          </w:tcPr>
          <w:p>
            <w:pPr>
              <w:pStyle w:val="12"/>
            </w:pPr>
            <w:r>
              <w:t>≤4.5元/平方米</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优化人居环境</w:t>
            </w:r>
          </w:p>
        </w:tc>
        <w:tc>
          <w:tcPr>
            <w:tcW w:w="5386" w:type="dxa"/>
            <w:vAlign w:val="center"/>
          </w:tcPr>
          <w:p>
            <w:pPr>
              <w:pStyle w:val="12"/>
            </w:pPr>
            <w:r>
              <w:t>街道干净整洁，优化了人居环境</w:t>
            </w:r>
          </w:p>
        </w:tc>
        <w:tc>
          <w:tcPr>
            <w:tcW w:w="2268" w:type="dxa"/>
            <w:vAlign w:val="center"/>
          </w:tcPr>
          <w:p>
            <w:pPr>
              <w:pStyle w:val="12"/>
            </w:pPr>
            <w:r>
              <w:t>街道干净整洁，优化人居环境</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14、环卫车辆保险费（2024）绩效目标表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13010925P00000810474Q</w:t>
            </w:r>
          </w:p>
        </w:tc>
        <w:tc>
          <w:tcPr>
            <w:tcW w:w="2835" w:type="dxa"/>
            <w:vAlign w:val="center"/>
          </w:tcPr>
          <w:p>
            <w:pPr>
              <w:pStyle w:val="10"/>
            </w:pPr>
            <w:r>
              <w:t>项目名称</w:t>
            </w:r>
          </w:p>
        </w:tc>
        <w:tc>
          <w:tcPr>
            <w:tcW w:w="6095" w:type="dxa"/>
            <w:gridSpan w:val="3"/>
            <w:vAlign w:val="center"/>
          </w:tcPr>
          <w:p>
            <w:pPr>
              <w:pStyle w:val="12"/>
            </w:pPr>
            <w:r>
              <w:t>环卫车辆保险费（2024）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0.04</w:t>
            </w:r>
          </w:p>
        </w:tc>
        <w:tc>
          <w:tcPr>
            <w:tcW w:w="2835" w:type="dxa"/>
            <w:vAlign w:val="center"/>
          </w:tcPr>
          <w:p>
            <w:pPr>
              <w:pStyle w:val="10"/>
            </w:pPr>
            <w:r>
              <w:t>其中：财政    资金</w:t>
            </w:r>
          </w:p>
        </w:tc>
        <w:tc>
          <w:tcPr>
            <w:tcW w:w="2551" w:type="dxa"/>
            <w:vAlign w:val="center"/>
          </w:tcPr>
          <w:p>
            <w:pPr>
              <w:pStyle w:val="12"/>
            </w:pPr>
            <w:r>
              <w:t>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用于为环卫作业车辆缴纳保险费用，预防和分散风险。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0.03</w:t>
            </w:r>
          </w:p>
        </w:tc>
        <w:tc>
          <w:tcPr>
            <w:tcW w:w="2551" w:type="dxa"/>
            <w:vAlign w:val="center"/>
          </w:tcPr>
          <w:p>
            <w:pPr>
              <w:pStyle w:val="13"/>
            </w:pPr>
            <w:r>
              <w:t>0.04</w:t>
            </w:r>
          </w:p>
        </w:tc>
        <w:tc>
          <w:tcPr>
            <w:tcW w:w="3544" w:type="dxa"/>
            <w:gridSpan w:val="2"/>
            <w:vAlign w:val="center"/>
          </w:tcPr>
          <w:p>
            <w:pPr>
              <w:pStyle w:val="13"/>
            </w:pPr>
            <w:r>
              <w:t>0.04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1.通过为环卫车辆缴纳保险费，合理规避风险，最大限度减少事故损失。</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参保车辆数量</w:t>
            </w:r>
          </w:p>
        </w:tc>
        <w:tc>
          <w:tcPr>
            <w:tcW w:w="5386" w:type="dxa"/>
            <w:vAlign w:val="center"/>
          </w:tcPr>
          <w:p>
            <w:pPr>
              <w:pStyle w:val="12"/>
            </w:pPr>
            <w:r>
              <w:t>参保车辆数量</w:t>
            </w:r>
          </w:p>
        </w:tc>
        <w:tc>
          <w:tcPr>
            <w:tcW w:w="2268" w:type="dxa"/>
            <w:vAlign w:val="center"/>
          </w:tcPr>
          <w:p>
            <w:pPr>
              <w:pStyle w:val="12"/>
            </w:pPr>
            <w:r>
              <w:t>252辆</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机械化清扫率</w:t>
            </w:r>
          </w:p>
        </w:tc>
        <w:tc>
          <w:tcPr>
            <w:tcW w:w="5386" w:type="dxa"/>
            <w:vAlign w:val="center"/>
          </w:tcPr>
          <w:p>
            <w:pPr>
              <w:pStyle w:val="12"/>
            </w:pPr>
            <w:r>
              <w:t>机械化清扫面积占全部清扫面积的比率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垃圾转运日产日清完成率</w:t>
            </w:r>
          </w:p>
        </w:tc>
        <w:tc>
          <w:tcPr>
            <w:tcW w:w="5386" w:type="dxa"/>
            <w:vAlign w:val="center"/>
          </w:tcPr>
          <w:p>
            <w:pPr>
              <w:pStyle w:val="12"/>
            </w:pPr>
            <w:r>
              <w:t>垃圾转运日清量占日产量的比率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每辆车保险金额</w:t>
            </w:r>
          </w:p>
        </w:tc>
        <w:tc>
          <w:tcPr>
            <w:tcW w:w="5386" w:type="dxa"/>
            <w:vAlign w:val="center"/>
          </w:tcPr>
          <w:p>
            <w:pPr>
              <w:pStyle w:val="12"/>
            </w:pPr>
            <w:r>
              <w:t>单辆车保险金额</w:t>
            </w:r>
          </w:p>
        </w:tc>
        <w:tc>
          <w:tcPr>
            <w:tcW w:w="2268" w:type="dxa"/>
            <w:vAlign w:val="center"/>
          </w:tcPr>
          <w:p>
            <w:pPr>
              <w:pStyle w:val="12"/>
            </w:pPr>
            <w:r>
              <w:t>≤6500元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安全生产标准化达标率</w:t>
            </w:r>
          </w:p>
        </w:tc>
        <w:tc>
          <w:tcPr>
            <w:tcW w:w="5386" w:type="dxa"/>
            <w:vAlign w:val="center"/>
          </w:tcPr>
          <w:p>
            <w:pPr>
              <w:pStyle w:val="12"/>
            </w:pPr>
            <w:r>
              <w:t>达标的安全生产次数占安全生产总数的比率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15、垃圾填埋场维护费（2024）绩效目标表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13010925P000008104664</w:t>
            </w:r>
          </w:p>
        </w:tc>
        <w:tc>
          <w:tcPr>
            <w:tcW w:w="2835" w:type="dxa"/>
            <w:vAlign w:val="center"/>
          </w:tcPr>
          <w:p>
            <w:pPr>
              <w:pStyle w:val="10"/>
            </w:pPr>
            <w:r>
              <w:t>项目名称</w:t>
            </w:r>
          </w:p>
        </w:tc>
        <w:tc>
          <w:tcPr>
            <w:tcW w:w="6095" w:type="dxa"/>
            <w:gridSpan w:val="3"/>
            <w:vAlign w:val="center"/>
          </w:tcPr>
          <w:p>
            <w:pPr>
              <w:pStyle w:val="12"/>
            </w:pPr>
            <w:r>
              <w:t>垃圾填埋场维护费（2024）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54.73</w:t>
            </w:r>
          </w:p>
        </w:tc>
        <w:tc>
          <w:tcPr>
            <w:tcW w:w="2835" w:type="dxa"/>
            <w:vAlign w:val="center"/>
          </w:tcPr>
          <w:p>
            <w:pPr>
              <w:pStyle w:val="10"/>
            </w:pPr>
            <w:r>
              <w:t>其中：财政    资金</w:t>
            </w:r>
          </w:p>
        </w:tc>
        <w:tc>
          <w:tcPr>
            <w:tcW w:w="2551" w:type="dxa"/>
            <w:vAlign w:val="center"/>
          </w:tcPr>
          <w:p>
            <w:pPr>
              <w:pStyle w:val="12"/>
            </w:pPr>
            <w:r>
              <w:t>54.73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数54.727658万元，用于城区生活垃圾无害化处理及产生渗滤液的处理；道路、防飞散网、围墙、防护坝、导气管、场区周边绿化、变压器以及用电线路等的维护所需的临时工工资、电费、检测费及维修、维护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32.84</w:t>
            </w:r>
          </w:p>
        </w:tc>
        <w:tc>
          <w:tcPr>
            <w:tcW w:w="2551" w:type="dxa"/>
            <w:vAlign w:val="center"/>
          </w:tcPr>
          <w:p>
            <w:pPr>
              <w:pStyle w:val="13"/>
            </w:pPr>
            <w:r>
              <w:t>49.25</w:t>
            </w:r>
          </w:p>
        </w:tc>
        <w:tc>
          <w:tcPr>
            <w:tcW w:w="3544" w:type="dxa"/>
            <w:gridSpan w:val="2"/>
            <w:vAlign w:val="center"/>
          </w:tcPr>
          <w:p>
            <w:pPr>
              <w:pStyle w:val="13"/>
            </w:pPr>
            <w:r>
              <w:t>54.73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1.通过维护垃圾填埋场，确保渗滤液全部安全处置，确保水质安全达标；设施设备完好，无破损、无渗漏、无故障，场区卫生环境整洁；确保全年无安全生产事故发生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日处理规模</w:t>
            </w:r>
          </w:p>
        </w:tc>
        <w:tc>
          <w:tcPr>
            <w:tcW w:w="5386" w:type="dxa"/>
            <w:vAlign w:val="center"/>
          </w:tcPr>
          <w:p>
            <w:pPr>
              <w:pStyle w:val="12"/>
            </w:pPr>
            <w:r>
              <w:t>每日垃圾处理数量</w:t>
            </w:r>
          </w:p>
        </w:tc>
        <w:tc>
          <w:tcPr>
            <w:tcW w:w="2268" w:type="dxa"/>
            <w:vAlign w:val="center"/>
          </w:tcPr>
          <w:p>
            <w:pPr>
              <w:pStyle w:val="12"/>
            </w:pPr>
            <w:r>
              <w:t>≥450吨</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生活垃圾无害化处理率</w:t>
            </w:r>
          </w:p>
        </w:tc>
        <w:tc>
          <w:tcPr>
            <w:tcW w:w="5386" w:type="dxa"/>
            <w:vAlign w:val="center"/>
          </w:tcPr>
          <w:p>
            <w:pPr>
              <w:pStyle w:val="12"/>
            </w:pPr>
            <w:r>
              <w:t>生活垃圾无害化处理能量占总处理数量的比率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生活垃圾及时处理率</w:t>
            </w:r>
          </w:p>
        </w:tc>
        <w:tc>
          <w:tcPr>
            <w:tcW w:w="5386" w:type="dxa"/>
            <w:vAlign w:val="center"/>
          </w:tcPr>
          <w:p>
            <w:pPr>
              <w:pStyle w:val="12"/>
            </w:pPr>
            <w:r>
              <w:t>每日处理生活垃圾数量占每日进场生活垃圾数量的比率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≤54.73万元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促进城市可持续发展</w:t>
            </w:r>
          </w:p>
        </w:tc>
        <w:tc>
          <w:tcPr>
            <w:tcW w:w="5386" w:type="dxa"/>
            <w:vAlign w:val="center"/>
          </w:tcPr>
          <w:p>
            <w:pPr>
              <w:pStyle w:val="12"/>
            </w:pPr>
            <w:r>
              <w:t>生活垃圾无害化处理，保护城市生态环境，保护水土资源不被污染，促进城市可持续发展</w:t>
            </w:r>
          </w:p>
        </w:tc>
        <w:tc>
          <w:tcPr>
            <w:tcW w:w="2268" w:type="dxa"/>
            <w:vAlign w:val="center"/>
          </w:tcPr>
          <w:p>
            <w:pPr>
              <w:pStyle w:val="12"/>
            </w:pPr>
            <w:r>
              <w:t>生活垃圾无害化处理，保护城市生态环境，保护水土资源不被污染，促进城市可持续发展</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16、农村生活垃圾服务费绩效目标表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13010925P000008104251</w:t>
            </w:r>
          </w:p>
        </w:tc>
        <w:tc>
          <w:tcPr>
            <w:tcW w:w="2835" w:type="dxa"/>
            <w:vAlign w:val="center"/>
          </w:tcPr>
          <w:p>
            <w:pPr>
              <w:pStyle w:val="10"/>
            </w:pPr>
            <w:r>
              <w:t>项目名称</w:t>
            </w:r>
          </w:p>
        </w:tc>
        <w:tc>
          <w:tcPr>
            <w:tcW w:w="6095" w:type="dxa"/>
            <w:gridSpan w:val="3"/>
            <w:vAlign w:val="center"/>
          </w:tcPr>
          <w:p>
            <w:pPr>
              <w:pStyle w:val="12"/>
            </w:pPr>
            <w:r>
              <w:t>农村生活垃圾服务费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预算资金总数2000万元，用于完善农村生活垃圾处理市场化运营全覆盖工作，强化督导考核和日常监管，实现农村环境卫生大改观，农村面貌大提升。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1200.00</w:t>
            </w:r>
          </w:p>
        </w:tc>
        <w:tc>
          <w:tcPr>
            <w:tcW w:w="2551" w:type="dxa"/>
            <w:vAlign w:val="center"/>
          </w:tcPr>
          <w:p>
            <w:pPr>
              <w:pStyle w:val="13"/>
            </w:pPr>
            <w:r>
              <w:t>1800.00</w:t>
            </w:r>
          </w:p>
        </w:tc>
        <w:tc>
          <w:tcPr>
            <w:tcW w:w="3544" w:type="dxa"/>
            <w:gridSpan w:val="2"/>
            <w:vAlign w:val="center"/>
          </w:tcPr>
          <w:p>
            <w:pPr>
              <w:pStyle w:val="13"/>
            </w:pPr>
            <w:r>
              <w:t>2000.00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1.通过完成农村生活垃圾市场化运营，全区226个农村区域主要街道卫生整洁，小街小巷干净整齐，无垃圾无漂浮物，垃圾桶外无散落垃圾。</w:t>
            </w:r>
            <w:r>
              <w:tab/>
            </w:r>
            <w:r>
              <w:tab/>
            </w:r>
            <w:r>
              <w:tab/>
            </w:r>
            <w:r>
              <w:tab/>
            </w:r>
            <w:r>
              <w:tab/>
            </w:r>
          </w:p>
          <w:p>
            <w:pPr>
              <w:pStyle w:val="12"/>
            </w:pPr>
            <w:r>
              <w:t>生活垃圾实现“日产日清、密闭运输不落地目标”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农村垃圾市场化运营覆盖乡镇</w:t>
            </w:r>
          </w:p>
        </w:tc>
        <w:tc>
          <w:tcPr>
            <w:tcW w:w="5386" w:type="dxa"/>
            <w:vAlign w:val="center"/>
          </w:tcPr>
          <w:p>
            <w:pPr>
              <w:pStyle w:val="12"/>
            </w:pPr>
            <w:r>
              <w:t>农村垃圾市场化运营覆盖乡镇数量</w:t>
            </w:r>
          </w:p>
        </w:tc>
        <w:tc>
          <w:tcPr>
            <w:tcW w:w="2268" w:type="dxa"/>
            <w:vAlign w:val="center"/>
          </w:tcPr>
          <w:p>
            <w:pPr>
              <w:pStyle w:val="12"/>
            </w:pPr>
            <w:r>
              <w:t>14个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清扫保洁率</w:t>
            </w:r>
          </w:p>
        </w:tc>
        <w:tc>
          <w:tcPr>
            <w:tcW w:w="5386" w:type="dxa"/>
            <w:vAlign w:val="center"/>
          </w:tcPr>
          <w:p>
            <w:pPr>
              <w:pStyle w:val="12"/>
            </w:pPr>
            <w:r>
              <w:t>清扫面积占全部应清扫面积的比率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及时考核完成率</w:t>
            </w:r>
          </w:p>
        </w:tc>
        <w:tc>
          <w:tcPr>
            <w:tcW w:w="5386" w:type="dxa"/>
            <w:vAlign w:val="center"/>
          </w:tcPr>
          <w:p>
            <w:pPr>
              <w:pStyle w:val="12"/>
            </w:pPr>
            <w:r>
              <w:t>及时完成考核乡镇数量占所有乡镇数量的比率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一标段月维护费</w:t>
            </w:r>
          </w:p>
        </w:tc>
        <w:tc>
          <w:tcPr>
            <w:tcW w:w="5386" w:type="dxa"/>
            <w:vAlign w:val="center"/>
          </w:tcPr>
          <w:p>
            <w:pPr>
              <w:pStyle w:val="12"/>
            </w:pPr>
            <w:r>
              <w:t>一标段月维护费</w:t>
            </w:r>
          </w:p>
        </w:tc>
        <w:tc>
          <w:tcPr>
            <w:tcW w:w="2268" w:type="dxa"/>
            <w:vAlign w:val="center"/>
          </w:tcPr>
          <w:p>
            <w:pPr>
              <w:pStyle w:val="12"/>
            </w:pPr>
            <w:r>
              <w:t>≤133.74万元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二标段月维护费</w:t>
            </w:r>
          </w:p>
        </w:tc>
        <w:tc>
          <w:tcPr>
            <w:tcW w:w="5386" w:type="dxa"/>
            <w:vAlign w:val="center"/>
          </w:tcPr>
          <w:p>
            <w:pPr>
              <w:pStyle w:val="12"/>
            </w:pPr>
            <w:r>
              <w:t>二标段月维护费</w:t>
            </w:r>
          </w:p>
        </w:tc>
        <w:tc>
          <w:tcPr>
            <w:tcW w:w="2268" w:type="dxa"/>
            <w:vAlign w:val="center"/>
          </w:tcPr>
          <w:p>
            <w:pPr>
              <w:pStyle w:val="12"/>
            </w:pPr>
            <w:r>
              <w:t>≤156.04万元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三标段月维护费</w:t>
            </w:r>
          </w:p>
        </w:tc>
        <w:tc>
          <w:tcPr>
            <w:tcW w:w="5386" w:type="dxa"/>
            <w:vAlign w:val="center"/>
          </w:tcPr>
          <w:p>
            <w:pPr>
              <w:pStyle w:val="12"/>
            </w:pPr>
            <w:r>
              <w:t>三标段月维护费</w:t>
            </w:r>
          </w:p>
        </w:tc>
        <w:tc>
          <w:tcPr>
            <w:tcW w:w="2268" w:type="dxa"/>
            <w:vAlign w:val="center"/>
          </w:tcPr>
          <w:p>
            <w:pPr>
              <w:pStyle w:val="12"/>
            </w:pPr>
            <w:r>
              <w:t>≤132.89万元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改善农村生活环境</w:t>
            </w:r>
          </w:p>
        </w:tc>
        <w:tc>
          <w:tcPr>
            <w:tcW w:w="5386" w:type="dxa"/>
            <w:vAlign w:val="center"/>
          </w:tcPr>
          <w:p>
            <w:pPr>
              <w:pStyle w:val="12"/>
            </w:pPr>
            <w:r>
              <w:t>实现农村环境卫生大改观，农村面貌大提升。</w:t>
            </w:r>
          </w:p>
        </w:tc>
        <w:tc>
          <w:tcPr>
            <w:tcW w:w="2268" w:type="dxa"/>
            <w:vAlign w:val="center"/>
          </w:tcPr>
          <w:p>
            <w:pPr>
              <w:pStyle w:val="12"/>
            </w:pPr>
            <w:r>
              <w:t>实现农村环境卫生大改观，农村面貌大提升。</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17、农村生活垃圾市场化运营费（2024）绩效目标表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13010925P00000810472H</w:t>
            </w:r>
          </w:p>
        </w:tc>
        <w:tc>
          <w:tcPr>
            <w:tcW w:w="2835" w:type="dxa"/>
            <w:vAlign w:val="center"/>
          </w:tcPr>
          <w:p>
            <w:pPr>
              <w:pStyle w:val="10"/>
            </w:pPr>
            <w:r>
              <w:t>项目名称</w:t>
            </w:r>
          </w:p>
        </w:tc>
        <w:tc>
          <w:tcPr>
            <w:tcW w:w="6095" w:type="dxa"/>
            <w:gridSpan w:val="3"/>
            <w:vAlign w:val="center"/>
          </w:tcPr>
          <w:p>
            <w:pPr>
              <w:pStyle w:val="12"/>
            </w:pPr>
            <w:r>
              <w:t>农村生活垃圾市场化运营费（2024）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2158.38</w:t>
            </w:r>
          </w:p>
        </w:tc>
        <w:tc>
          <w:tcPr>
            <w:tcW w:w="2835" w:type="dxa"/>
            <w:vAlign w:val="center"/>
          </w:tcPr>
          <w:p>
            <w:pPr>
              <w:pStyle w:val="10"/>
            </w:pPr>
            <w:r>
              <w:t>其中：财政    资金</w:t>
            </w:r>
          </w:p>
        </w:tc>
        <w:tc>
          <w:tcPr>
            <w:tcW w:w="2551" w:type="dxa"/>
            <w:vAlign w:val="center"/>
          </w:tcPr>
          <w:p>
            <w:pPr>
              <w:pStyle w:val="12"/>
            </w:pPr>
            <w:r>
              <w:t>2158.38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预算资金总数2158.378083万元，用于完善农村生活垃圾处理市场化运营全覆盖工作，强化督导考核和日常监管，实现农村环境卫生大改观，农村面貌大提升。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1295.03</w:t>
            </w:r>
          </w:p>
        </w:tc>
        <w:tc>
          <w:tcPr>
            <w:tcW w:w="2551" w:type="dxa"/>
            <w:vAlign w:val="center"/>
          </w:tcPr>
          <w:p>
            <w:pPr>
              <w:pStyle w:val="13"/>
            </w:pPr>
            <w:r>
              <w:t>1942.54</w:t>
            </w:r>
          </w:p>
        </w:tc>
        <w:tc>
          <w:tcPr>
            <w:tcW w:w="3544" w:type="dxa"/>
            <w:gridSpan w:val="2"/>
            <w:vAlign w:val="center"/>
          </w:tcPr>
          <w:p>
            <w:pPr>
              <w:pStyle w:val="13"/>
            </w:pPr>
            <w:r>
              <w:t>2158.38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1.通过完成农村生活垃圾市场化运营，全区226个农村区域主要街道卫生整洁，小街小巷干净整齐，无垃圾无漂浮物，垃圾桶外无散落垃圾。生活垃圾实现“日产日清、密闭运输不落地目标”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农村垃圾市场化运营覆盖乡镇</w:t>
            </w:r>
          </w:p>
        </w:tc>
        <w:tc>
          <w:tcPr>
            <w:tcW w:w="5386" w:type="dxa"/>
            <w:vAlign w:val="center"/>
          </w:tcPr>
          <w:p>
            <w:pPr>
              <w:pStyle w:val="12"/>
            </w:pPr>
            <w:r>
              <w:t>农村垃圾市场化运营覆盖乡镇数量</w:t>
            </w:r>
          </w:p>
        </w:tc>
        <w:tc>
          <w:tcPr>
            <w:tcW w:w="2268" w:type="dxa"/>
            <w:vAlign w:val="center"/>
          </w:tcPr>
          <w:p>
            <w:pPr>
              <w:pStyle w:val="12"/>
            </w:pPr>
            <w:r>
              <w:t>14个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清扫保洁率</w:t>
            </w:r>
          </w:p>
        </w:tc>
        <w:tc>
          <w:tcPr>
            <w:tcW w:w="5386" w:type="dxa"/>
            <w:vAlign w:val="center"/>
          </w:tcPr>
          <w:p>
            <w:pPr>
              <w:pStyle w:val="12"/>
            </w:pPr>
            <w:r>
              <w:t>清扫面积占全部应清扫面积的比率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及时考核完成率</w:t>
            </w:r>
          </w:p>
        </w:tc>
        <w:tc>
          <w:tcPr>
            <w:tcW w:w="5386" w:type="dxa"/>
            <w:vAlign w:val="center"/>
          </w:tcPr>
          <w:p>
            <w:pPr>
              <w:pStyle w:val="12"/>
            </w:pPr>
            <w:r>
              <w:t>及时完成考核乡镇数量占所有乡镇数量的比率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一标段月维护费</w:t>
            </w:r>
          </w:p>
        </w:tc>
        <w:tc>
          <w:tcPr>
            <w:tcW w:w="5386" w:type="dxa"/>
            <w:vAlign w:val="center"/>
          </w:tcPr>
          <w:p>
            <w:pPr>
              <w:pStyle w:val="12"/>
            </w:pPr>
            <w:r>
              <w:t>一标段月维护费</w:t>
            </w:r>
          </w:p>
        </w:tc>
        <w:tc>
          <w:tcPr>
            <w:tcW w:w="2268" w:type="dxa"/>
            <w:vAlign w:val="center"/>
          </w:tcPr>
          <w:p>
            <w:pPr>
              <w:pStyle w:val="12"/>
            </w:pPr>
            <w:r>
              <w:t>≤133.74万元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二标段月维护费</w:t>
            </w:r>
          </w:p>
        </w:tc>
        <w:tc>
          <w:tcPr>
            <w:tcW w:w="5386" w:type="dxa"/>
            <w:vAlign w:val="center"/>
          </w:tcPr>
          <w:p>
            <w:pPr>
              <w:pStyle w:val="12"/>
            </w:pPr>
            <w:r>
              <w:t>二标段月维护费</w:t>
            </w:r>
          </w:p>
        </w:tc>
        <w:tc>
          <w:tcPr>
            <w:tcW w:w="2268" w:type="dxa"/>
            <w:vAlign w:val="center"/>
          </w:tcPr>
          <w:p>
            <w:pPr>
              <w:pStyle w:val="12"/>
            </w:pPr>
            <w:r>
              <w:t>≤156.04万元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三标段月维护费</w:t>
            </w:r>
          </w:p>
        </w:tc>
        <w:tc>
          <w:tcPr>
            <w:tcW w:w="5386" w:type="dxa"/>
            <w:vAlign w:val="center"/>
          </w:tcPr>
          <w:p>
            <w:pPr>
              <w:pStyle w:val="12"/>
            </w:pPr>
            <w:r>
              <w:t>三标段月维护费</w:t>
            </w:r>
          </w:p>
        </w:tc>
        <w:tc>
          <w:tcPr>
            <w:tcW w:w="2268" w:type="dxa"/>
            <w:vAlign w:val="center"/>
          </w:tcPr>
          <w:p>
            <w:pPr>
              <w:pStyle w:val="12"/>
            </w:pPr>
            <w:r>
              <w:t>≤132.89万元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改善农村生活环境</w:t>
            </w:r>
          </w:p>
        </w:tc>
        <w:tc>
          <w:tcPr>
            <w:tcW w:w="5386" w:type="dxa"/>
            <w:vAlign w:val="center"/>
          </w:tcPr>
          <w:p>
            <w:pPr>
              <w:pStyle w:val="12"/>
            </w:pPr>
            <w:r>
              <w:t>实现农村环境卫生大改观，农村面貌大提升。</w:t>
            </w:r>
          </w:p>
        </w:tc>
        <w:tc>
          <w:tcPr>
            <w:tcW w:w="2268" w:type="dxa"/>
            <w:vAlign w:val="center"/>
          </w:tcPr>
          <w:p>
            <w:pPr>
              <w:pStyle w:val="12"/>
            </w:pPr>
            <w:r>
              <w:t>实现农村环境卫生大改观，农村面貌大提升。</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18、农村生活垃圾市场运营费（2022）绩效目标表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13010925P00001810002G</w:t>
            </w:r>
          </w:p>
        </w:tc>
        <w:tc>
          <w:tcPr>
            <w:tcW w:w="2835" w:type="dxa"/>
            <w:vAlign w:val="center"/>
          </w:tcPr>
          <w:p>
            <w:pPr>
              <w:pStyle w:val="10"/>
            </w:pPr>
            <w:r>
              <w:t>项目名称</w:t>
            </w:r>
          </w:p>
        </w:tc>
        <w:tc>
          <w:tcPr>
            <w:tcW w:w="6095" w:type="dxa"/>
            <w:gridSpan w:val="3"/>
            <w:vAlign w:val="center"/>
          </w:tcPr>
          <w:p>
            <w:pPr>
              <w:pStyle w:val="12"/>
            </w:pPr>
            <w:r>
              <w:t>农村生活垃圾市场运营费（2022）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1925.00</w:t>
            </w:r>
          </w:p>
        </w:tc>
        <w:tc>
          <w:tcPr>
            <w:tcW w:w="2835" w:type="dxa"/>
            <w:vAlign w:val="center"/>
          </w:tcPr>
          <w:p>
            <w:pPr>
              <w:pStyle w:val="10"/>
            </w:pPr>
            <w:r>
              <w:t>其中：财政    资金</w:t>
            </w:r>
          </w:p>
        </w:tc>
        <w:tc>
          <w:tcPr>
            <w:tcW w:w="2551" w:type="dxa"/>
            <w:vAlign w:val="center"/>
          </w:tcPr>
          <w:p>
            <w:pPr>
              <w:pStyle w:val="12"/>
            </w:pPr>
            <w:r>
              <w:t>1925.00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预算资金总计1925万元，用于完善农村生活垃圾处理市场化运营全覆盖工作，强化督导考核和日常监管，实现农村环境卫生大改观，农村面貌大提升。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1155.00</w:t>
            </w:r>
          </w:p>
        </w:tc>
        <w:tc>
          <w:tcPr>
            <w:tcW w:w="2551" w:type="dxa"/>
            <w:vAlign w:val="center"/>
          </w:tcPr>
          <w:p>
            <w:pPr>
              <w:pStyle w:val="13"/>
            </w:pPr>
            <w:r>
              <w:t>1732.50</w:t>
            </w:r>
          </w:p>
        </w:tc>
        <w:tc>
          <w:tcPr>
            <w:tcW w:w="3544" w:type="dxa"/>
            <w:gridSpan w:val="2"/>
            <w:vAlign w:val="center"/>
          </w:tcPr>
          <w:p>
            <w:pPr>
              <w:pStyle w:val="13"/>
            </w:pPr>
            <w:r>
              <w:t>1925.00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1.通过完成农村生活垃圾市场化运营，全区226个农村区域主要街道卫生整洁，小街小巷干净整齐，无垃圾无漂浮物，垃圾桶外无散落垃圾。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农村垃圾市场化运营覆盖乡镇</w:t>
            </w:r>
          </w:p>
        </w:tc>
        <w:tc>
          <w:tcPr>
            <w:tcW w:w="5386" w:type="dxa"/>
            <w:vAlign w:val="center"/>
          </w:tcPr>
          <w:p>
            <w:pPr>
              <w:pStyle w:val="12"/>
            </w:pPr>
            <w:r>
              <w:t>农村垃圾市场化运营覆盖乡镇数量</w:t>
            </w:r>
          </w:p>
        </w:tc>
        <w:tc>
          <w:tcPr>
            <w:tcW w:w="2268" w:type="dxa"/>
            <w:vAlign w:val="center"/>
          </w:tcPr>
          <w:p>
            <w:pPr>
              <w:pStyle w:val="12"/>
            </w:pPr>
            <w:r>
              <w:t>14个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清扫保洁率</w:t>
            </w:r>
          </w:p>
        </w:tc>
        <w:tc>
          <w:tcPr>
            <w:tcW w:w="5386" w:type="dxa"/>
            <w:vAlign w:val="center"/>
          </w:tcPr>
          <w:p>
            <w:pPr>
              <w:pStyle w:val="12"/>
            </w:pPr>
            <w:r>
              <w:t>清扫面积占全部应清扫面积的比率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及时考核完成率</w:t>
            </w:r>
          </w:p>
        </w:tc>
        <w:tc>
          <w:tcPr>
            <w:tcW w:w="5386" w:type="dxa"/>
            <w:vAlign w:val="center"/>
          </w:tcPr>
          <w:p>
            <w:pPr>
              <w:pStyle w:val="12"/>
            </w:pPr>
            <w:r>
              <w:t>及时完成考核乡镇数量占所有乡镇数量的比率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一标段月维护费</w:t>
            </w:r>
          </w:p>
        </w:tc>
        <w:tc>
          <w:tcPr>
            <w:tcW w:w="5386" w:type="dxa"/>
            <w:vAlign w:val="center"/>
          </w:tcPr>
          <w:p>
            <w:pPr>
              <w:pStyle w:val="12"/>
            </w:pPr>
            <w:r>
              <w:t>一标段月维护费</w:t>
            </w:r>
          </w:p>
        </w:tc>
        <w:tc>
          <w:tcPr>
            <w:tcW w:w="2268" w:type="dxa"/>
            <w:vAlign w:val="center"/>
          </w:tcPr>
          <w:p>
            <w:pPr>
              <w:pStyle w:val="12"/>
            </w:pPr>
            <w:r>
              <w:t>≤133.74万元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二标段月维护费</w:t>
            </w:r>
          </w:p>
        </w:tc>
        <w:tc>
          <w:tcPr>
            <w:tcW w:w="5386" w:type="dxa"/>
            <w:vAlign w:val="center"/>
          </w:tcPr>
          <w:p>
            <w:pPr>
              <w:pStyle w:val="12"/>
            </w:pPr>
            <w:r>
              <w:t>二标段月维护费</w:t>
            </w:r>
          </w:p>
        </w:tc>
        <w:tc>
          <w:tcPr>
            <w:tcW w:w="2268" w:type="dxa"/>
            <w:vAlign w:val="center"/>
          </w:tcPr>
          <w:p>
            <w:pPr>
              <w:pStyle w:val="12"/>
            </w:pPr>
            <w:r>
              <w:t>≤156.04万元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三标段月维护费</w:t>
            </w:r>
          </w:p>
        </w:tc>
        <w:tc>
          <w:tcPr>
            <w:tcW w:w="5386" w:type="dxa"/>
            <w:vAlign w:val="center"/>
          </w:tcPr>
          <w:p>
            <w:pPr>
              <w:pStyle w:val="12"/>
            </w:pPr>
            <w:r>
              <w:t>三标段月维护费</w:t>
            </w:r>
          </w:p>
        </w:tc>
        <w:tc>
          <w:tcPr>
            <w:tcW w:w="2268" w:type="dxa"/>
            <w:vAlign w:val="center"/>
          </w:tcPr>
          <w:p>
            <w:pPr>
              <w:pStyle w:val="12"/>
            </w:pPr>
            <w:r>
              <w:t>≤132.89万元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改善农村生活环境</w:t>
            </w:r>
          </w:p>
        </w:tc>
        <w:tc>
          <w:tcPr>
            <w:tcW w:w="5386" w:type="dxa"/>
            <w:vAlign w:val="center"/>
          </w:tcPr>
          <w:p>
            <w:pPr>
              <w:pStyle w:val="12"/>
            </w:pPr>
            <w:r>
              <w:t>实现农村环境卫生大改观，农村面貌大提升。</w:t>
            </w:r>
          </w:p>
        </w:tc>
        <w:tc>
          <w:tcPr>
            <w:tcW w:w="2268" w:type="dxa"/>
            <w:vAlign w:val="center"/>
          </w:tcPr>
          <w:p>
            <w:pPr>
              <w:pStyle w:val="12"/>
            </w:pPr>
            <w:r>
              <w:t>实现农村环境卫生大改观，农村面貌大提升。</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19、气代煤取暖设备规范化运行服务费（2024）绩效目标表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13010925P00000810475C</w:t>
            </w:r>
          </w:p>
        </w:tc>
        <w:tc>
          <w:tcPr>
            <w:tcW w:w="2835" w:type="dxa"/>
            <w:vAlign w:val="center"/>
          </w:tcPr>
          <w:p>
            <w:pPr>
              <w:pStyle w:val="10"/>
            </w:pPr>
            <w:r>
              <w:t>项目名称</w:t>
            </w:r>
          </w:p>
        </w:tc>
        <w:tc>
          <w:tcPr>
            <w:tcW w:w="6095" w:type="dxa"/>
            <w:gridSpan w:val="3"/>
            <w:vAlign w:val="center"/>
          </w:tcPr>
          <w:p>
            <w:pPr>
              <w:pStyle w:val="12"/>
            </w:pPr>
            <w:r>
              <w:t>气代煤取暖设备规范化运行服务费（2024）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223.67</w:t>
            </w:r>
          </w:p>
        </w:tc>
        <w:tc>
          <w:tcPr>
            <w:tcW w:w="2835" w:type="dxa"/>
            <w:vAlign w:val="center"/>
          </w:tcPr>
          <w:p>
            <w:pPr>
              <w:pStyle w:val="10"/>
            </w:pPr>
            <w:r>
              <w:t>其中：财政    资金</w:t>
            </w:r>
          </w:p>
        </w:tc>
        <w:tc>
          <w:tcPr>
            <w:tcW w:w="2551" w:type="dxa"/>
            <w:vAlign w:val="center"/>
          </w:tcPr>
          <w:p>
            <w:pPr>
              <w:pStyle w:val="12"/>
            </w:pPr>
            <w:r>
              <w:t>223.67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预算资金总计223.672万元，用于对藁城区所有享受政府气代煤运行补贴用户壁挂炉清洗维护保养、户内燃气设施设备入户安全检测及用户培训宣传工作。每户缴纳燃气意外险。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134.20</w:t>
            </w:r>
          </w:p>
        </w:tc>
        <w:tc>
          <w:tcPr>
            <w:tcW w:w="2551" w:type="dxa"/>
            <w:vAlign w:val="center"/>
          </w:tcPr>
          <w:p>
            <w:pPr>
              <w:pStyle w:val="13"/>
            </w:pPr>
            <w:r>
              <w:t>201.30</w:t>
            </w:r>
          </w:p>
        </w:tc>
        <w:tc>
          <w:tcPr>
            <w:tcW w:w="3544" w:type="dxa"/>
            <w:gridSpan w:val="2"/>
            <w:vAlign w:val="center"/>
          </w:tcPr>
          <w:p>
            <w:pPr>
              <w:pStyle w:val="13"/>
            </w:pPr>
            <w:r>
              <w:t>223.67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1.通过对藁城区所有享受政府气代煤运行补贴用户进行维护、保养、清洗；缴纳燃气意外险。提高用户安全意识和用气常识，确保用户安全用气.</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藁城区享受政府气代煤运行补贴的农村用户户数</w:t>
            </w:r>
          </w:p>
        </w:tc>
        <w:tc>
          <w:tcPr>
            <w:tcW w:w="5386" w:type="dxa"/>
            <w:vAlign w:val="center"/>
          </w:tcPr>
          <w:p>
            <w:pPr>
              <w:pStyle w:val="12"/>
            </w:pPr>
            <w:r>
              <w:t>藁城区享受政府气代煤运行补贴的农村用户户数</w:t>
            </w:r>
          </w:p>
        </w:tc>
        <w:tc>
          <w:tcPr>
            <w:tcW w:w="2268" w:type="dxa"/>
            <w:vAlign w:val="center"/>
          </w:tcPr>
          <w:p>
            <w:pPr>
              <w:pStyle w:val="12"/>
            </w:pPr>
            <w:r>
              <w:t>≥162475户</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藁城区全区所有燃气用户户数</w:t>
            </w:r>
          </w:p>
        </w:tc>
        <w:tc>
          <w:tcPr>
            <w:tcW w:w="5386" w:type="dxa"/>
            <w:vAlign w:val="center"/>
          </w:tcPr>
          <w:p>
            <w:pPr>
              <w:pStyle w:val="12"/>
            </w:pPr>
            <w:r>
              <w:t>藁城区全区所有燃气用户户数</w:t>
            </w:r>
          </w:p>
        </w:tc>
        <w:tc>
          <w:tcPr>
            <w:tcW w:w="2268" w:type="dxa"/>
            <w:vAlign w:val="center"/>
          </w:tcPr>
          <w:p>
            <w:pPr>
              <w:pStyle w:val="12"/>
            </w:pPr>
            <w:r>
              <w:t>≥184245户</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为农村用户提供维保清洗和入户检测服务的覆盖率</w:t>
            </w:r>
          </w:p>
        </w:tc>
        <w:tc>
          <w:tcPr>
            <w:tcW w:w="5386" w:type="dxa"/>
            <w:vAlign w:val="center"/>
          </w:tcPr>
          <w:p>
            <w:pPr>
              <w:pStyle w:val="12"/>
            </w:pPr>
            <w:r>
              <w:t>实际被提供服务户数占应被提供服务户数的比重</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为全区用户购买燃气意外险的覆盖率</w:t>
            </w:r>
          </w:p>
        </w:tc>
        <w:tc>
          <w:tcPr>
            <w:tcW w:w="5386" w:type="dxa"/>
            <w:vAlign w:val="center"/>
          </w:tcPr>
          <w:p>
            <w:pPr>
              <w:pStyle w:val="12"/>
            </w:pPr>
            <w:r>
              <w:t>实际被购买保险户数占应被购买保险户数的比重</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支出时间</w:t>
            </w:r>
          </w:p>
        </w:tc>
        <w:tc>
          <w:tcPr>
            <w:tcW w:w="5386" w:type="dxa"/>
            <w:vAlign w:val="center"/>
          </w:tcPr>
          <w:p>
            <w:pPr>
              <w:pStyle w:val="12"/>
            </w:pPr>
            <w:r>
              <w:t>支出时间</w:t>
            </w:r>
          </w:p>
        </w:tc>
        <w:tc>
          <w:tcPr>
            <w:tcW w:w="2268" w:type="dxa"/>
            <w:vAlign w:val="center"/>
          </w:tcPr>
          <w:p>
            <w:pPr>
              <w:pStyle w:val="12"/>
            </w:pPr>
            <w:r>
              <w:t>按计划支出</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为农村用户提供一次维保清洗和入户安全用气状况核查服务的单价</w:t>
            </w:r>
          </w:p>
        </w:tc>
        <w:tc>
          <w:tcPr>
            <w:tcW w:w="5386" w:type="dxa"/>
            <w:vAlign w:val="center"/>
          </w:tcPr>
          <w:p>
            <w:pPr>
              <w:pStyle w:val="12"/>
            </w:pPr>
            <w:r>
              <w:t>为农村用户提供一次维保清洗和入户安全用气状况核查服务的单价</w:t>
            </w:r>
          </w:p>
        </w:tc>
        <w:tc>
          <w:tcPr>
            <w:tcW w:w="2268" w:type="dxa"/>
            <w:vAlign w:val="center"/>
          </w:tcPr>
          <w:p>
            <w:pPr>
              <w:pStyle w:val="12"/>
            </w:pPr>
            <w:r>
              <w:t>≤60元/户</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燃气意外保险单价</w:t>
            </w:r>
          </w:p>
        </w:tc>
        <w:tc>
          <w:tcPr>
            <w:tcW w:w="5386" w:type="dxa"/>
            <w:vAlign w:val="center"/>
          </w:tcPr>
          <w:p>
            <w:pPr>
              <w:pStyle w:val="12"/>
            </w:pPr>
            <w:r>
              <w:t>燃气意外保险单价</w:t>
            </w:r>
          </w:p>
        </w:tc>
        <w:tc>
          <w:tcPr>
            <w:tcW w:w="2268" w:type="dxa"/>
            <w:vAlign w:val="center"/>
          </w:tcPr>
          <w:p>
            <w:pPr>
              <w:pStyle w:val="12"/>
            </w:pPr>
            <w:r>
              <w:t>≤20元/户</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减少燃气用户使用燃气的安全隐患，减少重大安全事故发生，增强风险防范能力</w:t>
            </w:r>
          </w:p>
        </w:tc>
        <w:tc>
          <w:tcPr>
            <w:tcW w:w="5386" w:type="dxa"/>
            <w:vAlign w:val="center"/>
          </w:tcPr>
          <w:p>
            <w:pPr>
              <w:pStyle w:val="12"/>
            </w:pPr>
            <w:r>
              <w:t>减少燃气用户使用燃气的安全隐患，减少重大安全事故发生，增强风险防范能力</w:t>
            </w:r>
          </w:p>
        </w:tc>
        <w:tc>
          <w:tcPr>
            <w:tcW w:w="2268" w:type="dxa"/>
            <w:vAlign w:val="center"/>
          </w:tcPr>
          <w:p>
            <w:pPr>
              <w:pStyle w:val="12"/>
            </w:pPr>
            <w:r>
              <w:t>减少燃气用户使用燃气的安全隐患，减少重大安全事故发生，增强风险防范能力</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藁城区全区所有燃气用户满意度</w:t>
            </w:r>
          </w:p>
        </w:tc>
        <w:tc>
          <w:tcPr>
            <w:tcW w:w="5386" w:type="dxa"/>
            <w:vAlign w:val="center"/>
          </w:tcPr>
          <w:p>
            <w:pPr>
              <w:pStyle w:val="12"/>
            </w:pPr>
            <w:r>
              <w:t>藁城区全区所有燃气用户满意度</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20、气代煤取暖设备规范化运行服务及第三方评估监督费绩效目标表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13010925P00000810455L</w:t>
            </w:r>
          </w:p>
        </w:tc>
        <w:tc>
          <w:tcPr>
            <w:tcW w:w="2835" w:type="dxa"/>
            <w:vAlign w:val="center"/>
          </w:tcPr>
          <w:p>
            <w:pPr>
              <w:pStyle w:val="10"/>
            </w:pPr>
            <w:r>
              <w:t>项目名称</w:t>
            </w:r>
          </w:p>
        </w:tc>
        <w:tc>
          <w:tcPr>
            <w:tcW w:w="6095" w:type="dxa"/>
            <w:gridSpan w:val="3"/>
            <w:vAlign w:val="center"/>
          </w:tcPr>
          <w:p>
            <w:pPr>
              <w:pStyle w:val="12"/>
            </w:pPr>
            <w:r>
              <w:t>气代煤取暖设备规范化运行服务及第三方评估监督费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130万元，用于对藁城区所有享受政府气代煤运行补贴用户壁挂炉清洗维护保养、户内燃气设施设备入户安全检测及用户培训宣传工作。每户缴纳燃气意外险。用于招聘专业安评公司对我区14个乡镇214个村162478户气代煤用户、14家燃气企业、近5000公里架空燃气管网进行监督评估；共需对4大项28个小项工作进行全年监管评估，排查问题，并督促相关企业等完成整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78.00</w:t>
            </w:r>
          </w:p>
        </w:tc>
        <w:tc>
          <w:tcPr>
            <w:tcW w:w="2551" w:type="dxa"/>
            <w:vAlign w:val="center"/>
          </w:tcPr>
          <w:p>
            <w:pPr>
              <w:pStyle w:val="13"/>
            </w:pPr>
            <w:r>
              <w:t>117.00</w:t>
            </w:r>
          </w:p>
        </w:tc>
        <w:tc>
          <w:tcPr>
            <w:tcW w:w="3544" w:type="dxa"/>
            <w:gridSpan w:val="2"/>
            <w:vAlign w:val="center"/>
          </w:tcPr>
          <w:p>
            <w:pPr>
              <w:pStyle w:val="13"/>
            </w:pPr>
            <w:r>
              <w:t>130.00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1.通过对藁城区所有享受政府气代煤运行补贴用户进行维护、保养、清洗；缴纳燃气意外险。提高用户安全意识和用气常识，确保用户安全用气.</w:t>
            </w:r>
            <w:r>
              <w:tab/>
            </w:r>
            <w:r>
              <w:tab/>
            </w:r>
            <w:r>
              <w:tab/>
            </w:r>
            <w:r>
              <w:tab/>
            </w:r>
            <w:r>
              <w:tab/>
            </w:r>
          </w:p>
          <w:p>
            <w:pPr>
              <w:pStyle w:val="12"/>
            </w:pPr>
            <w:r>
              <w:t>通过第三方专业团队，专业的排查整治，监督评估和对燃气办进行业务指导及培训，保障我区气代煤工程安全运行</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藁城区享受政府气代煤运行补贴的农村用户户数</w:t>
            </w:r>
          </w:p>
        </w:tc>
        <w:tc>
          <w:tcPr>
            <w:tcW w:w="5386" w:type="dxa"/>
            <w:vAlign w:val="center"/>
          </w:tcPr>
          <w:p>
            <w:pPr>
              <w:pStyle w:val="12"/>
            </w:pPr>
            <w:r>
              <w:t>藁城区享受政府气代煤运行补贴的农村用户户数</w:t>
            </w:r>
          </w:p>
        </w:tc>
        <w:tc>
          <w:tcPr>
            <w:tcW w:w="2268" w:type="dxa"/>
            <w:vAlign w:val="center"/>
          </w:tcPr>
          <w:p>
            <w:pPr>
              <w:pStyle w:val="12"/>
            </w:pPr>
            <w:r>
              <w:t>≥162475户</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藁城区全区所有燃气用户户数</w:t>
            </w:r>
          </w:p>
        </w:tc>
        <w:tc>
          <w:tcPr>
            <w:tcW w:w="5386" w:type="dxa"/>
            <w:vAlign w:val="center"/>
          </w:tcPr>
          <w:p>
            <w:pPr>
              <w:pStyle w:val="12"/>
            </w:pPr>
            <w:r>
              <w:t>藁城区全区所有燃气用户户数</w:t>
            </w:r>
          </w:p>
        </w:tc>
        <w:tc>
          <w:tcPr>
            <w:tcW w:w="2268" w:type="dxa"/>
            <w:vAlign w:val="center"/>
          </w:tcPr>
          <w:p>
            <w:pPr>
              <w:pStyle w:val="12"/>
            </w:pPr>
            <w:r>
              <w:t>≥184245户</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第三方评估监督需要完成的工作项数</w:t>
            </w:r>
          </w:p>
        </w:tc>
        <w:tc>
          <w:tcPr>
            <w:tcW w:w="5386" w:type="dxa"/>
            <w:vAlign w:val="center"/>
          </w:tcPr>
          <w:p>
            <w:pPr>
              <w:pStyle w:val="12"/>
            </w:pPr>
            <w:r>
              <w:t>第三方评估监督需要完成的工作项数</w:t>
            </w:r>
          </w:p>
        </w:tc>
        <w:tc>
          <w:tcPr>
            <w:tcW w:w="2268" w:type="dxa"/>
            <w:vAlign w:val="center"/>
          </w:tcPr>
          <w:p>
            <w:pPr>
              <w:pStyle w:val="12"/>
            </w:pPr>
            <w:r>
              <w:t>9项</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为农村用户提供维保清洗和入户检测服务的覆盖率</w:t>
            </w:r>
          </w:p>
        </w:tc>
        <w:tc>
          <w:tcPr>
            <w:tcW w:w="5386" w:type="dxa"/>
            <w:vAlign w:val="center"/>
          </w:tcPr>
          <w:p>
            <w:pPr>
              <w:pStyle w:val="12"/>
            </w:pPr>
            <w:r>
              <w:t>实际被提供服务户数占应被提供服务户数的比重</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为全区用户购买燃气意外险的覆盖率</w:t>
            </w:r>
          </w:p>
        </w:tc>
        <w:tc>
          <w:tcPr>
            <w:tcW w:w="5386" w:type="dxa"/>
            <w:vAlign w:val="center"/>
          </w:tcPr>
          <w:p>
            <w:pPr>
              <w:pStyle w:val="12"/>
            </w:pPr>
            <w:r>
              <w:t>实际被购买保险户数占应被购买保险户数的比重</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第三方评估监督工作完成率</w:t>
            </w:r>
          </w:p>
        </w:tc>
        <w:tc>
          <w:tcPr>
            <w:tcW w:w="5386" w:type="dxa"/>
            <w:vAlign w:val="center"/>
          </w:tcPr>
          <w:p>
            <w:pPr>
              <w:pStyle w:val="12"/>
            </w:pPr>
            <w:r>
              <w:t>完成的工作项数占总工作项数的比重</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气代煤取暖设备规范化运行服务期限</w:t>
            </w:r>
          </w:p>
        </w:tc>
        <w:tc>
          <w:tcPr>
            <w:tcW w:w="5386" w:type="dxa"/>
            <w:vAlign w:val="center"/>
          </w:tcPr>
          <w:p>
            <w:pPr>
              <w:pStyle w:val="12"/>
            </w:pPr>
            <w:r>
              <w:t>气代煤取暖设备规范化运行服务期限</w:t>
            </w:r>
          </w:p>
        </w:tc>
        <w:tc>
          <w:tcPr>
            <w:tcW w:w="2268" w:type="dxa"/>
            <w:vAlign w:val="center"/>
          </w:tcPr>
          <w:p>
            <w:pPr>
              <w:pStyle w:val="12"/>
            </w:pPr>
            <w:r>
              <w:t>1年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第三方评估监督工作服务期限</w:t>
            </w:r>
          </w:p>
        </w:tc>
        <w:tc>
          <w:tcPr>
            <w:tcW w:w="5386" w:type="dxa"/>
            <w:vAlign w:val="center"/>
          </w:tcPr>
          <w:p>
            <w:pPr>
              <w:pStyle w:val="12"/>
            </w:pPr>
            <w:r>
              <w:t>第三方评估监督工作服务期限</w:t>
            </w:r>
          </w:p>
        </w:tc>
        <w:tc>
          <w:tcPr>
            <w:tcW w:w="2268" w:type="dxa"/>
            <w:vAlign w:val="center"/>
          </w:tcPr>
          <w:p>
            <w:pPr>
              <w:pStyle w:val="12"/>
            </w:pPr>
            <w:r>
              <w:t>1年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为农村用户提供一次维保清洗和入户安全用气状况核查服务的单价</w:t>
            </w:r>
          </w:p>
        </w:tc>
        <w:tc>
          <w:tcPr>
            <w:tcW w:w="5386" w:type="dxa"/>
            <w:vAlign w:val="center"/>
          </w:tcPr>
          <w:p>
            <w:pPr>
              <w:pStyle w:val="12"/>
            </w:pPr>
            <w:r>
              <w:t>为农村用户提供一次维保清洗和入户安全用气状况核查服务的单价</w:t>
            </w:r>
          </w:p>
        </w:tc>
        <w:tc>
          <w:tcPr>
            <w:tcW w:w="2268" w:type="dxa"/>
            <w:vAlign w:val="center"/>
          </w:tcPr>
          <w:p>
            <w:pPr>
              <w:pStyle w:val="12"/>
            </w:pPr>
            <w:r>
              <w:t>≤60元/户</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燃气意外保险单价</w:t>
            </w:r>
          </w:p>
        </w:tc>
        <w:tc>
          <w:tcPr>
            <w:tcW w:w="5386" w:type="dxa"/>
            <w:vAlign w:val="center"/>
          </w:tcPr>
          <w:p>
            <w:pPr>
              <w:pStyle w:val="12"/>
            </w:pPr>
            <w:r>
              <w:t>燃气意外保险单价</w:t>
            </w:r>
          </w:p>
        </w:tc>
        <w:tc>
          <w:tcPr>
            <w:tcW w:w="2268" w:type="dxa"/>
            <w:vAlign w:val="center"/>
          </w:tcPr>
          <w:p>
            <w:pPr>
              <w:pStyle w:val="12"/>
            </w:pPr>
            <w:r>
              <w:t>≤20元/户</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第三方评估监督工作预算控制数</w:t>
            </w:r>
          </w:p>
        </w:tc>
        <w:tc>
          <w:tcPr>
            <w:tcW w:w="5386" w:type="dxa"/>
            <w:vAlign w:val="center"/>
          </w:tcPr>
          <w:p>
            <w:pPr>
              <w:pStyle w:val="12"/>
            </w:pPr>
            <w:r>
              <w:t>第三方评估监督工作预算控制数</w:t>
            </w:r>
          </w:p>
        </w:tc>
        <w:tc>
          <w:tcPr>
            <w:tcW w:w="2268" w:type="dxa"/>
            <w:vAlign w:val="center"/>
          </w:tcPr>
          <w:p>
            <w:pPr>
              <w:pStyle w:val="12"/>
            </w:pPr>
            <w:r>
              <w:t>≤30万元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减少燃气用户使用燃气的安全隐患，减少重大安全事故发生，增强风险防范能力</w:t>
            </w:r>
          </w:p>
        </w:tc>
        <w:tc>
          <w:tcPr>
            <w:tcW w:w="5386" w:type="dxa"/>
            <w:vAlign w:val="center"/>
          </w:tcPr>
          <w:p>
            <w:pPr>
              <w:pStyle w:val="12"/>
            </w:pPr>
            <w:r>
              <w:t>减少燃气用户使用燃气的安全隐患，减少重大安全事故发生，增强风险防范能力</w:t>
            </w:r>
          </w:p>
        </w:tc>
        <w:tc>
          <w:tcPr>
            <w:tcW w:w="2268" w:type="dxa"/>
            <w:vAlign w:val="center"/>
          </w:tcPr>
          <w:p>
            <w:pPr>
              <w:pStyle w:val="12"/>
            </w:pPr>
            <w:r>
              <w:t>减少燃气用户使用燃气的安全隐患，减少重大安全事故发生，增强风险防范能力</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藁城区全区所有燃气用户满意度</w:t>
            </w:r>
          </w:p>
        </w:tc>
        <w:tc>
          <w:tcPr>
            <w:tcW w:w="5386" w:type="dxa"/>
            <w:vAlign w:val="center"/>
          </w:tcPr>
          <w:p>
            <w:pPr>
              <w:pStyle w:val="12"/>
            </w:pPr>
            <w:r>
              <w:t>藁城区全区所有燃气用户满意度</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21、生活垃圾运转栾城、晋州、赵县垃圾焚烧厂处理费（2024）绩效目标表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13010925P00000810477K</w:t>
            </w:r>
          </w:p>
        </w:tc>
        <w:tc>
          <w:tcPr>
            <w:tcW w:w="2835" w:type="dxa"/>
            <w:vAlign w:val="center"/>
          </w:tcPr>
          <w:p>
            <w:pPr>
              <w:pStyle w:val="10"/>
            </w:pPr>
            <w:r>
              <w:t>项目名称</w:t>
            </w:r>
          </w:p>
        </w:tc>
        <w:tc>
          <w:tcPr>
            <w:tcW w:w="6095" w:type="dxa"/>
            <w:gridSpan w:val="3"/>
            <w:vAlign w:val="center"/>
          </w:tcPr>
          <w:p>
            <w:pPr>
              <w:pStyle w:val="12"/>
            </w:pPr>
            <w:r>
              <w:t>生活垃圾运转栾城、晋州、赵县垃圾焚烧厂处理费（2024）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数400万元，其中：运往中节能（石家庄）环保能源有限公司活垃圾处置费用1178万元、晋州华融清润环保能源有限公司（河北久益环保工程有限公司）356万元、卡万塔（石家庄)新能源科技有限公司258万元，农村中转站运输费用696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240.00</w:t>
            </w:r>
          </w:p>
        </w:tc>
        <w:tc>
          <w:tcPr>
            <w:tcW w:w="2551" w:type="dxa"/>
            <w:vAlign w:val="center"/>
          </w:tcPr>
          <w:p>
            <w:pPr>
              <w:pStyle w:val="13"/>
            </w:pPr>
            <w:r>
              <w:t>360.00</w:t>
            </w:r>
          </w:p>
        </w:tc>
        <w:tc>
          <w:tcPr>
            <w:tcW w:w="3544" w:type="dxa"/>
            <w:gridSpan w:val="2"/>
            <w:vAlign w:val="center"/>
          </w:tcPr>
          <w:p>
            <w:pPr>
              <w:pStyle w:val="13"/>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1.通过处理藁城区生活垃圾约22万吨，提升垃圾无害化处理率达到100%，创造优质人居环境的效果。</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签订生活垃圾处置协议</w:t>
            </w:r>
          </w:p>
        </w:tc>
        <w:tc>
          <w:tcPr>
            <w:tcW w:w="5386" w:type="dxa"/>
            <w:vAlign w:val="center"/>
          </w:tcPr>
          <w:p>
            <w:pPr>
              <w:pStyle w:val="12"/>
            </w:pPr>
            <w:r>
              <w:t>签订生活垃圾处置协议</w:t>
            </w:r>
          </w:p>
        </w:tc>
        <w:tc>
          <w:tcPr>
            <w:tcW w:w="2268" w:type="dxa"/>
            <w:vAlign w:val="center"/>
          </w:tcPr>
          <w:p>
            <w:pPr>
              <w:pStyle w:val="12"/>
            </w:pPr>
            <w:r>
              <w:t>3个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处理生活垃圾数量</w:t>
            </w:r>
          </w:p>
        </w:tc>
        <w:tc>
          <w:tcPr>
            <w:tcW w:w="5386" w:type="dxa"/>
            <w:vAlign w:val="center"/>
          </w:tcPr>
          <w:p>
            <w:pPr>
              <w:pStyle w:val="12"/>
            </w:pPr>
            <w:r>
              <w:t>处理建成区及乡镇生活垃圾数量</w:t>
            </w:r>
          </w:p>
        </w:tc>
        <w:tc>
          <w:tcPr>
            <w:tcW w:w="2268" w:type="dxa"/>
            <w:vAlign w:val="center"/>
          </w:tcPr>
          <w:p>
            <w:pPr>
              <w:pStyle w:val="12"/>
            </w:pPr>
            <w:r>
              <w:t>22万吨</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生活垃圾处理及时率</w:t>
            </w:r>
          </w:p>
        </w:tc>
        <w:tc>
          <w:tcPr>
            <w:tcW w:w="5386" w:type="dxa"/>
            <w:vAlign w:val="center"/>
          </w:tcPr>
          <w:p>
            <w:pPr>
              <w:pStyle w:val="12"/>
            </w:pPr>
            <w:r>
              <w:t>生活垃圾处理及时率占应处理比率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垃圾处理费</w:t>
            </w:r>
          </w:p>
        </w:tc>
        <w:tc>
          <w:tcPr>
            <w:tcW w:w="5386" w:type="dxa"/>
            <w:vAlign w:val="center"/>
          </w:tcPr>
          <w:p>
            <w:pPr>
              <w:pStyle w:val="12"/>
            </w:pPr>
            <w:r>
              <w:t>垃圾处理费</w:t>
            </w:r>
          </w:p>
        </w:tc>
        <w:tc>
          <w:tcPr>
            <w:tcW w:w="2268" w:type="dxa"/>
            <w:vAlign w:val="center"/>
          </w:tcPr>
          <w:p>
            <w:pPr>
              <w:pStyle w:val="12"/>
            </w:pPr>
            <w:r>
              <w:t>≤120元/吨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提升垃圾无害化处理率达到100%</w:t>
            </w:r>
          </w:p>
        </w:tc>
        <w:tc>
          <w:tcPr>
            <w:tcW w:w="5386" w:type="dxa"/>
            <w:vAlign w:val="center"/>
          </w:tcPr>
          <w:p>
            <w:pPr>
              <w:pStyle w:val="12"/>
            </w:pPr>
            <w:r>
              <w:t>提升垃圾无害化处理率达到100%，创造优质人居环境的效果。</w:t>
            </w:r>
          </w:p>
        </w:tc>
        <w:tc>
          <w:tcPr>
            <w:tcW w:w="2268" w:type="dxa"/>
            <w:vAlign w:val="center"/>
          </w:tcPr>
          <w:p>
            <w:pPr>
              <w:pStyle w:val="12"/>
            </w:pPr>
            <w:r>
              <w:t>提升垃圾无害化处理率达到100%，创造优质人居环境的效果。</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22、生活垃圾资源化处理运营费绩效目标表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13010925P000008104568</w:t>
            </w:r>
          </w:p>
        </w:tc>
        <w:tc>
          <w:tcPr>
            <w:tcW w:w="2835" w:type="dxa"/>
            <w:vAlign w:val="center"/>
          </w:tcPr>
          <w:p>
            <w:pPr>
              <w:pStyle w:val="10"/>
            </w:pPr>
            <w:r>
              <w:t>项目名称</w:t>
            </w:r>
          </w:p>
        </w:tc>
        <w:tc>
          <w:tcPr>
            <w:tcW w:w="6095" w:type="dxa"/>
            <w:gridSpan w:val="3"/>
            <w:vAlign w:val="center"/>
          </w:tcPr>
          <w:p>
            <w:pPr>
              <w:pStyle w:val="12"/>
            </w:pPr>
            <w:r>
              <w:t>生活垃圾资源化处理运营费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100万元，用于生活垃圾资源化处理项目，2017年11月签订《河北省石家庄市藁城区生活垃圾资源化处理项目PPP项目合同》，本项目建设投资为62393万元，流动资金731万元，总资金63124万元，建设期为2年，运营期28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1.通过建成并运营生活垃圾资源化处理项目，解决石家庄市的生活垃圾和市政污泥的处理问题。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运营期</w:t>
            </w:r>
          </w:p>
        </w:tc>
        <w:tc>
          <w:tcPr>
            <w:tcW w:w="5386" w:type="dxa"/>
            <w:vAlign w:val="center"/>
          </w:tcPr>
          <w:p>
            <w:pPr>
              <w:pStyle w:val="12"/>
            </w:pPr>
            <w:r>
              <w:t>运营期</w:t>
            </w:r>
          </w:p>
        </w:tc>
        <w:tc>
          <w:tcPr>
            <w:tcW w:w="2268" w:type="dxa"/>
            <w:vAlign w:val="center"/>
          </w:tcPr>
          <w:p>
            <w:pPr>
              <w:pStyle w:val="12"/>
            </w:pPr>
            <w:r>
              <w:t>28年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垃圾处理率</w:t>
            </w:r>
          </w:p>
        </w:tc>
        <w:tc>
          <w:tcPr>
            <w:tcW w:w="5386" w:type="dxa"/>
            <w:vAlign w:val="center"/>
          </w:tcPr>
          <w:p>
            <w:pPr>
              <w:pStyle w:val="12"/>
            </w:pPr>
            <w:r>
              <w:t>设计标准内的接收的垃圾处理率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生活垃圾及时处理率</w:t>
            </w:r>
          </w:p>
        </w:tc>
        <w:tc>
          <w:tcPr>
            <w:tcW w:w="5386" w:type="dxa"/>
            <w:vAlign w:val="center"/>
          </w:tcPr>
          <w:p>
            <w:pPr>
              <w:pStyle w:val="12"/>
            </w:pPr>
            <w:r>
              <w:t>每日处理生活垃圾数量占每日进场生活垃圾数量的比率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生活垃圾资源化处理运营费</w:t>
            </w:r>
          </w:p>
        </w:tc>
        <w:tc>
          <w:tcPr>
            <w:tcW w:w="5386" w:type="dxa"/>
            <w:vAlign w:val="center"/>
          </w:tcPr>
          <w:p>
            <w:pPr>
              <w:pStyle w:val="12"/>
            </w:pPr>
            <w:r>
              <w:t>生活垃圾资源化处理运营费</w:t>
            </w:r>
          </w:p>
        </w:tc>
        <w:tc>
          <w:tcPr>
            <w:tcW w:w="2268" w:type="dxa"/>
            <w:vAlign w:val="center"/>
          </w:tcPr>
          <w:p>
            <w:pPr>
              <w:pStyle w:val="12"/>
            </w:pPr>
            <w:r>
              <w:t>≤79.85元/吨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提高资源利用率</w:t>
            </w:r>
          </w:p>
        </w:tc>
        <w:tc>
          <w:tcPr>
            <w:tcW w:w="5386" w:type="dxa"/>
            <w:vAlign w:val="center"/>
          </w:tcPr>
          <w:p>
            <w:pPr>
              <w:pStyle w:val="12"/>
            </w:pPr>
            <w:r>
              <w:t>提高资源利用率，减少填埋量，有效改善石家庄市的生态环境。</w:t>
            </w:r>
          </w:p>
        </w:tc>
        <w:tc>
          <w:tcPr>
            <w:tcW w:w="2268" w:type="dxa"/>
            <w:vAlign w:val="center"/>
          </w:tcPr>
          <w:p>
            <w:pPr>
              <w:pStyle w:val="12"/>
            </w:pPr>
            <w:r>
              <w:t>提高资源利用率，减少填埋量，有效改善石家庄市的生态环境。</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23、石财城[2024]28号石家庄市财政局关于下达增发2023年国债省级补助（市政领域）资金预算的通知-藁城区城区防涝排水设施建设工程绩效目标表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13010924P00003810458N</w:t>
            </w:r>
          </w:p>
        </w:tc>
        <w:tc>
          <w:tcPr>
            <w:tcW w:w="2835" w:type="dxa"/>
            <w:vAlign w:val="center"/>
          </w:tcPr>
          <w:p>
            <w:pPr>
              <w:pStyle w:val="10"/>
            </w:pPr>
            <w:r>
              <w:t>项目名称</w:t>
            </w:r>
          </w:p>
        </w:tc>
        <w:tc>
          <w:tcPr>
            <w:tcW w:w="6095" w:type="dxa"/>
            <w:gridSpan w:val="3"/>
            <w:vAlign w:val="center"/>
          </w:tcPr>
          <w:p>
            <w:pPr>
              <w:pStyle w:val="12"/>
            </w:pPr>
            <w:r>
              <w:t>石财城[2024]28号石家庄市财政局关于下达增发2023年国债省级补助（市政领域）资金预算的通知-藁城区城区防涝排水设施建设工程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71.13</w:t>
            </w:r>
          </w:p>
        </w:tc>
        <w:tc>
          <w:tcPr>
            <w:tcW w:w="2835" w:type="dxa"/>
            <w:vAlign w:val="center"/>
          </w:tcPr>
          <w:p>
            <w:pPr>
              <w:pStyle w:val="10"/>
            </w:pPr>
            <w:r>
              <w:t>其中：财政    资金</w:t>
            </w:r>
          </w:p>
        </w:tc>
        <w:tc>
          <w:tcPr>
            <w:tcW w:w="2551" w:type="dxa"/>
            <w:vAlign w:val="center"/>
          </w:tcPr>
          <w:p>
            <w:pPr>
              <w:pStyle w:val="12"/>
            </w:pPr>
            <w:r>
              <w:t>71.13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通过新建雨水管道5730米、城区排水管网综合整治疏通106千米、对南城区2座调蓄池清淤，完善城区防汛排涝体系、提升城市排水防涝能力，保障辖区人民生命财产安全。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42.68</w:t>
            </w:r>
          </w:p>
        </w:tc>
        <w:tc>
          <w:tcPr>
            <w:tcW w:w="2551" w:type="dxa"/>
            <w:vAlign w:val="center"/>
          </w:tcPr>
          <w:p>
            <w:pPr>
              <w:pStyle w:val="13"/>
            </w:pPr>
            <w:r>
              <w:t>64.02</w:t>
            </w:r>
          </w:p>
        </w:tc>
        <w:tc>
          <w:tcPr>
            <w:tcW w:w="3544" w:type="dxa"/>
            <w:gridSpan w:val="2"/>
            <w:vAlign w:val="center"/>
          </w:tcPr>
          <w:p>
            <w:pPr>
              <w:pStyle w:val="13"/>
            </w:pPr>
            <w:r>
              <w:t>71.13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1.过新建雨水管道5730米、城区排水管网综合整治疏通106千米、对南城区2座调蓄池清淤，完善城区防汛排涝体系、提升城市排水防涝能力，保障辖区人民生命财产安全。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新建雨水管网</w:t>
            </w:r>
          </w:p>
        </w:tc>
        <w:tc>
          <w:tcPr>
            <w:tcW w:w="5386" w:type="dxa"/>
            <w:vAlign w:val="center"/>
          </w:tcPr>
          <w:p>
            <w:pPr>
              <w:pStyle w:val="12"/>
            </w:pPr>
            <w:r>
              <w:t>反映新建雨水管网长度完成情况</w:t>
            </w:r>
          </w:p>
        </w:tc>
        <w:tc>
          <w:tcPr>
            <w:tcW w:w="2268" w:type="dxa"/>
            <w:vAlign w:val="center"/>
          </w:tcPr>
          <w:p>
            <w:pPr>
              <w:pStyle w:val="12"/>
            </w:pPr>
            <w:r>
              <w:t>5730米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排水管网综合整治疏通</w:t>
            </w:r>
          </w:p>
        </w:tc>
        <w:tc>
          <w:tcPr>
            <w:tcW w:w="5386" w:type="dxa"/>
            <w:vAlign w:val="center"/>
          </w:tcPr>
          <w:p>
            <w:pPr>
              <w:pStyle w:val="12"/>
            </w:pPr>
            <w:r>
              <w:t>反映排水管网综合整治疏通长度完成情况</w:t>
            </w:r>
          </w:p>
        </w:tc>
        <w:tc>
          <w:tcPr>
            <w:tcW w:w="2268" w:type="dxa"/>
            <w:vAlign w:val="center"/>
          </w:tcPr>
          <w:p>
            <w:pPr>
              <w:pStyle w:val="12"/>
            </w:pPr>
            <w:r>
              <w:t>106000米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南城区调蓄池清淤</w:t>
            </w:r>
          </w:p>
        </w:tc>
        <w:tc>
          <w:tcPr>
            <w:tcW w:w="5386" w:type="dxa"/>
            <w:vAlign w:val="center"/>
          </w:tcPr>
          <w:p>
            <w:pPr>
              <w:pStyle w:val="12"/>
            </w:pPr>
            <w:r>
              <w:t>反映南城区清淤调蓄池数量完成情况</w:t>
            </w:r>
          </w:p>
        </w:tc>
        <w:tc>
          <w:tcPr>
            <w:tcW w:w="2268" w:type="dxa"/>
            <w:vAlign w:val="center"/>
          </w:tcPr>
          <w:p>
            <w:pPr>
              <w:pStyle w:val="12"/>
            </w:pPr>
            <w:r>
              <w:t>2座</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交（竣）工验收合格率</w:t>
            </w:r>
          </w:p>
        </w:tc>
        <w:tc>
          <w:tcPr>
            <w:tcW w:w="5386" w:type="dxa"/>
            <w:vAlign w:val="center"/>
          </w:tcPr>
          <w:p>
            <w:pPr>
              <w:pStyle w:val="12"/>
            </w:pPr>
            <w:r>
              <w:t>反映项目交（竣）工验收合格情况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项目设计变更率</w:t>
            </w:r>
          </w:p>
        </w:tc>
        <w:tc>
          <w:tcPr>
            <w:tcW w:w="5386" w:type="dxa"/>
            <w:vAlign w:val="center"/>
          </w:tcPr>
          <w:p>
            <w:pPr>
              <w:pStyle w:val="12"/>
            </w:pPr>
            <w:r>
              <w:t>反映项目设计变更情况</w:t>
            </w:r>
          </w:p>
        </w:tc>
        <w:tc>
          <w:tcPr>
            <w:tcW w:w="2268" w:type="dxa"/>
            <w:vAlign w:val="center"/>
          </w:tcPr>
          <w:p>
            <w:pPr>
              <w:pStyle w:val="12"/>
            </w:pPr>
            <w:r>
              <w:t>≤10％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工程按时开工率</w:t>
            </w:r>
          </w:p>
        </w:tc>
        <w:tc>
          <w:tcPr>
            <w:tcW w:w="5386" w:type="dxa"/>
            <w:vAlign w:val="center"/>
          </w:tcPr>
          <w:p>
            <w:pPr>
              <w:pStyle w:val="12"/>
            </w:pPr>
            <w:r>
              <w:t>反映项目按时开工个数占项目总个数百分比</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反映新建雨水管网项目完成时间</w:t>
            </w:r>
          </w:p>
        </w:tc>
        <w:tc>
          <w:tcPr>
            <w:tcW w:w="2268" w:type="dxa"/>
            <w:vAlign w:val="center"/>
          </w:tcPr>
          <w:p>
            <w:pPr>
              <w:pStyle w:val="12"/>
            </w:pPr>
            <w:r>
              <w:t>2024年12月31日前</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雨水管网建设成本</w:t>
            </w:r>
          </w:p>
        </w:tc>
        <w:tc>
          <w:tcPr>
            <w:tcW w:w="5386" w:type="dxa"/>
            <w:vAlign w:val="center"/>
          </w:tcPr>
          <w:p>
            <w:pPr>
              <w:pStyle w:val="12"/>
            </w:pPr>
            <w:r>
              <w:t>反映新建雨水管网工程单位成本控制情况</w:t>
            </w:r>
          </w:p>
        </w:tc>
        <w:tc>
          <w:tcPr>
            <w:tcW w:w="2268" w:type="dxa"/>
            <w:vAlign w:val="center"/>
          </w:tcPr>
          <w:p>
            <w:pPr>
              <w:pStyle w:val="12"/>
            </w:pPr>
            <w:r>
              <w:t>≤0.28万元/米</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排水管网综合整治疏通成本</w:t>
            </w:r>
          </w:p>
        </w:tc>
        <w:tc>
          <w:tcPr>
            <w:tcW w:w="5386" w:type="dxa"/>
            <w:vAlign w:val="center"/>
          </w:tcPr>
          <w:p>
            <w:pPr>
              <w:pStyle w:val="12"/>
            </w:pPr>
            <w:r>
              <w:t>反映排水管网综合整治单位成本控制情况</w:t>
            </w:r>
          </w:p>
        </w:tc>
        <w:tc>
          <w:tcPr>
            <w:tcW w:w="2268" w:type="dxa"/>
            <w:vAlign w:val="center"/>
          </w:tcPr>
          <w:p>
            <w:pPr>
              <w:pStyle w:val="12"/>
            </w:pPr>
            <w:r>
              <w:t>≤0.04万元/米</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调蓄池清淤成本</w:t>
            </w:r>
          </w:p>
        </w:tc>
        <w:tc>
          <w:tcPr>
            <w:tcW w:w="5386" w:type="dxa"/>
            <w:vAlign w:val="center"/>
          </w:tcPr>
          <w:p>
            <w:pPr>
              <w:pStyle w:val="12"/>
            </w:pPr>
            <w:r>
              <w:t>反映调蓄池清淤单位成本控制情况</w:t>
            </w:r>
          </w:p>
        </w:tc>
        <w:tc>
          <w:tcPr>
            <w:tcW w:w="2268" w:type="dxa"/>
            <w:vAlign w:val="center"/>
          </w:tcPr>
          <w:p>
            <w:pPr>
              <w:pStyle w:val="12"/>
            </w:pPr>
            <w:r>
              <w:t>≤232万元/座</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排涝能力提升率</w:t>
            </w:r>
          </w:p>
        </w:tc>
        <w:tc>
          <w:tcPr>
            <w:tcW w:w="5386" w:type="dxa"/>
            <w:vAlign w:val="center"/>
          </w:tcPr>
          <w:p>
            <w:pPr>
              <w:pStyle w:val="12"/>
            </w:pPr>
            <w:r>
              <w:t>反映新建后排涝能力较之前提升百分比</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反映新建后管网正常使用年限</w:t>
            </w:r>
          </w:p>
        </w:tc>
        <w:tc>
          <w:tcPr>
            <w:tcW w:w="2268" w:type="dxa"/>
            <w:vAlign w:val="center"/>
          </w:tcPr>
          <w:p>
            <w:pPr>
              <w:pStyle w:val="12"/>
            </w:pPr>
            <w:r>
              <w:t>≥20年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反映通过走访群众调查满意程度</w:t>
            </w:r>
          </w:p>
        </w:tc>
        <w:tc>
          <w:tcPr>
            <w:tcW w:w="2268" w:type="dxa"/>
            <w:vAlign w:val="center"/>
          </w:tcPr>
          <w:p>
            <w:pPr>
              <w:pStyle w:val="12"/>
            </w:pPr>
            <w:r>
              <w:t>受益群众满意度</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24、石财城[2024]47号石家庄市财政局关于提前下达2025年中央大气污染防治资金（用于农村地区气代煤电代煤改造任务运行补助）预算的通知）绩效目标表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13010925P00000910133F</w:t>
            </w:r>
          </w:p>
        </w:tc>
        <w:tc>
          <w:tcPr>
            <w:tcW w:w="2835" w:type="dxa"/>
            <w:vAlign w:val="center"/>
          </w:tcPr>
          <w:p>
            <w:pPr>
              <w:pStyle w:val="10"/>
            </w:pPr>
            <w:r>
              <w:t>项目名称</w:t>
            </w:r>
          </w:p>
        </w:tc>
        <w:tc>
          <w:tcPr>
            <w:tcW w:w="6095" w:type="dxa"/>
            <w:gridSpan w:val="3"/>
            <w:vAlign w:val="center"/>
          </w:tcPr>
          <w:p>
            <w:pPr>
              <w:pStyle w:val="12"/>
            </w:pPr>
            <w:r>
              <w:t>石财城[2024]47号石家庄市财政局关于提前下达2025年中央大气污染防治资金（用于农村地区气代煤电代煤改造任务运行补助）预算的通知）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558.00</w:t>
            </w:r>
          </w:p>
        </w:tc>
        <w:tc>
          <w:tcPr>
            <w:tcW w:w="2835" w:type="dxa"/>
            <w:vAlign w:val="center"/>
          </w:tcPr>
          <w:p>
            <w:pPr>
              <w:pStyle w:val="10"/>
            </w:pPr>
            <w:r>
              <w:t>其中：财政    资金</w:t>
            </w:r>
          </w:p>
        </w:tc>
        <w:tc>
          <w:tcPr>
            <w:tcW w:w="2551" w:type="dxa"/>
            <w:vAlign w:val="center"/>
          </w:tcPr>
          <w:p>
            <w:pPr>
              <w:pStyle w:val="12"/>
            </w:pPr>
            <w:r>
              <w:t>558.00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预算资金总计558万元，用于发放农村地区2024-2025年采暖季双代用户运行补贴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334.80</w:t>
            </w:r>
          </w:p>
        </w:tc>
        <w:tc>
          <w:tcPr>
            <w:tcW w:w="2551" w:type="dxa"/>
            <w:vAlign w:val="center"/>
          </w:tcPr>
          <w:p>
            <w:pPr>
              <w:pStyle w:val="13"/>
            </w:pPr>
            <w:r>
              <w:t>502.20</w:t>
            </w:r>
          </w:p>
        </w:tc>
        <w:tc>
          <w:tcPr>
            <w:tcW w:w="3544" w:type="dxa"/>
            <w:gridSpan w:val="2"/>
            <w:vAlign w:val="center"/>
          </w:tcPr>
          <w:p>
            <w:pPr>
              <w:pStyle w:val="13"/>
            </w:pPr>
            <w:r>
              <w:t>558.00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1.发放农村地区2024-2025年采暖季双代用户运行补贴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运行补贴户数</w:t>
            </w:r>
          </w:p>
        </w:tc>
        <w:tc>
          <w:tcPr>
            <w:tcW w:w="5386" w:type="dxa"/>
            <w:vAlign w:val="center"/>
          </w:tcPr>
          <w:p>
            <w:pPr>
              <w:pStyle w:val="12"/>
            </w:pPr>
            <w:r>
              <w:t>采暖季双代应享受运行补助户数</w:t>
            </w:r>
          </w:p>
        </w:tc>
        <w:tc>
          <w:tcPr>
            <w:tcW w:w="2268" w:type="dxa"/>
            <w:vAlign w:val="center"/>
          </w:tcPr>
          <w:p>
            <w:pPr>
              <w:pStyle w:val="12"/>
            </w:pPr>
            <w:r>
              <w:t>采暖季双代应享受运行补助户数</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补助人员合规率</w:t>
            </w:r>
          </w:p>
        </w:tc>
        <w:tc>
          <w:tcPr>
            <w:tcW w:w="5386" w:type="dxa"/>
            <w:vAlign w:val="center"/>
          </w:tcPr>
          <w:p>
            <w:pPr>
              <w:pStyle w:val="12"/>
            </w:pPr>
            <w:r>
              <w:t>补助人员合规率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支出时间</w:t>
            </w:r>
          </w:p>
        </w:tc>
        <w:tc>
          <w:tcPr>
            <w:tcW w:w="5386" w:type="dxa"/>
            <w:vAlign w:val="center"/>
          </w:tcPr>
          <w:p>
            <w:pPr>
              <w:pStyle w:val="12"/>
            </w:pPr>
            <w:r>
              <w:t>支出时间</w:t>
            </w:r>
          </w:p>
        </w:tc>
        <w:tc>
          <w:tcPr>
            <w:tcW w:w="2268" w:type="dxa"/>
            <w:vAlign w:val="center"/>
          </w:tcPr>
          <w:p>
            <w:pPr>
              <w:pStyle w:val="12"/>
            </w:pPr>
            <w:r>
              <w:t>按计划支付</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补贴资金总额</w:t>
            </w:r>
          </w:p>
        </w:tc>
        <w:tc>
          <w:tcPr>
            <w:tcW w:w="5386" w:type="dxa"/>
            <w:vAlign w:val="center"/>
          </w:tcPr>
          <w:p>
            <w:pPr>
              <w:pStyle w:val="12"/>
            </w:pPr>
            <w:r>
              <w:t>2024-2025年采暖季农村“双代”运行补助</w:t>
            </w:r>
          </w:p>
        </w:tc>
        <w:tc>
          <w:tcPr>
            <w:tcW w:w="2268" w:type="dxa"/>
            <w:vAlign w:val="center"/>
          </w:tcPr>
          <w:p>
            <w:pPr>
              <w:pStyle w:val="12"/>
            </w:pPr>
            <w:r>
              <w:t>≤558万元</w:t>
            </w:r>
          </w:p>
        </w:tc>
        <w:tc>
          <w:tcPr>
            <w:tcW w:w="1276" w:type="dxa"/>
            <w:vAlign w:val="center"/>
          </w:tcPr>
          <w:p>
            <w:pPr>
              <w:pStyle w:val="12"/>
            </w:pPr>
            <w:r>
              <w:t>石财城［2024］57号石家庄市财政局《关于提前下达2025年中央大气污染防治资金预算的通知》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方便居民生活，改善大气环境</w:t>
            </w:r>
          </w:p>
        </w:tc>
        <w:tc>
          <w:tcPr>
            <w:tcW w:w="5386" w:type="dxa"/>
            <w:vAlign w:val="center"/>
          </w:tcPr>
          <w:p>
            <w:pPr>
              <w:pStyle w:val="12"/>
            </w:pPr>
            <w:r>
              <w:t>农村地区居民使用电采暖设备进行取暖，相较于以往的散煤取暖，燃烧效率更加充分，有效减少燃煤使用量，改善大气环境质量。</w:t>
            </w:r>
          </w:p>
        </w:tc>
        <w:tc>
          <w:tcPr>
            <w:tcW w:w="2268" w:type="dxa"/>
            <w:vAlign w:val="center"/>
          </w:tcPr>
          <w:p>
            <w:pPr>
              <w:pStyle w:val="12"/>
            </w:pPr>
            <w:r>
              <w:t>散煤清零</w:t>
            </w:r>
          </w:p>
        </w:tc>
        <w:tc>
          <w:tcPr>
            <w:tcW w:w="1276" w:type="dxa"/>
            <w:vAlign w:val="center"/>
          </w:tcPr>
          <w:p>
            <w:pPr>
              <w:pStyle w:val="12"/>
            </w:pPr>
            <w:r>
              <w:t>"石政办函﹝2017﹞22号</w:t>
            </w:r>
          </w:p>
          <w:p>
            <w:pPr>
              <w:pStyle w:val="12"/>
            </w:pPr>
            <w:r>
              <w:t>石家庄市人民政府办公厅关于印发石家庄市2017年散煤压减替代工作实施方案的通知"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25、石财城[2024]61号石家庄市财政局关于提前下达2025年省级抢救性资源保护补助资金预算的通知绩效目标表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13010925P00000910150C</w:t>
            </w:r>
          </w:p>
        </w:tc>
        <w:tc>
          <w:tcPr>
            <w:tcW w:w="2835" w:type="dxa"/>
            <w:vAlign w:val="center"/>
          </w:tcPr>
          <w:p>
            <w:pPr>
              <w:pStyle w:val="10"/>
            </w:pPr>
            <w:r>
              <w:t>项目名称</w:t>
            </w:r>
          </w:p>
        </w:tc>
        <w:tc>
          <w:tcPr>
            <w:tcW w:w="6095" w:type="dxa"/>
            <w:gridSpan w:val="3"/>
            <w:vAlign w:val="center"/>
          </w:tcPr>
          <w:p>
            <w:pPr>
              <w:pStyle w:val="12"/>
            </w:pPr>
            <w:r>
              <w:t>石财城[2024]61号石家庄市财政局关于提前下达2025年省级抢救性资源保护补助资金预算的通知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预算资金总计5.9万元，用于古树名木保护项目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3.56</w:t>
            </w:r>
          </w:p>
        </w:tc>
        <w:tc>
          <w:tcPr>
            <w:tcW w:w="2551" w:type="dxa"/>
            <w:vAlign w:val="center"/>
          </w:tcPr>
          <w:p>
            <w:pPr>
              <w:pStyle w:val="13"/>
            </w:pPr>
            <w:r>
              <w:t>5.31</w:t>
            </w:r>
          </w:p>
        </w:tc>
        <w:tc>
          <w:tcPr>
            <w:tcW w:w="3544" w:type="dxa"/>
            <w:gridSpan w:val="2"/>
            <w:vAlign w:val="center"/>
          </w:tcPr>
          <w:p>
            <w:pPr>
              <w:pStyle w:val="13"/>
            </w:pPr>
            <w:r>
              <w:t>5.90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1.通过开展古树名木保护项目。延续古树寿命，充分发挥古树名木生态效益和文化传承作用。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补助古树名木株数</w:t>
            </w:r>
          </w:p>
        </w:tc>
        <w:tc>
          <w:tcPr>
            <w:tcW w:w="5386" w:type="dxa"/>
            <w:vAlign w:val="center"/>
          </w:tcPr>
          <w:p>
            <w:pPr>
              <w:pStyle w:val="12"/>
            </w:pPr>
            <w:r>
              <w:t>补助古树名木株数</w:t>
            </w:r>
          </w:p>
        </w:tc>
        <w:tc>
          <w:tcPr>
            <w:tcW w:w="2268" w:type="dxa"/>
            <w:vAlign w:val="center"/>
          </w:tcPr>
          <w:p>
            <w:pPr>
              <w:pStyle w:val="12"/>
            </w:pPr>
            <w:r>
              <w:t>3株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补助项目古树名木成活率</w:t>
            </w:r>
          </w:p>
        </w:tc>
        <w:tc>
          <w:tcPr>
            <w:tcW w:w="5386" w:type="dxa"/>
            <w:vAlign w:val="center"/>
          </w:tcPr>
          <w:p>
            <w:pPr>
              <w:pStyle w:val="12"/>
            </w:pPr>
            <w:r>
              <w:t>补助项目古树名木成活率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补助项目时限</w:t>
            </w:r>
          </w:p>
        </w:tc>
        <w:tc>
          <w:tcPr>
            <w:tcW w:w="5386" w:type="dxa"/>
            <w:vAlign w:val="center"/>
          </w:tcPr>
          <w:p>
            <w:pPr>
              <w:pStyle w:val="12"/>
            </w:pPr>
            <w:r>
              <w:t>补助项目时限</w:t>
            </w:r>
          </w:p>
        </w:tc>
        <w:tc>
          <w:tcPr>
            <w:tcW w:w="2268" w:type="dxa"/>
            <w:vAlign w:val="center"/>
          </w:tcPr>
          <w:p>
            <w:pPr>
              <w:pStyle w:val="12"/>
            </w:pPr>
            <w:r>
              <w:t>2025年12月31日前</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古树名木补助标准</w:t>
            </w:r>
          </w:p>
        </w:tc>
        <w:tc>
          <w:tcPr>
            <w:tcW w:w="5386" w:type="dxa"/>
            <w:vAlign w:val="center"/>
          </w:tcPr>
          <w:p>
            <w:pPr>
              <w:pStyle w:val="12"/>
            </w:pPr>
            <w:r>
              <w:t>古树名木项目实施过程中产生的人工、材料、机具费用</w:t>
            </w:r>
          </w:p>
        </w:tc>
        <w:tc>
          <w:tcPr>
            <w:tcW w:w="2268" w:type="dxa"/>
            <w:vAlign w:val="center"/>
          </w:tcPr>
          <w:p>
            <w:pPr>
              <w:pStyle w:val="12"/>
            </w:pPr>
            <w:r>
              <w:t>≤5.9万元</w:t>
            </w:r>
          </w:p>
        </w:tc>
        <w:tc>
          <w:tcPr>
            <w:tcW w:w="1276" w:type="dxa"/>
            <w:vAlign w:val="center"/>
          </w:tcPr>
          <w:p>
            <w:pPr>
              <w:pStyle w:val="12"/>
            </w:pPr>
            <w:r>
              <w:t>石财城【2024】61号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濒危、病弱古树复壮效果</w:t>
            </w:r>
          </w:p>
        </w:tc>
        <w:tc>
          <w:tcPr>
            <w:tcW w:w="5386" w:type="dxa"/>
            <w:vAlign w:val="center"/>
          </w:tcPr>
          <w:p>
            <w:pPr>
              <w:pStyle w:val="12"/>
            </w:pPr>
            <w:r>
              <w:t>古树复壮效果良好</w:t>
            </w:r>
          </w:p>
        </w:tc>
        <w:tc>
          <w:tcPr>
            <w:tcW w:w="2268" w:type="dxa"/>
            <w:vAlign w:val="center"/>
          </w:tcPr>
          <w:p>
            <w:pPr>
              <w:pStyle w:val="12"/>
            </w:pPr>
            <w:r>
              <w:t>一年养护期后，实施保护项目的古树恢复效果良好</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26、石财城〔2024〕17号石家庄市财政局关于下达2024年中央大气污染防治资金（农村地区清洁取暖运营补贴）的通知绩效目标表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13010924P00003810321G</w:t>
            </w:r>
          </w:p>
        </w:tc>
        <w:tc>
          <w:tcPr>
            <w:tcW w:w="2835" w:type="dxa"/>
            <w:vAlign w:val="center"/>
          </w:tcPr>
          <w:p>
            <w:pPr>
              <w:pStyle w:val="10"/>
            </w:pPr>
            <w:r>
              <w:t>项目名称</w:t>
            </w:r>
          </w:p>
        </w:tc>
        <w:tc>
          <w:tcPr>
            <w:tcW w:w="6095" w:type="dxa"/>
            <w:gridSpan w:val="3"/>
            <w:vAlign w:val="center"/>
          </w:tcPr>
          <w:p>
            <w:pPr>
              <w:pStyle w:val="12"/>
            </w:pPr>
            <w:r>
              <w:t>石财城〔2024〕17号石家庄市财政局关于下达2024年中央大气污染防治资金（农村地区清洁取暖运营补贴）的通知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231.54</w:t>
            </w:r>
          </w:p>
        </w:tc>
        <w:tc>
          <w:tcPr>
            <w:tcW w:w="2835" w:type="dxa"/>
            <w:vAlign w:val="center"/>
          </w:tcPr>
          <w:p>
            <w:pPr>
              <w:pStyle w:val="10"/>
            </w:pPr>
            <w:r>
              <w:t>其中：财政    资金</w:t>
            </w:r>
          </w:p>
        </w:tc>
        <w:tc>
          <w:tcPr>
            <w:tcW w:w="2551" w:type="dxa"/>
            <w:vAlign w:val="center"/>
          </w:tcPr>
          <w:p>
            <w:pPr>
              <w:pStyle w:val="12"/>
            </w:pPr>
            <w:r>
              <w:t>231.54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预算资金总计471万元，用于对2023-2024年采暖期内农村地区实施气代煤居民用户给予气价清洁取暖补贴，切实巩固“气代煤”成果，确保广大群众温暖过冬。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139.00</w:t>
            </w:r>
          </w:p>
        </w:tc>
        <w:tc>
          <w:tcPr>
            <w:tcW w:w="2551" w:type="dxa"/>
            <w:vAlign w:val="center"/>
          </w:tcPr>
          <w:p>
            <w:pPr>
              <w:pStyle w:val="13"/>
            </w:pPr>
            <w:r>
              <w:t>209.00</w:t>
            </w:r>
          </w:p>
        </w:tc>
        <w:tc>
          <w:tcPr>
            <w:tcW w:w="3544" w:type="dxa"/>
            <w:gridSpan w:val="2"/>
            <w:vAlign w:val="center"/>
          </w:tcPr>
          <w:p>
            <w:pPr>
              <w:pStyle w:val="13"/>
            </w:pPr>
            <w:r>
              <w:t>231.54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1.通过对采暖期内农村地区实施气代煤居民用户给予气价补贴，减轻用户经济负担，提高用户使用清洁能源积极性，切实巩固“气代煤”成果，确保广大群众温暖过冬。</w:t>
            </w:r>
            <w:r>
              <w:tab/>
            </w:r>
            <w:r>
              <w:tab/>
            </w:r>
            <w:r>
              <w:tab/>
            </w:r>
            <w:r>
              <w:tab/>
            </w:r>
            <w:r>
              <w:tab/>
            </w:r>
            <w:r>
              <w:tab/>
            </w:r>
          </w:p>
          <w:p>
            <w:pPr>
              <w:pStyle w:val="12"/>
            </w:pPr>
          </w:p>
          <w:p>
            <w:pPr>
              <w:pStyle w:val="12"/>
            </w:pPr>
            <w:r>
              <w:t>2.通过对采暖期内用户进行清洁取暖补贴，保护人居环境，提升生活品质，共建美丽乡村。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发放补贴的乡镇数量</w:t>
            </w:r>
          </w:p>
        </w:tc>
        <w:tc>
          <w:tcPr>
            <w:tcW w:w="5386" w:type="dxa"/>
            <w:vAlign w:val="center"/>
          </w:tcPr>
          <w:p>
            <w:pPr>
              <w:pStyle w:val="12"/>
            </w:pPr>
            <w:r>
              <w:t>发放补贴的乡镇数量</w:t>
            </w:r>
          </w:p>
        </w:tc>
        <w:tc>
          <w:tcPr>
            <w:tcW w:w="2268" w:type="dxa"/>
            <w:vAlign w:val="center"/>
          </w:tcPr>
          <w:p>
            <w:pPr>
              <w:pStyle w:val="12"/>
            </w:pPr>
            <w:r>
              <w:t>12个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需补贴的双代用户数</w:t>
            </w:r>
          </w:p>
        </w:tc>
        <w:tc>
          <w:tcPr>
            <w:tcW w:w="5386" w:type="dxa"/>
            <w:vAlign w:val="center"/>
          </w:tcPr>
          <w:p>
            <w:pPr>
              <w:pStyle w:val="12"/>
            </w:pPr>
            <w:r>
              <w:t>需补贴的双代用户数</w:t>
            </w:r>
          </w:p>
        </w:tc>
        <w:tc>
          <w:tcPr>
            <w:tcW w:w="2268" w:type="dxa"/>
            <w:vAlign w:val="center"/>
          </w:tcPr>
          <w:p>
            <w:pPr>
              <w:pStyle w:val="12"/>
            </w:pPr>
            <w:r>
              <w:t>≤162478户</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w:t>
            </w:r>
          </w:p>
        </w:tc>
        <w:tc>
          <w:tcPr>
            <w:tcW w:w="5386" w:type="dxa"/>
            <w:vAlign w:val="center"/>
          </w:tcPr>
          <w:p>
            <w:pPr>
              <w:pStyle w:val="12"/>
            </w:pPr>
            <w:r>
              <w:t>按规定的标准发放</w:t>
            </w:r>
          </w:p>
        </w:tc>
        <w:tc>
          <w:tcPr>
            <w:tcW w:w="2268" w:type="dxa"/>
            <w:vAlign w:val="center"/>
          </w:tcPr>
          <w:p>
            <w:pPr>
              <w:pStyle w:val="12"/>
            </w:pPr>
            <w:r>
              <w:t>0.8元每方最高1200方</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发放时间</w:t>
            </w:r>
          </w:p>
        </w:tc>
        <w:tc>
          <w:tcPr>
            <w:tcW w:w="2268" w:type="dxa"/>
            <w:vAlign w:val="center"/>
          </w:tcPr>
          <w:p>
            <w:pPr>
              <w:pStyle w:val="12"/>
            </w:pPr>
            <w:r>
              <w:t>≤365天</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中央大气污染防治资金金额</w:t>
            </w:r>
          </w:p>
        </w:tc>
        <w:tc>
          <w:tcPr>
            <w:tcW w:w="5386" w:type="dxa"/>
            <w:vAlign w:val="center"/>
          </w:tcPr>
          <w:p>
            <w:pPr>
              <w:pStyle w:val="12"/>
            </w:pPr>
            <w:r>
              <w:t>中央大气污染防治资金金额</w:t>
            </w:r>
          </w:p>
        </w:tc>
        <w:tc>
          <w:tcPr>
            <w:tcW w:w="2268" w:type="dxa"/>
            <w:vAlign w:val="center"/>
          </w:tcPr>
          <w:p>
            <w:pPr>
              <w:pStyle w:val="12"/>
            </w:pPr>
            <w:r>
              <w:t>≤471万元</w:t>
            </w:r>
          </w:p>
        </w:tc>
        <w:tc>
          <w:tcPr>
            <w:tcW w:w="1276" w:type="dxa"/>
            <w:vAlign w:val="center"/>
          </w:tcPr>
          <w:p>
            <w:pPr>
              <w:pStyle w:val="12"/>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确保广大群众温暖过冬</w:t>
            </w:r>
          </w:p>
        </w:tc>
        <w:tc>
          <w:tcPr>
            <w:tcW w:w="5386" w:type="dxa"/>
            <w:vAlign w:val="center"/>
          </w:tcPr>
          <w:p>
            <w:pPr>
              <w:pStyle w:val="12"/>
            </w:pPr>
            <w:r>
              <w:t>切实巩固“气代煤”成果，确保广大群众温暖过冬</w:t>
            </w:r>
          </w:p>
        </w:tc>
        <w:tc>
          <w:tcPr>
            <w:tcW w:w="2268" w:type="dxa"/>
            <w:vAlign w:val="center"/>
          </w:tcPr>
          <w:p>
            <w:pPr>
              <w:pStyle w:val="12"/>
            </w:pPr>
            <w:r>
              <w:t>广大群众温暖过冬</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大气污染程度</w:t>
            </w:r>
          </w:p>
        </w:tc>
        <w:tc>
          <w:tcPr>
            <w:tcW w:w="5386" w:type="dxa"/>
            <w:vAlign w:val="center"/>
          </w:tcPr>
          <w:p>
            <w:pPr>
              <w:pStyle w:val="12"/>
            </w:pPr>
            <w:r>
              <w:t>大气污染程度</w:t>
            </w:r>
          </w:p>
        </w:tc>
        <w:tc>
          <w:tcPr>
            <w:tcW w:w="2268" w:type="dxa"/>
            <w:vAlign w:val="center"/>
          </w:tcPr>
          <w:p>
            <w:pPr>
              <w:pStyle w:val="12"/>
            </w:pPr>
            <w:r>
              <w:t>大气污染减轻</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27、石财城【2024】1号关于下达增发2023年国债城市排水防涝能力提升中央补助资金预算的通知绩效目标表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13010924P00003810286G</w:t>
            </w:r>
          </w:p>
        </w:tc>
        <w:tc>
          <w:tcPr>
            <w:tcW w:w="2835" w:type="dxa"/>
            <w:vAlign w:val="center"/>
          </w:tcPr>
          <w:p>
            <w:pPr>
              <w:pStyle w:val="10"/>
            </w:pPr>
            <w:r>
              <w:t>项目名称</w:t>
            </w:r>
          </w:p>
        </w:tc>
        <w:tc>
          <w:tcPr>
            <w:tcW w:w="6095" w:type="dxa"/>
            <w:gridSpan w:val="3"/>
            <w:vAlign w:val="center"/>
          </w:tcPr>
          <w:p>
            <w:pPr>
              <w:pStyle w:val="12"/>
            </w:pPr>
            <w:r>
              <w:t>石财城【2024】1号关于下达增发2023年国债城市排水防涝能力提升中央补助资金预算的通知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1241.31</w:t>
            </w:r>
          </w:p>
        </w:tc>
        <w:tc>
          <w:tcPr>
            <w:tcW w:w="2835" w:type="dxa"/>
            <w:vAlign w:val="center"/>
          </w:tcPr>
          <w:p>
            <w:pPr>
              <w:pStyle w:val="10"/>
            </w:pPr>
            <w:r>
              <w:t>其中：财政    资金</w:t>
            </w:r>
          </w:p>
        </w:tc>
        <w:tc>
          <w:tcPr>
            <w:tcW w:w="2551" w:type="dxa"/>
            <w:vAlign w:val="center"/>
          </w:tcPr>
          <w:p>
            <w:pPr>
              <w:pStyle w:val="12"/>
            </w:pPr>
            <w:r>
              <w:t>1241.31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主要用于对藁城区城区内排水管网进行全面排查及清淤，并应对管网破损部位进行修复，同时结合管网建设规划及实际情况，布置新的排水管网，用以提升城区内整体防洪排涝水平。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744.79</w:t>
            </w:r>
          </w:p>
        </w:tc>
        <w:tc>
          <w:tcPr>
            <w:tcW w:w="2551" w:type="dxa"/>
            <w:vAlign w:val="center"/>
          </w:tcPr>
          <w:p>
            <w:pPr>
              <w:pStyle w:val="13"/>
            </w:pPr>
            <w:r>
              <w:t>1117.18</w:t>
            </w:r>
          </w:p>
        </w:tc>
        <w:tc>
          <w:tcPr>
            <w:tcW w:w="3544" w:type="dxa"/>
            <w:gridSpan w:val="2"/>
            <w:vAlign w:val="center"/>
          </w:tcPr>
          <w:p>
            <w:pPr>
              <w:pStyle w:val="13"/>
            </w:pPr>
            <w:r>
              <w:t>1241.31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城区排水管网整治长度</w:t>
            </w:r>
          </w:p>
        </w:tc>
        <w:tc>
          <w:tcPr>
            <w:tcW w:w="5386" w:type="dxa"/>
            <w:vAlign w:val="center"/>
          </w:tcPr>
          <w:p>
            <w:pPr>
              <w:pStyle w:val="12"/>
            </w:pPr>
            <w:r>
              <w:t>工程涉及城区排水管网长度</w:t>
            </w:r>
          </w:p>
        </w:tc>
        <w:tc>
          <w:tcPr>
            <w:tcW w:w="2268" w:type="dxa"/>
            <w:vAlign w:val="center"/>
          </w:tcPr>
          <w:p>
            <w:pPr>
              <w:pStyle w:val="12"/>
            </w:pPr>
            <w:r>
              <w:t>175.7千米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新建排水管网长度</w:t>
            </w:r>
          </w:p>
        </w:tc>
        <w:tc>
          <w:tcPr>
            <w:tcW w:w="5386" w:type="dxa"/>
            <w:vAlign w:val="center"/>
          </w:tcPr>
          <w:p>
            <w:pPr>
              <w:pStyle w:val="12"/>
            </w:pPr>
            <w:r>
              <w:t>新建排水管网长度</w:t>
            </w:r>
          </w:p>
        </w:tc>
        <w:tc>
          <w:tcPr>
            <w:tcW w:w="2268" w:type="dxa"/>
            <w:vAlign w:val="center"/>
          </w:tcPr>
          <w:p>
            <w:pPr>
              <w:pStyle w:val="12"/>
            </w:pPr>
            <w:r>
              <w:t>5.2千米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中央补助资金</w:t>
            </w:r>
          </w:p>
        </w:tc>
        <w:tc>
          <w:tcPr>
            <w:tcW w:w="5386" w:type="dxa"/>
            <w:vAlign w:val="center"/>
          </w:tcPr>
          <w:p>
            <w:pPr>
              <w:pStyle w:val="12"/>
            </w:pPr>
            <w:r>
              <w:t>中央补助资金数</w:t>
            </w:r>
          </w:p>
        </w:tc>
        <w:tc>
          <w:tcPr>
            <w:tcW w:w="2268" w:type="dxa"/>
            <w:vAlign w:val="center"/>
          </w:tcPr>
          <w:p>
            <w:pPr>
              <w:pStyle w:val="12"/>
            </w:pPr>
            <w:r>
              <w:t>6217万元</w:t>
            </w:r>
          </w:p>
        </w:tc>
        <w:tc>
          <w:tcPr>
            <w:tcW w:w="1276" w:type="dxa"/>
            <w:vAlign w:val="center"/>
          </w:tcPr>
          <w:p>
            <w:pPr>
              <w:pStyle w:val="12"/>
            </w:pPr>
            <w:r>
              <w:t>石财城【2024】1号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完善城区防汛排涝体系</w:t>
            </w:r>
          </w:p>
        </w:tc>
        <w:tc>
          <w:tcPr>
            <w:tcW w:w="5386" w:type="dxa"/>
            <w:vAlign w:val="center"/>
          </w:tcPr>
          <w:p>
            <w:pPr>
              <w:pStyle w:val="12"/>
            </w:pPr>
            <w:r>
              <w:t>完善城区防汛排涝体系、提升城区防汛排涝能力</w:t>
            </w:r>
          </w:p>
        </w:tc>
        <w:tc>
          <w:tcPr>
            <w:tcW w:w="2268" w:type="dxa"/>
            <w:vAlign w:val="center"/>
          </w:tcPr>
          <w:p>
            <w:pPr>
              <w:pStyle w:val="12"/>
            </w:pPr>
            <w:r>
              <w:t>%</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28、石财城【2024】65号石家庄市财政局关于提前下达2025年度市级农村垃圾治理工作奖补资金的通知绩效目标表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13010925P00000910030B</w:t>
            </w:r>
          </w:p>
        </w:tc>
        <w:tc>
          <w:tcPr>
            <w:tcW w:w="2835" w:type="dxa"/>
            <w:vAlign w:val="center"/>
          </w:tcPr>
          <w:p>
            <w:pPr>
              <w:pStyle w:val="10"/>
            </w:pPr>
            <w:r>
              <w:t>项目名称</w:t>
            </w:r>
          </w:p>
        </w:tc>
        <w:tc>
          <w:tcPr>
            <w:tcW w:w="6095" w:type="dxa"/>
            <w:gridSpan w:val="3"/>
            <w:vAlign w:val="center"/>
          </w:tcPr>
          <w:p>
            <w:pPr>
              <w:pStyle w:val="12"/>
            </w:pPr>
            <w:r>
              <w:t>石财城【2024】65号石家庄市财政局关于提前下达2025年度市级农村垃圾治理工作奖补资金的通知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预算资金总计17万元，用于完善农村垃圾治理全覆盖工作，增强日常巡查监管，实现农村环境卫生大改观，农村面貌大提升。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10.20</w:t>
            </w:r>
          </w:p>
        </w:tc>
        <w:tc>
          <w:tcPr>
            <w:tcW w:w="2551" w:type="dxa"/>
            <w:vAlign w:val="center"/>
          </w:tcPr>
          <w:p>
            <w:pPr>
              <w:pStyle w:val="13"/>
            </w:pPr>
            <w:r>
              <w:t>15.30</w:t>
            </w:r>
          </w:p>
        </w:tc>
        <w:tc>
          <w:tcPr>
            <w:tcW w:w="3544" w:type="dxa"/>
            <w:gridSpan w:val="2"/>
            <w:vAlign w:val="center"/>
          </w:tcPr>
          <w:p>
            <w:pPr>
              <w:pStyle w:val="13"/>
            </w:pPr>
            <w:r>
              <w:t>17.00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1.通过对农村垃圾治理工作进行奖补，使农村区域主要街道卫生整洁，小街巷、围村路、通村路干净整洁，无垃圾漂浮物，垃圾桶外无散落垃圾；改善农村人居生活环境，建设美丽乡村。</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奖补乡镇数量</w:t>
            </w:r>
          </w:p>
        </w:tc>
        <w:tc>
          <w:tcPr>
            <w:tcW w:w="5386" w:type="dxa"/>
            <w:vAlign w:val="center"/>
          </w:tcPr>
          <w:p>
            <w:pPr>
              <w:pStyle w:val="12"/>
            </w:pPr>
            <w:r>
              <w:t>用于农村环境面貌提升工作，奖补乡镇数量</w:t>
            </w:r>
          </w:p>
        </w:tc>
        <w:tc>
          <w:tcPr>
            <w:tcW w:w="2268" w:type="dxa"/>
            <w:vAlign w:val="center"/>
          </w:tcPr>
          <w:p>
            <w:pPr>
              <w:pStyle w:val="12"/>
            </w:pPr>
            <w:r>
              <w:t>≤5个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环卫设施完好率</w:t>
            </w:r>
          </w:p>
        </w:tc>
        <w:tc>
          <w:tcPr>
            <w:tcW w:w="5386" w:type="dxa"/>
            <w:vAlign w:val="center"/>
          </w:tcPr>
          <w:p>
            <w:pPr>
              <w:pStyle w:val="12"/>
            </w:pPr>
            <w:r>
              <w:t>环卫设施可正常使用数量占所有数量的比率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垃圾转运日产日清完成率</w:t>
            </w:r>
          </w:p>
        </w:tc>
        <w:tc>
          <w:tcPr>
            <w:tcW w:w="5386" w:type="dxa"/>
            <w:vAlign w:val="center"/>
          </w:tcPr>
          <w:p>
            <w:pPr>
              <w:pStyle w:val="12"/>
            </w:pPr>
            <w:r>
              <w:t>垃圾转运日清量占日产量的比例</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奖补资金金额</w:t>
            </w:r>
          </w:p>
        </w:tc>
        <w:tc>
          <w:tcPr>
            <w:tcW w:w="5386" w:type="dxa"/>
            <w:vAlign w:val="center"/>
          </w:tcPr>
          <w:p>
            <w:pPr>
              <w:pStyle w:val="12"/>
            </w:pPr>
            <w:r>
              <w:t>用于农村垃圾治理工作的奖补资金金额</w:t>
            </w:r>
          </w:p>
        </w:tc>
        <w:tc>
          <w:tcPr>
            <w:tcW w:w="2268" w:type="dxa"/>
            <w:vAlign w:val="center"/>
          </w:tcPr>
          <w:p>
            <w:pPr>
              <w:pStyle w:val="12"/>
            </w:pPr>
            <w:r>
              <w:t>≤17万元</w:t>
            </w:r>
          </w:p>
        </w:tc>
        <w:tc>
          <w:tcPr>
            <w:tcW w:w="1276" w:type="dxa"/>
            <w:vAlign w:val="center"/>
          </w:tcPr>
          <w:p>
            <w:pPr>
              <w:pStyle w:val="12"/>
            </w:pPr>
            <w:r>
              <w:t>预算控制数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农村人居生活环境</w:t>
            </w:r>
          </w:p>
        </w:tc>
        <w:tc>
          <w:tcPr>
            <w:tcW w:w="5386" w:type="dxa"/>
            <w:vAlign w:val="center"/>
          </w:tcPr>
          <w:p>
            <w:pPr>
              <w:pStyle w:val="12"/>
            </w:pPr>
            <w:r>
              <w:t>农村人居生活环境改善</w:t>
            </w:r>
          </w:p>
        </w:tc>
        <w:tc>
          <w:tcPr>
            <w:tcW w:w="2268" w:type="dxa"/>
            <w:vAlign w:val="center"/>
          </w:tcPr>
          <w:p>
            <w:pPr>
              <w:pStyle w:val="12"/>
            </w:pPr>
            <w:r>
              <w:t>农村人居生活环境改善</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调查中满意和较满意的村民数量占全部调查人数的比率</w:t>
            </w:r>
          </w:p>
        </w:tc>
        <w:tc>
          <w:tcPr>
            <w:tcW w:w="2268" w:type="dxa"/>
            <w:vAlign w:val="center"/>
          </w:tcPr>
          <w:p>
            <w:pPr>
              <w:pStyle w:val="12"/>
            </w:pPr>
            <w:r>
              <w:t>≥90％</w:t>
            </w:r>
          </w:p>
        </w:tc>
        <w:tc>
          <w:tcPr>
            <w:tcW w:w="1276" w:type="dxa"/>
            <w:vAlign w:val="center"/>
          </w:tcPr>
          <w:p>
            <w:pPr>
              <w:pStyle w:val="12"/>
            </w:pPr>
            <w:r>
              <w:t>抽样调查</w:t>
            </w:r>
          </w:p>
          <w:p>
            <w:pPr>
              <w:pStyle w:val="12"/>
            </w:pP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29、石财城［2024］26号石家庄市财政局关于清算2023-2024年采暖季农村“双代”市级运行补助的通知绩效目标表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13010924P00003810523A</w:t>
            </w:r>
          </w:p>
        </w:tc>
        <w:tc>
          <w:tcPr>
            <w:tcW w:w="2835" w:type="dxa"/>
            <w:vAlign w:val="center"/>
          </w:tcPr>
          <w:p>
            <w:pPr>
              <w:pStyle w:val="10"/>
            </w:pPr>
            <w:r>
              <w:t>项目名称</w:t>
            </w:r>
          </w:p>
        </w:tc>
        <w:tc>
          <w:tcPr>
            <w:tcW w:w="6095" w:type="dxa"/>
            <w:gridSpan w:val="3"/>
            <w:vAlign w:val="center"/>
          </w:tcPr>
          <w:p>
            <w:pPr>
              <w:pStyle w:val="12"/>
            </w:pPr>
            <w:r>
              <w:t>石财城［2024］26号石家庄市财政局关于清算2023-2024年采暖季农村“双代”市级运行补助的通知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186.60</w:t>
            </w:r>
          </w:p>
        </w:tc>
        <w:tc>
          <w:tcPr>
            <w:tcW w:w="2835" w:type="dxa"/>
            <w:vAlign w:val="center"/>
          </w:tcPr>
          <w:p>
            <w:pPr>
              <w:pStyle w:val="10"/>
            </w:pPr>
            <w:r>
              <w:t>其中：财政    资金</w:t>
            </w:r>
          </w:p>
        </w:tc>
        <w:tc>
          <w:tcPr>
            <w:tcW w:w="2551" w:type="dxa"/>
            <w:vAlign w:val="center"/>
          </w:tcPr>
          <w:p>
            <w:pPr>
              <w:pStyle w:val="12"/>
            </w:pPr>
            <w:r>
              <w:t>186.60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发放农村地区2023-2024年采暖季双代用户运行补贴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111.96</w:t>
            </w:r>
          </w:p>
        </w:tc>
        <w:tc>
          <w:tcPr>
            <w:tcW w:w="2551" w:type="dxa"/>
            <w:vAlign w:val="center"/>
          </w:tcPr>
          <w:p>
            <w:pPr>
              <w:pStyle w:val="13"/>
            </w:pPr>
            <w:r>
              <w:t>167.94</w:t>
            </w:r>
          </w:p>
        </w:tc>
        <w:tc>
          <w:tcPr>
            <w:tcW w:w="3544" w:type="dxa"/>
            <w:gridSpan w:val="2"/>
            <w:vAlign w:val="center"/>
          </w:tcPr>
          <w:p>
            <w:pPr>
              <w:pStyle w:val="13"/>
            </w:pPr>
            <w:r>
              <w:t>186.60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1.发放农村地区2023-2024年采暖季双代用户运行补贴，居民使用清洁燃料采暖，可减少燃煤使用量，改善大气环境质量。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运行补贴户数</w:t>
            </w:r>
          </w:p>
        </w:tc>
        <w:tc>
          <w:tcPr>
            <w:tcW w:w="5386" w:type="dxa"/>
            <w:vAlign w:val="center"/>
          </w:tcPr>
          <w:p>
            <w:pPr>
              <w:pStyle w:val="12"/>
            </w:pPr>
            <w:r>
              <w:t>2023-2024采暖季双代应享受运行补助户数</w:t>
            </w:r>
          </w:p>
        </w:tc>
        <w:tc>
          <w:tcPr>
            <w:tcW w:w="2268" w:type="dxa"/>
            <w:vAlign w:val="center"/>
          </w:tcPr>
          <w:p>
            <w:pPr>
              <w:pStyle w:val="12"/>
            </w:pPr>
            <w:r>
              <w:t>162741户</w:t>
            </w:r>
          </w:p>
        </w:tc>
        <w:tc>
          <w:tcPr>
            <w:tcW w:w="1276" w:type="dxa"/>
            <w:vAlign w:val="center"/>
          </w:tcPr>
          <w:p>
            <w:pPr>
              <w:pStyle w:val="12"/>
            </w:pPr>
            <w:r>
              <w:t>双代运行补贴台账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资金发放率按名单100%</w:t>
            </w:r>
          </w:p>
        </w:tc>
        <w:tc>
          <w:tcPr>
            <w:tcW w:w="5386" w:type="dxa"/>
            <w:vAlign w:val="center"/>
          </w:tcPr>
          <w:p>
            <w:pPr>
              <w:pStyle w:val="12"/>
            </w:pPr>
            <w:r>
              <w:t>按公示台账名单发放到个人账户</w:t>
            </w:r>
          </w:p>
        </w:tc>
        <w:tc>
          <w:tcPr>
            <w:tcW w:w="2268" w:type="dxa"/>
            <w:vAlign w:val="center"/>
          </w:tcPr>
          <w:p>
            <w:pPr>
              <w:pStyle w:val="12"/>
            </w:pPr>
            <w:r>
              <w:t>准确发放到个人账户</w:t>
            </w:r>
          </w:p>
        </w:tc>
        <w:tc>
          <w:tcPr>
            <w:tcW w:w="1276" w:type="dxa"/>
            <w:vAlign w:val="center"/>
          </w:tcPr>
          <w:p>
            <w:pPr>
              <w:pStyle w:val="12"/>
            </w:pPr>
            <w:r>
              <w:t>公示台账名单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及时支付资金</w:t>
            </w:r>
          </w:p>
        </w:tc>
        <w:tc>
          <w:tcPr>
            <w:tcW w:w="5386" w:type="dxa"/>
            <w:vAlign w:val="center"/>
          </w:tcPr>
          <w:p>
            <w:pPr>
              <w:pStyle w:val="12"/>
            </w:pPr>
            <w:r>
              <w:t>及时支付资金</w:t>
            </w:r>
          </w:p>
        </w:tc>
        <w:tc>
          <w:tcPr>
            <w:tcW w:w="2268" w:type="dxa"/>
            <w:vAlign w:val="center"/>
          </w:tcPr>
          <w:p>
            <w:pPr>
              <w:pStyle w:val="12"/>
            </w:pPr>
            <w:r>
              <w:t>及时高效支付给各乡镇</w:t>
            </w:r>
          </w:p>
        </w:tc>
        <w:tc>
          <w:tcPr>
            <w:tcW w:w="1276" w:type="dxa"/>
            <w:vAlign w:val="center"/>
          </w:tcPr>
          <w:p>
            <w:pPr>
              <w:pStyle w:val="12"/>
            </w:pPr>
            <w:r>
              <w:t>国库集中支付凭证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补贴资金总额</w:t>
            </w:r>
          </w:p>
        </w:tc>
        <w:tc>
          <w:tcPr>
            <w:tcW w:w="5386" w:type="dxa"/>
            <w:vAlign w:val="center"/>
          </w:tcPr>
          <w:p>
            <w:pPr>
              <w:pStyle w:val="12"/>
            </w:pPr>
            <w:r>
              <w:t>2023-2024年采暖季农村“双代”市级运行补助</w:t>
            </w:r>
          </w:p>
        </w:tc>
        <w:tc>
          <w:tcPr>
            <w:tcW w:w="2268" w:type="dxa"/>
            <w:vAlign w:val="center"/>
          </w:tcPr>
          <w:p>
            <w:pPr>
              <w:pStyle w:val="12"/>
            </w:pPr>
            <w:r>
              <w:t>≤187.4万元</w:t>
            </w:r>
          </w:p>
        </w:tc>
        <w:tc>
          <w:tcPr>
            <w:tcW w:w="1276" w:type="dxa"/>
            <w:vAlign w:val="center"/>
          </w:tcPr>
          <w:p>
            <w:pPr>
              <w:pStyle w:val="12"/>
            </w:pPr>
            <w:r>
              <w:t>石财城［2024］26号石家庄财政局关于清算2023-2024年采暖季农村“双代”市级运行补助的通知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方便居民生活，改善大气环境</w:t>
            </w:r>
          </w:p>
        </w:tc>
        <w:tc>
          <w:tcPr>
            <w:tcW w:w="5386" w:type="dxa"/>
            <w:vAlign w:val="center"/>
          </w:tcPr>
          <w:p>
            <w:pPr>
              <w:pStyle w:val="12"/>
            </w:pPr>
            <w:r>
              <w:t>农村地区居民使用电采暖设备进行取暖，相较于以往的散煤取暖，燃烧效率更加充分，有效减少燃煤使用量，改善大气环境质量。</w:t>
            </w:r>
          </w:p>
        </w:tc>
        <w:tc>
          <w:tcPr>
            <w:tcW w:w="2268" w:type="dxa"/>
            <w:vAlign w:val="center"/>
          </w:tcPr>
          <w:p>
            <w:pPr>
              <w:pStyle w:val="12"/>
            </w:pPr>
            <w:r>
              <w:t>散煤清零</w:t>
            </w:r>
          </w:p>
        </w:tc>
        <w:tc>
          <w:tcPr>
            <w:tcW w:w="1276" w:type="dxa"/>
            <w:vAlign w:val="center"/>
          </w:tcPr>
          <w:p>
            <w:pPr>
              <w:pStyle w:val="12"/>
            </w:pPr>
            <w:r>
              <w:t>"石政办函﹝2017﹞22号</w:t>
            </w:r>
          </w:p>
          <w:p>
            <w:pPr>
              <w:pStyle w:val="12"/>
            </w:pPr>
            <w:r>
              <w:t>石家庄市人民政府办公厅关于印发石家庄市2017年散煤压减替代工作实施方案的通知"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气代煤使用户满意度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30、石财城［2024］57号石家庄市财政局关于提前下达2025年中央大气污染防治资金预算的通知绩效目标表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13010925P00000910086C</w:t>
            </w:r>
          </w:p>
        </w:tc>
        <w:tc>
          <w:tcPr>
            <w:tcW w:w="2835" w:type="dxa"/>
            <w:vAlign w:val="center"/>
          </w:tcPr>
          <w:p>
            <w:pPr>
              <w:pStyle w:val="10"/>
            </w:pPr>
            <w:r>
              <w:t>项目名称</w:t>
            </w:r>
          </w:p>
        </w:tc>
        <w:tc>
          <w:tcPr>
            <w:tcW w:w="6095" w:type="dxa"/>
            <w:gridSpan w:val="3"/>
            <w:vAlign w:val="center"/>
          </w:tcPr>
          <w:p>
            <w:pPr>
              <w:pStyle w:val="12"/>
            </w:pPr>
            <w:r>
              <w:t>石财城［2024］57号石家庄市财政局关于提前下达2025年中央大气污染防治资金预算的通知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1279.00</w:t>
            </w:r>
          </w:p>
        </w:tc>
        <w:tc>
          <w:tcPr>
            <w:tcW w:w="2835" w:type="dxa"/>
            <w:vAlign w:val="center"/>
          </w:tcPr>
          <w:p>
            <w:pPr>
              <w:pStyle w:val="10"/>
            </w:pPr>
            <w:r>
              <w:t>其中：财政    资金</w:t>
            </w:r>
          </w:p>
        </w:tc>
        <w:tc>
          <w:tcPr>
            <w:tcW w:w="2551" w:type="dxa"/>
            <w:vAlign w:val="center"/>
          </w:tcPr>
          <w:p>
            <w:pPr>
              <w:pStyle w:val="12"/>
            </w:pPr>
            <w:r>
              <w:t>1279.00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预算资金总计1279万元，用于发放农村地区2024-2025年采暖季双代用户运行补贴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767.40</w:t>
            </w:r>
          </w:p>
        </w:tc>
        <w:tc>
          <w:tcPr>
            <w:tcW w:w="2551" w:type="dxa"/>
            <w:vAlign w:val="center"/>
          </w:tcPr>
          <w:p>
            <w:pPr>
              <w:pStyle w:val="13"/>
            </w:pPr>
            <w:r>
              <w:t>1151.10</w:t>
            </w:r>
          </w:p>
        </w:tc>
        <w:tc>
          <w:tcPr>
            <w:tcW w:w="3544" w:type="dxa"/>
            <w:gridSpan w:val="2"/>
            <w:vAlign w:val="center"/>
          </w:tcPr>
          <w:p>
            <w:pPr>
              <w:pStyle w:val="13"/>
            </w:pPr>
            <w:r>
              <w:t>1279.00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1.发放农村地区2024-2024年采暖季双代用户运行补贴，居民使用清洁燃料采暖，可减少燃煤使用量，改善大气环境质量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运行补贴户数</w:t>
            </w:r>
          </w:p>
        </w:tc>
        <w:tc>
          <w:tcPr>
            <w:tcW w:w="5386" w:type="dxa"/>
            <w:vAlign w:val="center"/>
          </w:tcPr>
          <w:p>
            <w:pPr>
              <w:pStyle w:val="12"/>
            </w:pPr>
            <w:r>
              <w:t>采暖季双代应享受运行补助户数</w:t>
            </w:r>
          </w:p>
        </w:tc>
        <w:tc>
          <w:tcPr>
            <w:tcW w:w="2268" w:type="dxa"/>
            <w:vAlign w:val="center"/>
          </w:tcPr>
          <w:p>
            <w:pPr>
              <w:pStyle w:val="12"/>
            </w:pPr>
            <w:r>
              <w:t>采暖季双代应享受运行补助户数</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补助人员合规率</w:t>
            </w:r>
          </w:p>
        </w:tc>
        <w:tc>
          <w:tcPr>
            <w:tcW w:w="5386" w:type="dxa"/>
            <w:vAlign w:val="center"/>
          </w:tcPr>
          <w:p>
            <w:pPr>
              <w:pStyle w:val="12"/>
            </w:pPr>
            <w:r>
              <w:t>补助人员合规率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支出时间</w:t>
            </w:r>
          </w:p>
        </w:tc>
        <w:tc>
          <w:tcPr>
            <w:tcW w:w="5386" w:type="dxa"/>
            <w:vAlign w:val="center"/>
          </w:tcPr>
          <w:p>
            <w:pPr>
              <w:pStyle w:val="12"/>
            </w:pPr>
            <w:r>
              <w:t>支出时间</w:t>
            </w:r>
          </w:p>
        </w:tc>
        <w:tc>
          <w:tcPr>
            <w:tcW w:w="2268" w:type="dxa"/>
            <w:vAlign w:val="center"/>
          </w:tcPr>
          <w:p>
            <w:pPr>
              <w:pStyle w:val="12"/>
            </w:pPr>
            <w:r>
              <w:t>按计划支付</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补贴资金总额</w:t>
            </w:r>
          </w:p>
        </w:tc>
        <w:tc>
          <w:tcPr>
            <w:tcW w:w="5386" w:type="dxa"/>
            <w:vAlign w:val="center"/>
          </w:tcPr>
          <w:p>
            <w:pPr>
              <w:pStyle w:val="12"/>
            </w:pPr>
            <w:r>
              <w:t>2023-2024年采暖季农村“双代”市级运行补助</w:t>
            </w:r>
          </w:p>
        </w:tc>
        <w:tc>
          <w:tcPr>
            <w:tcW w:w="2268" w:type="dxa"/>
            <w:vAlign w:val="center"/>
          </w:tcPr>
          <w:p>
            <w:pPr>
              <w:pStyle w:val="12"/>
            </w:pPr>
            <w:r>
              <w:t>≤1279万元</w:t>
            </w:r>
          </w:p>
        </w:tc>
        <w:tc>
          <w:tcPr>
            <w:tcW w:w="1276" w:type="dxa"/>
            <w:vAlign w:val="center"/>
          </w:tcPr>
          <w:p>
            <w:pPr>
              <w:pStyle w:val="12"/>
            </w:pPr>
            <w:r>
              <w:t>石财城［2024］57号石家庄市财政局《关于提前下达2025年中央大气污染防治资金预算的通知》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方便居民生活，改善大气环境</w:t>
            </w:r>
          </w:p>
        </w:tc>
        <w:tc>
          <w:tcPr>
            <w:tcW w:w="5386" w:type="dxa"/>
            <w:vAlign w:val="center"/>
          </w:tcPr>
          <w:p>
            <w:pPr>
              <w:pStyle w:val="12"/>
            </w:pPr>
            <w:r>
              <w:t>农村地区居民使用电采暖设备进行取暖，相较于以往的散煤取暖，燃烧效率更加充分，有效减少燃煤使用量，改善大气环境质量。</w:t>
            </w:r>
          </w:p>
        </w:tc>
        <w:tc>
          <w:tcPr>
            <w:tcW w:w="2268" w:type="dxa"/>
            <w:vAlign w:val="center"/>
          </w:tcPr>
          <w:p>
            <w:pPr>
              <w:pStyle w:val="12"/>
            </w:pPr>
            <w:r>
              <w:t>散煤清零</w:t>
            </w:r>
          </w:p>
        </w:tc>
        <w:tc>
          <w:tcPr>
            <w:tcW w:w="1276" w:type="dxa"/>
            <w:vAlign w:val="center"/>
          </w:tcPr>
          <w:p>
            <w:pPr>
              <w:pStyle w:val="12"/>
            </w:pPr>
            <w:r>
              <w:t>"石政办函﹝2017﹞22号</w:t>
            </w:r>
          </w:p>
          <w:p>
            <w:pPr>
              <w:pStyle w:val="12"/>
            </w:pPr>
            <w:r>
              <w:t>石家庄市人民政府办公厅关于印发石家庄市2017年散煤压减替代工作实施方案的通知"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31、石财债[2023]15号关于下达第五批新增政府债券资金的通知 藁城区2023年精品街道建设工程（调整）绩效目标表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13010924P000002118464</w:t>
            </w:r>
          </w:p>
        </w:tc>
        <w:tc>
          <w:tcPr>
            <w:tcW w:w="2835" w:type="dxa"/>
            <w:vAlign w:val="center"/>
          </w:tcPr>
          <w:p>
            <w:pPr>
              <w:pStyle w:val="10"/>
            </w:pPr>
            <w:r>
              <w:t>项目名称</w:t>
            </w:r>
          </w:p>
        </w:tc>
        <w:tc>
          <w:tcPr>
            <w:tcW w:w="6095" w:type="dxa"/>
            <w:gridSpan w:val="3"/>
            <w:vAlign w:val="center"/>
          </w:tcPr>
          <w:p>
            <w:pPr>
              <w:pStyle w:val="12"/>
            </w:pPr>
            <w:r>
              <w:t>石财债[2023]15号关于下达第五批新增政府债券资金的通知 藁城区2023年精品街道建设工程（调整）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928.69</w:t>
            </w:r>
          </w:p>
        </w:tc>
        <w:tc>
          <w:tcPr>
            <w:tcW w:w="2835" w:type="dxa"/>
            <w:vAlign w:val="center"/>
          </w:tcPr>
          <w:p>
            <w:pPr>
              <w:pStyle w:val="10"/>
            </w:pPr>
            <w:r>
              <w:t>其中：财政    资金</w:t>
            </w:r>
          </w:p>
        </w:tc>
        <w:tc>
          <w:tcPr>
            <w:tcW w:w="2551" w:type="dxa"/>
            <w:vAlign w:val="center"/>
          </w:tcPr>
          <w:p>
            <w:pPr>
              <w:pStyle w:val="12"/>
            </w:pPr>
            <w:r>
              <w:t>928.69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用于藁城区2023年精品街道建设工程，主要建设内容包括：三铺路、四明街、西城街、廉东大街、廉西大街、廉法街等6条街道改造提升及三座口袋公园的建设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558.00</w:t>
            </w:r>
          </w:p>
        </w:tc>
        <w:tc>
          <w:tcPr>
            <w:tcW w:w="2551" w:type="dxa"/>
            <w:vAlign w:val="center"/>
          </w:tcPr>
          <w:p>
            <w:pPr>
              <w:pStyle w:val="13"/>
            </w:pPr>
            <w:r>
              <w:t>836.00</w:t>
            </w:r>
          </w:p>
        </w:tc>
        <w:tc>
          <w:tcPr>
            <w:tcW w:w="3544" w:type="dxa"/>
            <w:gridSpan w:val="2"/>
            <w:vAlign w:val="center"/>
          </w:tcPr>
          <w:p>
            <w:pPr>
              <w:pStyle w:val="13"/>
            </w:pPr>
            <w:r>
              <w:t>928.69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1.通过完成6条街道改造提升及三座口袋公园的建设工作，提高藁城区整体形象，提高周边居民的生活质量，为市民创造一个良好的生活空间。</w:t>
            </w:r>
            <w:r>
              <w:tab/>
            </w:r>
            <w:r>
              <w:tab/>
            </w:r>
            <w:r>
              <w:tab/>
            </w:r>
            <w:r>
              <w:tab/>
            </w:r>
            <w:r>
              <w:tab/>
            </w:r>
            <w:r>
              <w:tab/>
            </w:r>
          </w:p>
          <w:p>
            <w:pPr>
              <w:pStyle w:val="12"/>
            </w:pPr>
            <w:r>
              <w:t>2.通过完成6条街道改造提升及三座口袋公园的建设工作，改善藁城区的市容市貌，为居民出行畅通提供便利，完善城区基础设施。</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需改造提升的街道数量</w:t>
            </w:r>
          </w:p>
        </w:tc>
        <w:tc>
          <w:tcPr>
            <w:tcW w:w="5386" w:type="dxa"/>
            <w:vAlign w:val="center"/>
          </w:tcPr>
          <w:p>
            <w:pPr>
              <w:pStyle w:val="12"/>
            </w:pPr>
            <w:r>
              <w:t>工程包含的需改造提升的街道数量</w:t>
            </w:r>
          </w:p>
        </w:tc>
        <w:tc>
          <w:tcPr>
            <w:tcW w:w="2268" w:type="dxa"/>
            <w:vAlign w:val="center"/>
          </w:tcPr>
          <w:p>
            <w:pPr>
              <w:pStyle w:val="12"/>
            </w:pPr>
            <w:r>
              <w:t>6条</w:t>
            </w:r>
          </w:p>
        </w:tc>
        <w:tc>
          <w:tcPr>
            <w:tcW w:w="1276" w:type="dxa"/>
            <w:vAlign w:val="center"/>
          </w:tcPr>
          <w:p>
            <w:pPr>
              <w:pStyle w:val="12"/>
            </w:pPr>
            <w:r>
              <w:t>可研批复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需新建的口袋公园数量</w:t>
            </w:r>
          </w:p>
        </w:tc>
        <w:tc>
          <w:tcPr>
            <w:tcW w:w="5386" w:type="dxa"/>
            <w:vAlign w:val="center"/>
          </w:tcPr>
          <w:p>
            <w:pPr>
              <w:pStyle w:val="12"/>
            </w:pPr>
            <w:r>
              <w:t>工程包含的需新建的口袋公园数量</w:t>
            </w:r>
          </w:p>
        </w:tc>
        <w:tc>
          <w:tcPr>
            <w:tcW w:w="2268" w:type="dxa"/>
            <w:vAlign w:val="center"/>
          </w:tcPr>
          <w:p>
            <w:pPr>
              <w:pStyle w:val="12"/>
            </w:pPr>
            <w:r>
              <w:t>3个</w:t>
            </w:r>
          </w:p>
        </w:tc>
        <w:tc>
          <w:tcPr>
            <w:tcW w:w="1276" w:type="dxa"/>
            <w:vAlign w:val="center"/>
          </w:tcPr>
          <w:p>
            <w:pPr>
              <w:pStyle w:val="12"/>
            </w:pPr>
            <w:r>
              <w:t>可研批复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w:t>
            </w:r>
          </w:p>
        </w:tc>
        <w:tc>
          <w:tcPr>
            <w:tcW w:w="5386" w:type="dxa"/>
            <w:vAlign w:val="center"/>
          </w:tcPr>
          <w:p>
            <w:pPr>
              <w:pStyle w:val="12"/>
            </w:pPr>
            <w:r>
              <w:t>合同工期</w:t>
            </w:r>
          </w:p>
        </w:tc>
        <w:tc>
          <w:tcPr>
            <w:tcW w:w="2268" w:type="dxa"/>
            <w:vAlign w:val="center"/>
          </w:tcPr>
          <w:p>
            <w:pPr>
              <w:pStyle w:val="12"/>
            </w:pPr>
            <w:r>
              <w:t>≤120天</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一般债金额</w:t>
            </w:r>
          </w:p>
        </w:tc>
        <w:tc>
          <w:tcPr>
            <w:tcW w:w="5386" w:type="dxa"/>
            <w:vAlign w:val="center"/>
          </w:tcPr>
          <w:p>
            <w:pPr>
              <w:pStyle w:val="12"/>
            </w:pPr>
            <w:r>
              <w:t>一般债金额</w:t>
            </w:r>
          </w:p>
        </w:tc>
        <w:tc>
          <w:tcPr>
            <w:tcW w:w="2268" w:type="dxa"/>
            <w:vAlign w:val="center"/>
          </w:tcPr>
          <w:p>
            <w:pPr>
              <w:pStyle w:val="12"/>
            </w:pPr>
            <w:r>
              <w:t>≤3000万元</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改善周边环境、</w:t>
            </w:r>
          </w:p>
          <w:p>
            <w:pPr>
              <w:pStyle w:val="12"/>
            </w:pPr>
            <w:r>
              <w:t>提升城市环境</w:t>
            </w:r>
          </w:p>
        </w:tc>
        <w:tc>
          <w:tcPr>
            <w:tcW w:w="5386" w:type="dxa"/>
            <w:vAlign w:val="center"/>
          </w:tcPr>
          <w:p>
            <w:pPr>
              <w:pStyle w:val="12"/>
            </w:pPr>
            <w:r>
              <w:t>改善藁城区的市容市貌，为居民出行畅通提供便利，完善城区基础设施</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32、石财债[2023]20号石家庄市财政局关于下达2023年第七批新增政府债券资金--藁城区智慧燃气安全管理平台新型基础设施建设项目绩效目标表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13010923P00008410001U</w:t>
            </w:r>
          </w:p>
        </w:tc>
        <w:tc>
          <w:tcPr>
            <w:tcW w:w="2835" w:type="dxa"/>
            <w:vAlign w:val="center"/>
          </w:tcPr>
          <w:p>
            <w:pPr>
              <w:pStyle w:val="10"/>
            </w:pPr>
            <w:r>
              <w:t>项目名称</w:t>
            </w:r>
          </w:p>
        </w:tc>
        <w:tc>
          <w:tcPr>
            <w:tcW w:w="6095" w:type="dxa"/>
            <w:gridSpan w:val="3"/>
            <w:vAlign w:val="center"/>
          </w:tcPr>
          <w:p>
            <w:pPr>
              <w:pStyle w:val="12"/>
            </w:pPr>
            <w:r>
              <w:t>石财债[2023]20号石家庄市财政局关于下达2023年第七批新增政府债券资金--藁城区智慧燃气安全管理平台新型基础设施建设项目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1535.00</w:t>
            </w:r>
          </w:p>
        </w:tc>
        <w:tc>
          <w:tcPr>
            <w:tcW w:w="2835" w:type="dxa"/>
            <w:vAlign w:val="center"/>
          </w:tcPr>
          <w:p>
            <w:pPr>
              <w:pStyle w:val="10"/>
            </w:pPr>
            <w:r>
              <w:t>其中：财政    资金</w:t>
            </w:r>
          </w:p>
        </w:tc>
        <w:tc>
          <w:tcPr>
            <w:tcW w:w="2551" w:type="dxa"/>
            <w:vAlign w:val="center"/>
          </w:tcPr>
          <w:p>
            <w:pPr>
              <w:pStyle w:val="12"/>
            </w:pPr>
            <w:r>
              <w:t>1535.00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预算资金总计4500万元，用于建成藁城区智慧燃气监管平台和用户端物联网燃气泄露报警装置，安装自闭阀、波纹管等。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921.00</w:t>
            </w:r>
          </w:p>
        </w:tc>
        <w:tc>
          <w:tcPr>
            <w:tcW w:w="2551" w:type="dxa"/>
            <w:vAlign w:val="center"/>
          </w:tcPr>
          <w:p>
            <w:pPr>
              <w:pStyle w:val="13"/>
            </w:pPr>
            <w:r>
              <w:t>1381.50</w:t>
            </w:r>
          </w:p>
        </w:tc>
        <w:tc>
          <w:tcPr>
            <w:tcW w:w="3544" w:type="dxa"/>
            <w:gridSpan w:val="2"/>
            <w:vAlign w:val="center"/>
          </w:tcPr>
          <w:p>
            <w:pPr>
              <w:pStyle w:val="13"/>
            </w:pPr>
            <w:r>
              <w:t>1535.00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1.年底前完成藁城区智慧燃气安全管理平台及新基础设施建设项目建设。</w:t>
            </w:r>
          </w:p>
          <w:p>
            <w:pPr>
              <w:pStyle w:val="12"/>
            </w:pPr>
            <w:r>
              <w:t>2.通过燃气监管平台实现对我区的燃气安全进行实时监管，提升安全管理水平。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需安装报警装置的气代煤用户端数量</w:t>
            </w:r>
          </w:p>
        </w:tc>
        <w:tc>
          <w:tcPr>
            <w:tcW w:w="5386" w:type="dxa"/>
            <w:vAlign w:val="center"/>
          </w:tcPr>
          <w:p>
            <w:pPr>
              <w:pStyle w:val="12"/>
            </w:pPr>
            <w:r>
              <w:t>需安装报警装置的气代煤用户端数量</w:t>
            </w:r>
          </w:p>
        </w:tc>
        <w:tc>
          <w:tcPr>
            <w:tcW w:w="2268" w:type="dxa"/>
            <w:vAlign w:val="center"/>
          </w:tcPr>
          <w:p>
            <w:pPr>
              <w:pStyle w:val="12"/>
            </w:pPr>
            <w:r>
              <w:t>150930套</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为我区广大气代煤用户加装物联网燃气泄露报警装置</w:t>
            </w:r>
          </w:p>
        </w:tc>
        <w:tc>
          <w:tcPr>
            <w:tcW w:w="5386" w:type="dxa"/>
            <w:vAlign w:val="center"/>
          </w:tcPr>
          <w:p>
            <w:pPr>
              <w:pStyle w:val="12"/>
            </w:pPr>
            <w:r>
              <w:t>气代煤用户的物联网燃气泄露报警装置全覆盖</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在规定时间加装完毕</w:t>
            </w:r>
          </w:p>
        </w:tc>
        <w:tc>
          <w:tcPr>
            <w:tcW w:w="5386" w:type="dxa"/>
            <w:vAlign w:val="center"/>
          </w:tcPr>
          <w:p>
            <w:pPr>
              <w:pStyle w:val="12"/>
            </w:pPr>
            <w:r>
              <w:t>在规定时间2023年12月前加装完毕</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专项债金额</w:t>
            </w:r>
          </w:p>
        </w:tc>
        <w:tc>
          <w:tcPr>
            <w:tcW w:w="5386" w:type="dxa"/>
            <w:vAlign w:val="center"/>
          </w:tcPr>
          <w:p>
            <w:pPr>
              <w:pStyle w:val="12"/>
            </w:pPr>
            <w:r>
              <w:t>专项债金额</w:t>
            </w:r>
          </w:p>
        </w:tc>
        <w:tc>
          <w:tcPr>
            <w:tcW w:w="2268" w:type="dxa"/>
            <w:vAlign w:val="center"/>
          </w:tcPr>
          <w:p>
            <w:pPr>
              <w:pStyle w:val="12"/>
            </w:pPr>
            <w:r>
              <w:t>≤4500万元</w:t>
            </w:r>
          </w:p>
        </w:tc>
        <w:tc>
          <w:tcPr>
            <w:tcW w:w="1276" w:type="dxa"/>
            <w:vAlign w:val="center"/>
          </w:tcPr>
          <w:p>
            <w:pPr>
              <w:pStyle w:val="12"/>
            </w:pPr>
            <w:r>
              <w:t>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通过建设燃气监管平台，实现燃气动态监管，杜绝燃气安全事故。打造燃气安全藁城，让全区人民安居乐业。</w:t>
            </w:r>
          </w:p>
        </w:tc>
        <w:tc>
          <w:tcPr>
            <w:tcW w:w="5386" w:type="dxa"/>
            <w:vAlign w:val="center"/>
          </w:tcPr>
          <w:p>
            <w:pPr>
              <w:pStyle w:val="12"/>
            </w:pPr>
            <w:r>
              <w:t>通过建设燃气监管平台，实现燃气动态监管，早发现早处置，杜绝燃气安全事故。</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33、石财债[2023]5号关于下达第一批新增政府债券资金的通知 2023年藁城区城市基础设施建设工程--育英路排水管网及道路改造工程（调整）绩效目标表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13010924P00000211845G</w:t>
            </w:r>
          </w:p>
        </w:tc>
        <w:tc>
          <w:tcPr>
            <w:tcW w:w="2835" w:type="dxa"/>
            <w:vAlign w:val="center"/>
          </w:tcPr>
          <w:p>
            <w:pPr>
              <w:pStyle w:val="10"/>
            </w:pPr>
            <w:r>
              <w:t>项目名称</w:t>
            </w:r>
          </w:p>
        </w:tc>
        <w:tc>
          <w:tcPr>
            <w:tcW w:w="6095" w:type="dxa"/>
            <w:gridSpan w:val="3"/>
            <w:vAlign w:val="center"/>
          </w:tcPr>
          <w:p>
            <w:pPr>
              <w:pStyle w:val="12"/>
            </w:pPr>
            <w:r>
              <w:t>石财债[2023]5号关于下达第一批新增政府债券资金的通知 2023年藁城区城市基础设施建设工程--育英路排水管网及道路改造工程（调整）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    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用于育英路道路及排水管网工程、照明工程、绿化工程、架空入地等各项工程内容。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480.00</w:t>
            </w:r>
          </w:p>
        </w:tc>
        <w:tc>
          <w:tcPr>
            <w:tcW w:w="2551" w:type="dxa"/>
            <w:vAlign w:val="center"/>
          </w:tcPr>
          <w:p>
            <w:pPr>
              <w:pStyle w:val="13"/>
            </w:pPr>
            <w:r>
              <w:t>720.00</w:t>
            </w:r>
          </w:p>
        </w:tc>
        <w:tc>
          <w:tcPr>
            <w:tcW w:w="3544" w:type="dxa"/>
            <w:gridSpan w:val="2"/>
            <w:vAlign w:val="center"/>
          </w:tcPr>
          <w:p>
            <w:pPr>
              <w:pStyle w:val="13"/>
            </w:pPr>
            <w:r>
              <w:t>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1.通过完成育英路道路及排水管网工程、照明工程、绿化工程、架空入地等各项工程内容，完成监理及实验室检测，改善城区容貌，改善居民的出行环境，方便市民出行。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道路改造长度</w:t>
            </w:r>
          </w:p>
        </w:tc>
        <w:tc>
          <w:tcPr>
            <w:tcW w:w="5386" w:type="dxa"/>
            <w:vAlign w:val="center"/>
          </w:tcPr>
          <w:p>
            <w:pPr>
              <w:pStyle w:val="12"/>
            </w:pPr>
            <w:r>
              <w:t>工程涉及道路改造长度</w:t>
            </w:r>
          </w:p>
        </w:tc>
        <w:tc>
          <w:tcPr>
            <w:tcW w:w="2268" w:type="dxa"/>
            <w:vAlign w:val="center"/>
          </w:tcPr>
          <w:p>
            <w:pPr>
              <w:pStyle w:val="12"/>
            </w:pPr>
            <w:r>
              <w:t>4250米</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验收合格工程量占总工程量的比率</w:t>
            </w:r>
          </w:p>
        </w:tc>
        <w:tc>
          <w:tcPr>
            <w:tcW w:w="2268" w:type="dxa"/>
            <w:vAlign w:val="center"/>
          </w:tcPr>
          <w:p>
            <w:pPr>
              <w:pStyle w:val="12"/>
            </w:pPr>
            <w:r>
              <w:t>100%</w:t>
            </w:r>
          </w:p>
        </w:tc>
        <w:tc>
          <w:tcPr>
            <w:tcW w:w="1276" w:type="dxa"/>
            <w:vAlign w:val="center"/>
          </w:tcPr>
          <w:p>
            <w:pPr>
              <w:pStyle w:val="12"/>
            </w:pPr>
            <w:r>
              <w:t>验收单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w:t>
            </w:r>
          </w:p>
        </w:tc>
        <w:tc>
          <w:tcPr>
            <w:tcW w:w="5386" w:type="dxa"/>
            <w:vAlign w:val="center"/>
          </w:tcPr>
          <w:p>
            <w:pPr>
              <w:pStyle w:val="12"/>
            </w:pPr>
            <w:r>
              <w:t>合同工期</w:t>
            </w:r>
          </w:p>
        </w:tc>
        <w:tc>
          <w:tcPr>
            <w:tcW w:w="2268" w:type="dxa"/>
            <w:vAlign w:val="center"/>
          </w:tcPr>
          <w:p>
            <w:pPr>
              <w:pStyle w:val="12"/>
            </w:pPr>
            <w:r>
              <w:t>≤200天</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合同价格</w:t>
            </w:r>
          </w:p>
        </w:tc>
        <w:tc>
          <w:tcPr>
            <w:tcW w:w="5386" w:type="dxa"/>
            <w:vAlign w:val="center"/>
          </w:tcPr>
          <w:p>
            <w:pPr>
              <w:pStyle w:val="12"/>
            </w:pPr>
            <w:r>
              <w:t>道路工程（一标段）项目合同价格</w:t>
            </w:r>
          </w:p>
        </w:tc>
        <w:tc>
          <w:tcPr>
            <w:tcW w:w="2268" w:type="dxa"/>
            <w:vAlign w:val="center"/>
          </w:tcPr>
          <w:p>
            <w:pPr>
              <w:pStyle w:val="12"/>
            </w:pPr>
            <w:r>
              <w:t>5717.7万元</w:t>
            </w:r>
          </w:p>
        </w:tc>
        <w:tc>
          <w:tcPr>
            <w:tcW w:w="1276" w:type="dxa"/>
            <w:vAlign w:val="center"/>
          </w:tcPr>
          <w:p>
            <w:pPr>
              <w:pStyle w:val="12"/>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出行环境舒适度</w:t>
            </w:r>
          </w:p>
        </w:tc>
        <w:tc>
          <w:tcPr>
            <w:tcW w:w="5386" w:type="dxa"/>
            <w:vAlign w:val="center"/>
          </w:tcPr>
          <w:p>
            <w:pPr>
              <w:pStyle w:val="12"/>
            </w:pPr>
            <w:r>
              <w:t>改善城区容貌，改善居民的出行环境，方便市民出行。</w:t>
            </w:r>
          </w:p>
        </w:tc>
        <w:tc>
          <w:tcPr>
            <w:tcW w:w="2268" w:type="dxa"/>
            <w:vAlign w:val="center"/>
          </w:tcPr>
          <w:p>
            <w:pPr>
              <w:pStyle w:val="12"/>
            </w:pPr>
            <w:r>
              <w:t>≥90%</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≥90%</w:t>
            </w:r>
          </w:p>
        </w:tc>
        <w:tc>
          <w:tcPr>
            <w:tcW w:w="1276" w:type="dxa"/>
            <w:vAlign w:val="center"/>
          </w:tcPr>
          <w:p>
            <w:pPr>
              <w:pStyle w:val="12"/>
            </w:pPr>
            <w:r>
              <w:t>抽样调查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34、石财债[2023]5号石家庄市财政局下达2023年第一批新增政府债券资金-藁城区城乡垃圾资源化处置中心建设工程（填埋场渗滤液系统升级改造）绩效目标表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13010924P00000211844W</w:t>
            </w:r>
          </w:p>
        </w:tc>
        <w:tc>
          <w:tcPr>
            <w:tcW w:w="2835" w:type="dxa"/>
            <w:vAlign w:val="center"/>
          </w:tcPr>
          <w:p>
            <w:pPr>
              <w:pStyle w:val="10"/>
            </w:pPr>
            <w:r>
              <w:t>项目名称</w:t>
            </w:r>
          </w:p>
        </w:tc>
        <w:tc>
          <w:tcPr>
            <w:tcW w:w="6095" w:type="dxa"/>
            <w:gridSpan w:val="3"/>
            <w:vAlign w:val="center"/>
          </w:tcPr>
          <w:p>
            <w:pPr>
              <w:pStyle w:val="12"/>
            </w:pPr>
            <w:r>
              <w:t>石财债[2023]5号石家庄市财政局下达2023年第一批新增政府债券资金-藁城区城乡垃圾资源化处置中心建设工程（填埋场渗滤液系统升级改造）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665.65</w:t>
            </w:r>
          </w:p>
        </w:tc>
        <w:tc>
          <w:tcPr>
            <w:tcW w:w="2835" w:type="dxa"/>
            <w:vAlign w:val="center"/>
          </w:tcPr>
          <w:p>
            <w:pPr>
              <w:pStyle w:val="10"/>
            </w:pPr>
            <w:r>
              <w:t>其中：财政    资金</w:t>
            </w:r>
          </w:p>
        </w:tc>
        <w:tc>
          <w:tcPr>
            <w:tcW w:w="2551" w:type="dxa"/>
            <w:vAlign w:val="center"/>
          </w:tcPr>
          <w:p>
            <w:pPr>
              <w:pStyle w:val="12"/>
            </w:pPr>
            <w:r>
              <w:t>665.65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用于渗滤液升级改造，渗滤液处理购置安装DTRO系统和MVR系统，达到日处理渗滤液100吨的水平，减少渗滤液积存。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399.40</w:t>
            </w:r>
          </w:p>
        </w:tc>
        <w:tc>
          <w:tcPr>
            <w:tcW w:w="2551" w:type="dxa"/>
            <w:vAlign w:val="center"/>
          </w:tcPr>
          <w:p>
            <w:pPr>
              <w:pStyle w:val="13"/>
            </w:pPr>
            <w:r>
              <w:t>600.00</w:t>
            </w:r>
          </w:p>
        </w:tc>
        <w:tc>
          <w:tcPr>
            <w:tcW w:w="3544" w:type="dxa"/>
            <w:gridSpan w:val="2"/>
            <w:vAlign w:val="center"/>
          </w:tcPr>
          <w:p>
            <w:pPr>
              <w:pStyle w:val="13"/>
            </w:pPr>
            <w:r>
              <w:t>655.65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1.通过完成渗滤液升级改造，解决生活垃圾填埋场周边的渗滤液处理污染问题，提高周边总体环境质量，推进生态城市的建设进程。</w:t>
            </w:r>
            <w:r>
              <w:tab/>
            </w:r>
            <w:r>
              <w:tab/>
            </w:r>
            <w:r>
              <w:tab/>
            </w:r>
            <w:r>
              <w:tab/>
            </w:r>
            <w:r>
              <w:tab/>
            </w:r>
          </w:p>
          <w:p>
            <w:pPr>
              <w:pStyle w:val="12"/>
            </w:pPr>
            <w:r>
              <w:t>2.通过为渗滤液处理购置安装DTRO系统和MVR系统，达到日处理渗滤液100吨的水平，减少渗滤液积存。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预计达到的日处理量</w:t>
            </w:r>
          </w:p>
        </w:tc>
        <w:tc>
          <w:tcPr>
            <w:tcW w:w="5386" w:type="dxa"/>
            <w:vAlign w:val="center"/>
          </w:tcPr>
          <w:p>
            <w:pPr>
              <w:pStyle w:val="12"/>
            </w:pPr>
            <w:r>
              <w:t xml:space="preserve"> 升级改造完成后预计达到的日处理量</w:t>
            </w:r>
          </w:p>
        </w:tc>
        <w:tc>
          <w:tcPr>
            <w:tcW w:w="2268" w:type="dxa"/>
            <w:vAlign w:val="center"/>
          </w:tcPr>
          <w:p>
            <w:pPr>
              <w:pStyle w:val="12"/>
            </w:pPr>
            <w:r>
              <w:t>100吨</w:t>
            </w:r>
          </w:p>
        </w:tc>
        <w:tc>
          <w:tcPr>
            <w:tcW w:w="1276" w:type="dxa"/>
            <w:vAlign w:val="center"/>
          </w:tcPr>
          <w:p>
            <w:pPr>
              <w:pStyle w:val="12"/>
            </w:pPr>
            <w:r>
              <w:t>《可行性研究报告》《藁城区城乡垃圾资源化处置中心建设工程初步设计》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验收合格项目占验收项目的比率</w:t>
            </w:r>
          </w:p>
        </w:tc>
        <w:tc>
          <w:tcPr>
            <w:tcW w:w="2268" w:type="dxa"/>
            <w:vAlign w:val="center"/>
          </w:tcPr>
          <w:p>
            <w:pPr>
              <w:pStyle w:val="12"/>
            </w:pPr>
            <w:r>
              <w:t>100%</w:t>
            </w:r>
          </w:p>
        </w:tc>
        <w:tc>
          <w:tcPr>
            <w:tcW w:w="1276" w:type="dxa"/>
            <w:vAlign w:val="center"/>
          </w:tcPr>
          <w:p>
            <w:pPr>
              <w:pStyle w:val="12"/>
            </w:pPr>
            <w:r>
              <w:t>《可行性研究报告》《藁城区城乡垃圾资源化处置中心建设工程初步设计》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预计建设周期</w:t>
            </w:r>
          </w:p>
        </w:tc>
        <w:tc>
          <w:tcPr>
            <w:tcW w:w="5386" w:type="dxa"/>
            <w:vAlign w:val="center"/>
          </w:tcPr>
          <w:p>
            <w:pPr>
              <w:pStyle w:val="12"/>
            </w:pPr>
            <w:r>
              <w:t>项目预计建设周期</w:t>
            </w:r>
          </w:p>
        </w:tc>
        <w:tc>
          <w:tcPr>
            <w:tcW w:w="2268" w:type="dxa"/>
            <w:vAlign w:val="center"/>
          </w:tcPr>
          <w:p>
            <w:pPr>
              <w:pStyle w:val="12"/>
            </w:pPr>
            <w:r>
              <w:t>18月</w:t>
            </w:r>
          </w:p>
        </w:tc>
        <w:tc>
          <w:tcPr>
            <w:tcW w:w="1276" w:type="dxa"/>
            <w:vAlign w:val="center"/>
          </w:tcPr>
          <w:p>
            <w:pPr>
              <w:pStyle w:val="12"/>
            </w:pPr>
            <w:r>
              <w:t>《可行性研究报告》《藁城区城乡垃圾资源化处置中心建设工程初步设计》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≤900万元</w:t>
            </w:r>
          </w:p>
        </w:tc>
        <w:tc>
          <w:tcPr>
            <w:tcW w:w="1276" w:type="dxa"/>
            <w:vAlign w:val="center"/>
          </w:tcPr>
          <w:p>
            <w:pPr>
              <w:pStyle w:val="12"/>
            </w:pPr>
            <w:r>
              <w:t>《可行性研究报告》《藁城区城乡垃圾资源化处置中心建设工程初步设计》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提升城市整体形象</w:t>
            </w:r>
          </w:p>
        </w:tc>
        <w:tc>
          <w:tcPr>
            <w:tcW w:w="5386" w:type="dxa"/>
            <w:vAlign w:val="center"/>
          </w:tcPr>
          <w:p>
            <w:pPr>
              <w:pStyle w:val="12"/>
            </w:pPr>
            <w:r>
              <w:t>进一步完善了藁城区相适应的基础设施；保证城市环境整洁，提升城市整体形象</w:t>
            </w:r>
          </w:p>
        </w:tc>
        <w:tc>
          <w:tcPr>
            <w:tcW w:w="2268" w:type="dxa"/>
            <w:vAlign w:val="center"/>
          </w:tcPr>
          <w:p>
            <w:pPr>
              <w:pStyle w:val="12"/>
            </w:pPr>
            <w:r>
              <w:t>≥90%</w:t>
            </w:r>
          </w:p>
        </w:tc>
        <w:tc>
          <w:tcPr>
            <w:tcW w:w="1276" w:type="dxa"/>
            <w:vAlign w:val="center"/>
          </w:tcPr>
          <w:p>
            <w:pPr>
              <w:pStyle w:val="12"/>
            </w:pPr>
            <w:r>
              <w:t>《可行性研究报告》《藁城区城乡垃圾资源化处置中心建设工程初步设计》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解决了渗滤液污染问题，推进了生态城市的建设进程</w:t>
            </w:r>
          </w:p>
        </w:tc>
        <w:tc>
          <w:tcPr>
            <w:tcW w:w="5386" w:type="dxa"/>
            <w:vAlign w:val="center"/>
          </w:tcPr>
          <w:p>
            <w:pPr>
              <w:pStyle w:val="12"/>
            </w:pPr>
            <w:r>
              <w:t>渗滤液处理系统升级改造，解决了城市生活垃圾处理场周边的渗滤液处理污染问题，提高了周边总体环境质量、推进了生态城市的建设进程、保证人民身体健康</w:t>
            </w:r>
          </w:p>
        </w:tc>
        <w:tc>
          <w:tcPr>
            <w:tcW w:w="2268" w:type="dxa"/>
            <w:vAlign w:val="center"/>
          </w:tcPr>
          <w:p>
            <w:pPr>
              <w:pStyle w:val="12"/>
            </w:pPr>
            <w:r>
              <w:t>≥90%</w:t>
            </w:r>
          </w:p>
        </w:tc>
        <w:tc>
          <w:tcPr>
            <w:tcW w:w="1276" w:type="dxa"/>
            <w:vAlign w:val="center"/>
          </w:tcPr>
          <w:p>
            <w:pPr>
              <w:pStyle w:val="12"/>
            </w:pPr>
            <w:r>
              <w:t>《可行性研究报告》《藁城区城乡垃圾资源化处置中心建设工程初步设计》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调查中满意和较满意的居民数量占全部调查人数的比率</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35、石财债[2024]16号关于下达2024年第七批新增政府债券资金的通知--藁城区2022年小街小巷整治提升项目绩效目标表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13010924P00002910001B</w:t>
            </w:r>
          </w:p>
        </w:tc>
        <w:tc>
          <w:tcPr>
            <w:tcW w:w="2835" w:type="dxa"/>
            <w:vAlign w:val="center"/>
          </w:tcPr>
          <w:p>
            <w:pPr>
              <w:pStyle w:val="10"/>
            </w:pPr>
            <w:r>
              <w:t>项目名称</w:t>
            </w:r>
          </w:p>
        </w:tc>
        <w:tc>
          <w:tcPr>
            <w:tcW w:w="6095" w:type="dxa"/>
            <w:gridSpan w:val="3"/>
            <w:vAlign w:val="center"/>
          </w:tcPr>
          <w:p>
            <w:pPr>
              <w:pStyle w:val="12"/>
            </w:pPr>
            <w:r>
              <w:t>石财债[2024]16号关于下达2024年第七批新增政府债券资金的通知--藁城区2022年小街小巷整治提升项目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w:t>
            </w:r>
          </w:p>
        </w:tc>
        <w:tc>
          <w:tcPr>
            <w:tcW w:w="2835" w:type="dxa"/>
            <w:vAlign w:val="center"/>
          </w:tcPr>
          <w:p>
            <w:pPr>
              <w:pStyle w:val="10"/>
            </w:pPr>
            <w:r>
              <w:t>其中：财政    资金</w:t>
            </w:r>
          </w:p>
        </w:tc>
        <w:tc>
          <w:tcPr>
            <w:tcW w:w="2551" w:type="dxa"/>
            <w:vAlign w:val="center"/>
          </w:tcPr>
          <w:p>
            <w:pPr>
              <w:pStyle w:val="12"/>
            </w:pPr>
            <w:r>
              <w:t>1700.00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1020.00</w:t>
            </w:r>
          </w:p>
        </w:tc>
        <w:tc>
          <w:tcPr>
            <w:tcW w:w="2551" w:type="dxa"/>
            <w:vAlign w:val="center"/>
          </w:tcPr>
          <w:p>
            <w:pPr>
              <w:pStyle w:val="13"/>
            </w:pPr>
            <w:r>
              <w:t>1530.00</w:t>
            </w:r>
          </w:p>
        </w:tc>
        <w:tc>
          <w:tcPr>
            <w:tcW w:w="3544" w:type="dxa"/>
            <w:gridSpan w:val="2"/>
            <w:vAlign w:val="center"/>
          </w:tcPr>
          <w:p>
            <w:pPr>
              <w:pStyle w:val="13"/>
            </w:pPr>
            <w:r>
              <w:t>1700.00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1.通过完成167条街巷的整治工作，提高城区居民生活条件，推动藁城生态环境可持续发展。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小街巷数量</w:t>
            </w:r>
          </w:p>
        </w:tc>
        <w:tc>
          <w:tcPr>
            <w:tcW w:w="5386" w:type="dxa"/>
            <w:vAlign w:val="center"/>
          </w:tcPr>
          <w:p>
            <w:pPr>
              <w:pStyle w:val="12"/>
            </w:pPr>
            <w:r>
              <w:t>需整治的小街巷数量</w:t>
            </w:r>
          </w:p>
        </w:tc>
        <w:tc>
          <w:tcPr>
            <w:tcW w:w="2268" w:type="dxa"/>
            <w:vAlign w:val="center"/>
          </w:tcPr>
          <w:p>
            <w:pPr>
              <w:pStyle w:val="12"/>
            </w:pPr>
            <w:r>
              <w:t>167条</w:t>
            </w:r>
          </w:p>
        </w:tc>
        <w:tc>
          <w:tcPr>
            <w:tcW w:w="1276" w:type="dxa"/>
            <w:vAlign w:val="center"/>
          </w:tcPr>
          <w:p>
            <w:pPr>
              <w:pStyle w:val="12"/>
            </w:pPr>
            <w:r>
              <w:t>可研、委托代建协议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符合国家颁布的建设工程质量标准</w:t>
            </w:r>
          </w:p>
        </w:tc>
        <w:tc>
          <w:tcPr>
            <w:tcW w:w="5386" w:type="dxa"/>
            <w:vAlign w:val="center"/>
          </w:tcPr>
          <w:p>
            <w:pPr>
              <w:pStyle w:val="12"/>
            </w:pPr>
            <w:r>
              <w:t>符合国家颁布的建设工程质量标准</w:t>
            </w:r>
          </w:p>
        </w:tc>
        <w:tc>
          <w:tcPr>
            <w:tcW w:w="2268" w:type="dxa"/>
            <w:vAlign w:val="center"/>
          </w:tcPr>
          <w:p>
            <w:pPr>
              <w:pStyle w:val="12"/>
            </w:pPr>
            <w:r>
              <w:t>符合国家颁布的建设工程质量标准</w:t>
            </w:r>
          </w:p>
        </w:tc>
        <w:tc>
          <w:tcPr>
            <w:tcW w:w="1276" w:type="dxa"/>
            <w:vAlign w:val="center"/>
          </w:tcPr>
          <w:p>
            <w:pPr>
              <w:pStyle w:val="12"/>
            </w:pPr>
            <w:r>
              <w:t>可研</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w:t>
            </w:r>
          </w:p>
        </w:tc>
        <w:tc>
          <w:tcPr>
            <w:tcW w:w="5386" w:type="dxa"/>
            <w:vAlign w:val="center"/>
          </w:tcPr>
          <w:p>
            <w:pPr>
              <w:pStyle w:val="12"/>
            </w:pPr>
            <w:r>
              <w:t>计划工期</w:t>
            </w:r>
          </w:p>
        </w:tc>
        <w:tc>
          <w:tcPr>
            <w:tcW w:w="2268" w:type="dxa"/>
            <w:vAlign w:val="center"/>
          </w:tcPr>
          <w:p>
            <w:pPr>
              <w:pStyle w:val="12"/>
            </w:pPr>
            <w:r>
              <w:t>≤9月</w:t>
            </w:r>
          </w:p>
        </w:tc>
        <w:tc>
          <w:tcPr>
            <w:tcW w:w="1276" w:type="dxa"/>
            <w:vAlign w:val="center"/>
          </w:tcPr>
          <w:p>
            <w:pPr>
              <w:pStyle w:val="12"/>
            </w:pPr>
            <w:r>
              <w:t>委托代建协议</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工程金额</w:t>
            </w:r>
          </w:p>
        </w:tc>
        <w:tc>
          <w:tcPr>
            <w:tcW w:w="5386" w:type="dxa"/>
            <w:vAlign w:val="center"/>
          </w:tcPr>
          <w:p>
            <w:pPr>
              <w:pStyle w:val="12"/>
            </w:pPr>
            <w:r>
              <w:t>项目计划总投资金额</w:t>
            </w:r>
          </w:p>
        </w:tc>
        <w:tc>
          <w:tcPr>
            <w:tcW w:w="2268" w:type="dxa"/>
            <w:vAlign w:val="center"/>
          </w:tcPr>
          <w:p>
            <w:pPr>
              <w:pStyle w:val="12"/>
            </w:pPr>
            <w:r>
              <w:t>≤10050万元</w:t>
            </w:r>
          </w:p>
        </w:tc>
        <w:tc>
          <w:tcPr>
            <w:tcW w:w="1276" w:type="dxa"/>
            <w:vAlign w:val="center"/>
          </w:tcPr>
          <w:p>
            <w:pPr>
              <w:pStyle w:val="12"/>
            </w:pPr>
            <w:r>
              <w:t>委托代建协议、可研报告</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提高城区居民生活条件，推动藁城生态环境可持续发展</w:t>
            </w:r>
          </w:p>
        </w:tc>
        <w:tc>
          <w:tcPr>
            <w:tcW w:w="5386" w:type="dxa"/>
            <w:vAlign w:val="center"/>
          </w:tcPr>
          <w:p>
            <w:pPr>
              <w:pStyle w:val="12"/>
            </w:pPr>
            <w:r>
              <w:t>提升市民的交通、居住、生活环境，提高城区居民生活条件，推动藁城生态环境可持续发展</w:t>
            </w:r>
          </w:p>
        </w:tc>
        <w:tc>
          <w:tcPr>
            <w:tcW w:w="2268" w:type="dxa"/>
            <w:vAlign w:val="center"/>
          </w:tcPr>
          <w:p>
            <w:pPr>
              <w:pStyle w:val="12"/>
            </w:pPr>
            <w:r>
              <w:t>提升市民的交通、居住、生活环境，提高城区居民生活条件，推动藁城生态环境可持续发展</w:t>
            </w:r>
          </w:p>
        </w:tc>
        <w:tc>
          <w:tcPr>
            <w:tcW w:w="1276" w:type="dxa"/>
            <w:vAlign w:val="center"/>
          </w:tcPr>
          <w:p>
            <w:pPr>
              <w:pStyle w:val="12"/>
            </w:pPr>
            <w:r>
              <w:t>可研报告</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调查中满意和较满意的市民数量占全部调查人数的比率</w:t>
            </w:r>
          </w:p>
        </w:tc>
        <w:tc>
          <w:tcPr>
            <w:tcW w:w="2268" w:type="dxa"/>
            <w:vAlign w:val="center"/>
          </w:tcPr>
          <w:p>
            <w:pPr>
              <w:pStyle w:val="12"/>
            </w:pPr>
            <w:r>
              <w:t>≥90％</w:t>
            </w:r>
          </w:p>
          <w:p>
            <w:pPr>
              <w:pStyle w:val="12"/>
            </w:pP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36、石财债[2024]6号关于下达2024年第二批新增政府债券资金的通知--藁城区2022年小街小巷整治提升项目绩效目标表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13010924P00002210001K</w:t>
            </w:r>
          </w:p>
        </w:tc>
        <w:tc>
          <w:tcPr>
            <w:tcW w:w="2835" w:type="dxa"/>
            <w:vAlign w:val="center"/>
          </w:tcPr>
          <w:p>
            <w:pPr>
              <w:pStyle w:val="10"/>
            </w:pPr>
            <w:r>
              <w:t>项目名称</w:t>
            </w:r>
          </w:p>
        </w:tc>
        <w:tc>
          <w:tcPr>
            <w:tcW w:w="6095" w:type="dxa"/>
            <w:gridSpan w:val="3"/>
            <w:vAlign w:val="center"/>
          </w:tcPr>
          <w:p>
            <w:pPr>
              <w:pStyle w:val="12"/>
            </w:pPr>
            <w:r>
              <w:t>石财债[2024]6号关于下达2024年第二批新增政府债券资金的通知--藁城区2022年小街小巷整治提升项目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通过完成167条街巷的整治工作，提高城区居民生活条件，推动藁城生态环境可持续发展。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360.00</w:t>
            </w:r>
          </w:p>
        </w:tc>
        <w:tc>
          <w:tcPr>
            <w:tcW w:w="2551" w:type="dxa"/>
            <w:vAlign w:val="center"/>
          </w:tcPr>
          <w:p>
            <w:pPr>
              <w:pStyle w:val="13"/>
            </w:pPr>
            <w:r>
              <w:t>540.00</w:t>
            </w:r>
          </w:p>
        </w:tc>
        <w:tc>
          <w:tcPr>
            <w:tcW w:w="3544" w:type="dxa"/>
            <w:gridSpan w:val="2"/>
            <w:vAlign w:val="center"/>
          </w:tcPr>
          <w:p>
            <w:pPr>
              <w:pStyle w:val="13"/>
            </w:pPr>
            <w:r>
              <w:t>600.00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1.通过完成167条街巷的整治工作，提高城区居民生活条件，推动藁城生态环境可持续发展。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小街巷数量</w:t>
            </w:r>
          </w:p>
        </w:tc>
        <w:tc>
          <w:tcPr>
            <w:tcW w:w="5386" w:type="dxa"/>
            <w:vAlign w:val="center"/>
          </w:tcPr>
          <w:p>
            <w:pPr>
              <w:pStyle w:val="12"/>
            </w:pPr>
            <w:r>
              <w:t>需整治的小街巷数量</w:t>
            </w:r>
          </w:p>
        </w:tc>
        <w:tc>
          <w:tcPr>
            <w:tcW w:w="2268" w:type="dxa"/>
            <w:vAlign w:val="center"/>
          </w:tcPr>
          <w:p>
            <w:pPr>
              <w:pStyle w:val="12"/>
            </w:pPr>
            <w:r>
              <w:t>167条</w:t>
            </w:r>
          </w:p>
        </w:tc>
        <w:tc>
          <w:tcPr>
            <w:tcW w:w="1276" w:type="dxa"/>
            <w:vAlign w:val="center"/>
          </w:tcPr>
          <w:p>
            <w:pPr>
              <w:pStyle w:val="12"/>
            </w:pPr>
            <w:r>
              <w:t>可研、委托代建协议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符合国家颁布的建设工程质量标准</w:t>
            </w:r>
          </w:p>
        </w:tc>
        <w:tc>
          <w:tcPr>
            <w:tcW w:w="5386" w:type="dxa"/>
            <w:vAlign w:val="center"/>
          </w:tcPr>
          <w:p>
            <w:pPr>
              <w:pStyle w:val="12"/>
            </w:pPr>
            <w:r>
              <w:t>符合国家颁布的建设工程质量标准</w:t>
            </w:r>
          </w:p>
        </w:tc>
        <w:tc>
          <w:tcPr>
            <w:tcW w:w="2268" w:type="dxa"/>
            <w:vAlign w:val="center"/>
          </w:tcPr>
          <w:p>
            <w:pPr>
              <w:pStyle w:val="12"/>
            </w:pPr>
            <w:r>
              <w:t>符合国家颁布的建设工程质量标准</w:t>
            </w:r>
          </w:p>
        </w:tc>
        <w:tc>
          <w:tcPr>
            <w:tcW w:w="1276" w:type="dxa"/>
            <w:vAlign w:val="center"/>
          </w:tcPr>
          <w:p>
            <w:pPr>
              <w:pStyle w:val="12"/>
            </w:pPr>
            <w:r>
              <w:t>可研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w:t>
            </w:r>
          </w:p>
        </w:tc>
        <w:tc>
          <w:tcPr>
            <w:tcW w:w="5386" w:type="dxa"/>
            <w:vAlign w:val="center"/>
          </w:tcPr>
          <w:p>
            <w:pPr>
              <w:pStyle w:val="12"/>
            </w:pPr>
            <w:r>
              <w:t>计划工期</w:t>
            </w:r>
          </w:p>
        </w:tc>
        <w:tc>
          <w:tcPr>
            <w:tcW w:w="2268" w:type="dxa"/>
            <w:vAlign w:val="center"/>
          </w:tcPr>
          <w:p>
            <w:pPr>
              <w:pStyle w:val="12"/>
            </w:pPr>
            <w:r>
              <w:t>≤9月</w:t>
            </w:r>
          </w:p>
        </w:tc>
        <w:tc>
          <w:tcPr>
            <w:tcW w:w="1276" w:type="dxa"/>
            <w:vAlign w:val="center"/>
          </w:tcPr>
          <w:p>
            <w:pPr>
              <w:pStyle w:val="12"/>
            </w:pPr>
            <w:r>
              <w:t>委托代建协议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工程金额</w:t>
            </w:r>
          </w:p>
        </w:tc>
        <w:tc>
          <w:tcPr>
            <w:tcW w:w="5386" w:type="dxa"/>
            <w:vAlign w:val="center"/>
          </w:tcPr>
          <w:p>
            <w:pPr>
              <w:pStyle w:val="12"/>
            </w:pPr>
            <w:r>
              <w:t>项目计划总投资金额</w:t>
            </w:r>
          </w:p>
        </w:tc>
        <w:tc>
          <w:tcPr>
            <w:tcW w:w="2268" w:type="dxa"/>
            <w:vAlign w:val="center"/>
          </w:tcPr>
          <w:p>
            <w:pPr>
              <w:pStyle w:val="12"/>
            </w:pPr>
            <w:r>
              <w:t>≤10050万元</w:t>
            </w:r>
          </w:p>
        </w:tc>
        <w:tc>
          <w:tcPr>
            <w:tcW w:w="1276" w:type="dxa"/>
            <w:vAlign w:val="center"/>
          </w:tcPr>
          <w:p>
            <w:pPr>
              <w:pStyle w:val="12"/>
            </w:pPr>
            <w:r>
              <w:t>委托代建协议、可研报告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提高城区居民生活条件，推动藁城生态环境可持续发展</w:t>
            </w:r>
          </w:p>
        </w:tc>
        <w:tc>
          <w:tcPr>
            <w:tcW w:w="5386" w:type="dxa"/>
            <w:vAlign w:val="center"/>
          </w:tcPr>
          <w:p>
            <w:pPr>
              <w:pStyle w:val="12"/>
            </w:pPr>
            <w:r>
              <w:t>提升市民的交通、居住、生活环境，提高城区居民生活条件，推动藁城生态环境可持续发展</w:t>
            </w:r>
          </w:p>
        </w:tc>
        <w:tc>
          <w:tcPr>
            <w:tcW w:w="2268" w:type="dxa"/>
            <w:vAlign w:val="center"/>
          </w:tcPr>
          <w:p>
            <w:pPr>
              <w:pStyle w:val="12"/>
            </w:pPr>
            <w:r>
              <w:t>提升市民的交通、居住、生活环境，提高城区居民生活条件，推动藁城生态环境可持续发展</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调查中满意和较满意的市民数量占全部调查人数的比率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37、石财债[2024]6号关于下达2024年第二批新增政府债券资金的通知--藁城区2023年精品街道建设工程绩效目标表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13010924P000020100018</w:t>
            </w:r>
          </w:p>
        </w:tc>
        <w:tc>
          <w:tcPr>
            <w:tcW w:w="2835" w:type="dxa"/>
            <w:vAlign w:val="center"/>
          </w:tcPr>
          <w:p>
            <w:pPr>
              <w:pStyle w:val="10"/>
            </w:pPr>
            <w:r>
              <w:t>项目名称</w:t>
            </w:r>
          </w:p>
        </w:tc>
        <w:tc>
          <w:tcPr>
            <w:tcW w:w="6095" w:type="dxa"/>
            <w:gridSpan w:val="3"/>
            <w:vAlign w:val="center"/>
          </w:tcPr>
          <w:p>
            <w:pPr>
              <w:pStyle w:val="12"/>
            </w:pPr>
            <w:r>
              <w:t>石财债[2024]6号关于下达2024年第二批新增政府债券资金的通知--藁城区2023年精品街道建设工程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用于藁城区2023年精品街道建设工程，主要建设内容包括：三铺路、四明街、西城街、廉东大街、廉西大街、廉法街等6条街道改造提升及三座口袋公园的建设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420.00</w:t>
            </w:r>
          </w:p>
        </w:tc>
        <w:tc>
          <w:tcPr>
            <w:tcW w:w="2551" w:type="dxa"/>
            <w:vAlign w:val="center"/>
          </w:tcPr>
          <w:p>
            <w:pPr>
              <w:pStyle w:val="13"/>
            </w:pPr>
            <w:r>
              <w:t>630.00</w:t>
            </w:r>
          </w:p>
        </w:tc>
        <w:tc>
          <w:tcPr>
            <w:tcW w:w="3544" w:type="dxa"/>
            <w:gridSpan w:val="2"/>
            <w:vAlign w:val="center"/>
          </w:tcPr>
          <w:p>
            <w:pPr>
              <w:pStyle w:val="13"/>
            </w:pPr>
            <w:r>
              <w:t>700.00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1.通过完成6条街道改造提升及三座口袋公园的建设工作，提高藁城区整体形象，提高周边居民的生活质量，为市民创造一个良好的生活空间。</w:t>
            </w:r>
          </w:p>
          <w:p>
            <w:pPr>
              <w:pStyle w:val="12"/>
            </w:pPr>
            <w:r>
              <w:t>2.通过完成6条街道改造提升及三座口袋公园的建设工作，改善藁城区的市容市貌，为居民出行畅通提供便利，完善城区基础设施。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需改造提升的街道数量</w:t>
            </w:r>
          </w:p>
        </w:tc>
        <w:tc>
          <w:tcPr>
            <w:tcW w:w="5386" w:type="dxa"/>
            <w:vAlign w:val="center"/>
          </w:tcPr>
          <w:p>
            <w:pPr>
              <w:pStyle w:val="12"/>
            </w:pPr>
            <w:r>
              <w:t>工程包含的需改造提升的街道数量</w:t>
            </w:r>
          </w:p>
        </w:tc>
        <w:tc>
          <w:tcPr>
            <w:tcW w:w="2268" w:type="dxa"/>
            <w:vAlign w:val="center"/>
          </w:tcPr>
          <w:p>
            <w:pPr>
              <w:pStyle w:val="12"/>
            </w:pPr>
            <w:r>
              <w:t>6个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需改造提升的公园数量</w:t>
            </w:r>
          </w:p>
        </w:tc>
        <w:tc>
          <w:tcPr>
            <w:tcW w:w="5386" w:type="dxa"/>
            <w:vAlign w:val="center"/>
          </w:tcPr>
          <w:p>
            <w:pPr>
              <w:pStyle w:val="12"/>
            </w:pPr>
            <w:r>
              <w:t>工程包含的需改造提升的公园数量</w:t>
            </w:r>
          </w:p>
        </w:tc>
        <w:tc>
          <w:tcPr>
            <w:tcW w:w="2268" w:type="dxa"/>
            <w:vAlign w:val="center"/>
          </w:tcPr>
          <w:p>
            <w:pPr>
              <w:pStyle w:val="12"/>
            </w:pPr>
            <w:r>
              <w:t>3个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w:t>
            </w:r>
          </w:p>
        </w:tc>
        <w:tc>
          <w:tcPr>
            <w:tcW w:w="5386" w:type="dxa"/>
            <w:vAlign w:val="center"/>
          </w:tcPr>
          <w:p>
            <w:pPr>
              <w:pStyle w:val="12"/>
            </w:pPr>
            <w:r>
              <w:t>合同工期</w:t>
            </w:r>
          </w:p>
        </w:tc>
        <w:tc>
          <w:tcPr>
            <w:tcW w:w="2268" w:type="dxa"/>
            <w:vAlign w:val="center"/>
          </w:tcPr>
          <w:p>
            <w:pPr>
              <w:pStyle w:val="12"/>
            </w:pPr>
            <w:r>
              <w:t>≤120天</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精品街道建设费用</w:t>
            </w:r>
          </w:p>
        </w:tc>
        <w:tc>
          <w:tcPr>
            <w:tcW w:w="5386" w:type="dxa"/>
            <w:vAlign w:val="center"/>
          </w:tcPr>
          <w:p>
            <w:pPr>
              <w:pStyle w:val="12"/>
            </w:pPr>
            <w:r>
              <w:t>街道、公园建设费用</w:t>
            </w:r>
          </w:p>
        </w:tc>
        <w:tc>
          <w:tcPr>
            <w:tcW w:w="2268" w:type="dxa"/>
            <w:vAlign w:val="center"/>
          </w:tcPr>
          <w:p>
            <w:pPr>
              <w:pStyle w:val="12"/>
            </w:pPr>
            <w:r>
              <w:t>控制在预算数内</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市容市貌</w:t>
            </w:r>
          </w:p>
        </w:tc>
        <w:tc>
          <w:tcPr>
            <w:tcW w:w="5386" w:type="dxa"/>
            <w:vAlign w:val="center"/>
          </w:tcPr>
          <w:p>
            <w:pPr>
              <w:pStyle w:val="12"/>
            </w:pPr>
            <w:r>
              <w:t>市容市貌</w:t>
            </w:r>
          </w:p>
        </w:tc>
        <w:tc>
          <w:tcPr>
            <w:tcW w:w="2268" w:type="dxa"/>
            <w:vAlign w:val="center"/>
          </w:tcPr>
          <w:p>
            <w:pPr>
              <w:pStyle w:val="12"/>
            </w:pPr>
            <w:r>
              <w:t>提升市容市貌</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38、石财债[2024]6号关于下达2024年第二批新增政府债券资金的通知--藁城区2024年城市基础设施建设绩效目标表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13010924P00002310008J</w:t>
            </w:r>
          </w:p>
        </w:tc>
        <w:tc>
          <w:tcPr>
            <w:tcW w:w="2835" w:type="dxa"/>
            <w:vAlign w:val="center"/>
          </w:tcPr>
          <w:p>
            <w:pPr>
              <w:pStyle w:val="10"/>
            </w:pPr>
            <w:r>
              <w:t>项目名称</w:t>
            </w:r>
          </w:p>
        </w:tc>
        <w:tc>
          <w:tcPr>
            <w:tcW w:w="6095" w:type="dxa"/>
            <w:gridSpan w:val="3"/>
            <w:vAlign w:val="center"/>
          </w:tcPr>
          <w:p>
            <w:pPr>
              <w:pStyle w:val="12"/>
            </w:pPr>
            <w:r>
              <w:t>石财债[2024]6号关于下达2024年第二批新增政府债券资金的通知--藁城区2024年城市基础设施建设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w:t>
            </w:r>
          </w:p>
        </w:tc>
        <w:tc>
          <w:tcPr>
            <w:tcW w:w="2835" w:type="dxa"/>
            <w:vAlign w:val="center"/>
          </w:tcPr>
          <w:p>
            <w:pPr>
              <w:pStyle w:val="10"/>
            </w:pPr>
            <w:r>
              <w:t>其中：财政    资金</w:t>
            </w:r>
          </w:p>
        </w:tc>
        <w:tc>
          <w:tcPr>
            <w:tcW w:w="2551" w:type="dxa"/>
            <w:vAlign w:val="center"/>
          </w:tcPr>
          <w:p>
            <w:pPr>
              <w:pStyle w:val="12"/>
            </w:pPr>
            <w:r>
              <w:t>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预算金额1200万元，用于在石津干渠藁城区段南岸修建石栏杆，建设填埋场二号库雨污分流和安装沼气收集装置，改造提升公园、路面以及新建雨水排放口等。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720.00</w:t>
            </w:r>
          </w:p>
        </w:tc>
        <w:tc>
          <w:tcPr>
            <w:tcW w:w="2551" w:type="dxa"/>
            <w:vAlign w:val="center"/>
          </w:tcPr>
          <w:p>
            <w:pPr>
              <w:pStyle w:val="13"/>
            </w:pPr>
            <w:r>
              <w:t>1080.00</w:t>
            </w:r>
          </w:p>
        </w:tc>
        <w:tc>
          <w:tcPr>
            <w:tcW w:w="3544" w:type="dxa"/>
            <w:gridSpan w:val="2"/>
            <w:vAlign w:val="center"/>
          </w:tcPr>
          <w:p>
            <w:pPr>
              <w:pStyle w:val="13"/>
            </w:pPr>
            <w:r>
              <w:t>1200.00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1.通过完成城市各项基础设施建设，加快填埋场的稳定化与后续资源利用速度，保护生态环境。</w:t>
            </w:r>
          </w:p>
          <w:p>
            <w:pPr>
              <w:pStyle w:val="12"/>
            </w:pPr>
            <w:r>
              <w:t>2.通过完成城市各项基础设施建设，改善城区居民生活质量，提升居民出行环境水平。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工程数量</w:t>
            </w:r>
          </w:p>
        </w:tc>
        <w:tc>
          <w:tcPr>
            <w:tcW w:w="5386" w:type="dxa"/>
            <w:vAlign w:val="center"/>
          </w:tcPr>
          <w:p>
            <w:pPr>
              <w:pStyle w:val="12"/>
            </w:pPr>
            <w:r>
              <w:t>需建设的工程数量</w:t>
            </w:r>
          </w:p>
        </w:tc>
        <w:tc>
          <w:tcPr>
            <w:tcW w:w="2268" w:type="dxa"/>
            <w:vAlign w:val="center"/>
          </w:tcPr>
          <w:p>
            <w:pPr>
              <w:pStyle w:val="12"/>
            </w:pPr>
            <w:r>
              <w:t>7个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一般债金额</w:t>
            </w:r>
          </w:p>
        </w:tc>
        <w:tc>
          <w:tcPr>
            <w:tcW w:w="5386" w:type="dxa"/>
            <w:vAlign w:val="center"/>
          </w:tcPr>
          <w:p>
            <w:pPr>
              <w:pStyle w:val="12"/>
            </w:pPr>
            <w:r>
              <w:t>本次拨付一般债金额</w:t>
            </w:r>
          </w:p>
        </w:tc>
        <w:tc>
          <w:tcPr>
            <w:tcW w:w="2268" w:type="dxa"/>
            <w:vAlign w:val="center"/>
          </w:tcPr>
          <w:p>
            <w:pPr>
              <w:pStyle w:val="12"/>
            </w:pPr>
            <w:r>
              <w:t>≤1200万元</w:t>
            </w:r>
          </w:p>
        </w:tc>
        <w:tc>
          <w:tcPr>
            <w:tcW w:w="1276" w:type="dxa"/>
            <w:vAlign w:val="center"/>
          </w:tcPr>
          <w:p>
            <w:pPr>
              <w:pStyle w:val="12"/>
            </w:pPr>
            <w:r>
              <w:t>石财债[2024]6号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城区投资环境</w:t>
            </w:r>
          </w:p>
        </w:tc>
        <w:tc>
          <w:tcPr>
            <w:tcW w:w="5386" w:type="dxa"/>
            <w:vAlign w:val="center"/>
          </w:tcPr>
          <w:p>
            <w:pPr>
              <w:pStyle w:val="12"/>
            </w:pPr>
            <w:r>
              <w:t>城区投资环境</w:t>
            </w:r>
          </w:p>
        </w:tc>
        <w:tc>
          <w:tcPr>
            <w:tcW w:w="2268" w:type="dxa"/>
            <w:vAlign w:val="center"/>
          </w:tcPr>
          <w:p>
            <w:pPr>
              <w:pStyle w:val="12"/>
            </w:pPr>
            <w:r>
              <w:t>改善城区投资环境，提高地块价值</w:t>
            </w:r>
          </w:p>
        </w:tc>
        <w:tc>
          <w:tcPr>
            <w:tcW w:w="1276" w:type="dxa"/>
            <w:vAlign w:val="center"/>
          </w:tcPr>
          <w:p>
            <w:pPr>
              <w:pStyle w:val="12"/>
            </w:pPr>
            <w:r>
              <w:t>可研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出行环境舒适度</w:t>
            </w:r>
          </w:p>
        </w:tc>
        <w:tc>
          <w:tcPr>
            <w:tcW w:w="5386" w:type="dxa"/>
            <w:vAlign w:val="center"/>
          </w:tcPr>
          <w:p>
            <w:pPr>
              <w:pStyle w:val="12"/>
            </w:pPr>
            <w:r>
              <w:t>改善城市生活环境，提高居民生活质量和舒适程度</w:t>
            </w:r>
          </w:p>
        </w:tc>
        <w:tc>
          <w:tcPr>
            <w:tcW w:w="2268" w:type="dxa"/>
            <w:vAlign w:val="center"/>
          </w:tcPr>
          <w:p>
            <w:pPr>
              <w:pStyle w:val="12"/>
            </w:pPr>
            <w:r>
              <w:t>出行环境舒适度提升</w:t>
            </w:r>
          </w:p>
        </w:tc>
        <w:tc>
          <w:tcPr>
            <w:tcW w:w="1276" w:type="dxa"/>
            <w:vAlign w:val="center"/>
          </w:tcPr>
          <w:p>
            <w:pPr>
              <w:pStyle w:val="12"/>
            </w:pPr>
            <w:r>
              <w:t>可研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填埋场造成的污染程度</w:t>
            </w:r>
          </w:p>
        </w:tc>
        <w:tc>
          <w:tcPr>
            <w:tcW w:w="5386" w:type="dxa"/>
            <w:vAlign w:val="center"/>
          </w:tcPr>
          <w:p>
            <w:pPr>
              <w:pStyle w:val="12"/>
            </w:pPr>
            <w:r>
              <w:t>填埋场废水、废气造成的污染程度</w:t>
            </w:r>
          </w:p>
        </w:tc>
        <w:tc>
          <w:tcPr>
            <w:tcW w:w="2268" w:type="dxa"/>
            <w:vAlign w:val="center"/>
          </w:tcPr>
          <w:p>
            <w:pPr>
              <w:pStyle w:val="12"/>
            </w:pPr>
            <w:r>
              <w:t>降低填埋场废水、废气造成的污染程度</w:t>
            </w:r>
          </w:p>
        </w:tc>
        <w:tc>
          <w:tcPr>
            <w:tcW w:w="1276" w:type="dxa"/>
            <w:vAlign w:val="center"/>
          </w:tcPr>
          <w:p>
            <w:pPr>
              <w:pStyle w:val="12"/>
            </w:pPr>
            <w:r>
              <w:t>可研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城市框架规格</w:t>
            </w:r>
          </w:p>
        </w:tc>
        <w:tc>
          <w:tcPr>
            <w:tcW w:w="5386" w:type="dxa"/>
            <w:vAlign w:val="center"/>
          </w:tcPr>
          <w:p>
            <w:pPr>
              <w:pStyle w:val="12"/>
            </w:pPr>
            <w:r>
              <w:t>城市框架规格</w:t>
            </w:r>
          </w:p>
        </w:tc>
        <w:tc>
          <w:tcPr>
            <w:tcW w:w="2268" w:type="dxa"/>
            <w:vAlign w:val="center"/>
          </w:tcPr>
          <w:p>
            <w:pPr>
              <w:pStyle w:val="12"/>
            </w:pPr>
            <w:r>
              <w:t>扩大城市框架，加快城市化进程</w:t>
            </w:r>
          </w:p>
        </w:tc>
        <w:tc>
          <w:tcPr>
            <w:tcW w:w="1276" w:type="dxa"/>
            <w:vAlign w:val="center"/>
          </w:tcPr>
          <w:p>
            <w:pPr>
              <w:pStyle w:val="12"/>
            </w:pPr>
            <w:r>
              <w:t>可研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39、市容管理、监察维护费（2024）绩效目标表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13010925P00000810462M</w:t>
            </w:r>
          </w:p>
        </w:tc>
        <w:tc>
          <w:tcPr>
            <w:tcW w:w="2835" w:type="dxa"/>
            <w:vAlign w:val="center"/>
          </w:tcPr>
          <w:p>
            <w:pPr>
              <w:pStyle w:val="10"/>
            </w:pPr>
            <w:r>
              <w:t>项目名称</w:t>
            </w:r>
          </w:p>
        </w:tc>
        <w:tc>
          <w:tcPr>
            <w:tcW w:w="6095" w:type="dxa"/>
            <w:gridSpan w:val="3"/>
            <w:vAlign w:val="center"/>
          </w:tcPr>
          <w:p>
            <w:pPr>
              <w:pStyle w:val="12"/>
            </w:pPr>
            <w:r>
              <w:t>市容管理、监察维护费（2024）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1743.12</w:t>
            </w:r>
          </w:p>
        </w:tc>
        <w:tc>
          <w:tcPr>
            <w:tcW w:w="2835" w:type="dxa"/>
            <w:vAlign w:val="center"/>
          </w:tcPr>
          <w:p>
            <w:pPr>
              <w:pStyle w:val="10"/>
            </w:pPr>
            <w:r>
              <w:t>其中：财政    资金</w:t>
            </w:r>
          </w:p>
        </w:tc>
        <w:tc>
          <w:tcPr>
            <w:tcW w:w="2551" w:type="dxa"/>
            <w:vAlign w:val="center"/>
          </w:tcPr>
          <w:p>
            <w:pPr>
              <w:pStyle w:val="12"/>
            </w:pPr>
            <w:r>
              <w:t>1743.12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用于市容管理、监察所需的协管员工资、执法服装费、人员培训费等，规范景观牌匾广告所需的费用，维护便民市场正常运行所需的水费、电费、设施维修等费用。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1045.88</w:t>
            </w:r>
          </w:p>
        </w:tc>
        <w:tc>
          <w:tcPr>
            <w:tcW w:w="2551" w:type="dxa"/>
            <w:vAlign w:val="center"/>
          </w:tcPr>
          <w:p>
            <w:pPr>
              <w:pStyle w:val="13"/>
            </w:pPr>
            <w:r>
              <w:t>1568.81</w:t>
            </w:r>
          </w:p>
        </w:tc>
        <w:tc>
          <w:tcPr>
            <w:tcW w:w="3544" w:type="dxa"/>
            <w:gridSpan w:val="2"/>
            <w:vAlign w:val="center"/>
          </w:tcPr>
          <w:p>
            <w:pPr>
              <w:pStyle w:val="13"/>
            </w:pPr>
            <w:r>
              <w:t>1743.12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1.通过进行市容管理、渣土管理、广告管理和垃圾处理费收费管理。提高城市管理水平，改善城市容貌，创造有序环境。</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协管员数量</w:t>
            </w:r>
          </w:p>
        </w:tc>
        <w:tc>
          <w:tcPr>
            <w:tcW w:w="5386" w:type="dxa"/>
            <w:vAlign w:val="center"/>
          </w:tcPr>
          <w:p>
            <w:pPr>
              <w:pStyle w:val="12"/>
            </w:pPr>
            <w:r>
              <w:t>协管员数量</w:t>
            </w:r>
          </w:p>
        </w:tc>
        <w:tc>
          <w:tcPr>
            <w:tcW w:w="2268" w:type="dxa"/>
            <w:vAlign w:val="center"/>
          </w:tcPr>
          <w:p>
            <w:pPr>
              <w:pStyle w:val="12"/>
            </w:pPr>
            <w:r>
              <w:t>≤368人</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“门前三包”检查合格率</w:t>
            </w:r>
          </w:p>
        </w:tc>
        <w:tc>
          <w:tcPr>
            <w:tcW w:w="5386" w:type="dxa"/>
            <w:vAlign w:val="center"/>
          </w:tcPr>
          <w:p>
            <w:pPr>
              <w:pStyle w:val="12"/>
            </w:pPr>
            <w:r>
              <w:t>“门前三包”检查合格次数占检查总次数的比率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日常巡查及时率</w:t>
            </w:r>
          </w:p>
        </w:tc>
        <w:tc>
          <w:tcPr>
            <w:tcW w:w="5386" w:type="dxa"/>
            <w:vAlign w:val="center"/>
          </w:tcPr>
          <w:p>
            <w:pPr>
              <w:pStyle w:val="12"/>
            </w:pPr>
            <w:r>
              <w:t>有记录的巡查次数占规定巡查到场次数的比率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协管员工资</w:t>
            </w:r>
          </w:p>
        </w:tc>
        <w:tc>
          <w:tcPr>
            <w:tcW w:w="5386" w:type="dxa"/>
            <w:vAlign w:val="center"/>
          </w:tcPr>
          <w:p>
            <w:pPr>
              <w:pStyle w:val="12"/>
            </w:pPr>
            <w:r>
              <w:t>协管员工资</w:t>
            </w:r>
          </w:p>
        </w:tc>
        <w:tc>
          <w:tcPr>
            <w:tcW w:w="2268" w:type="dxa"/>
            <w:vAlign w:val="center"/>
          </w:tcPr>
          <w:p>
            <w:pPr>
              <w:pStyle w:val="12"/>
            </w:pPr>
            <w:r>
              <w:t>≤2400元/月/人</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市容秩序良好、规范</w:t>
            </w:r>
          </w:p>
        </w:tc>
        <w:tc>
          <w:tcPr>
            <w:tcW w:w="5386" w:type="dxa"/>
            <w:vAlign w:val="center"/>
          </w:tcPr>
          <w:p>
            <w:pPr>
              <w:pStyle w:val="12"/>
            </w:pPr>
            <w:r>
              <w:t>提高城市管理水平，改善城市容貌，创造有序环境。</w:t>
            </w:r>
          </w:p>
        </w:tc>
        <w:tc>
          <w:tcPr>
            <w:tcW w:w="2268" w:type="dxa"/>
            <w:vAlign w:val="center"/>
          </w:tcPr>
          <w:p>
            <w:pPr>
              <w:pStyle w:val="12"/>
            </w:pPr>
            <w:r>
              <w:t>提高城市管理水平，改善城市容貌，创造有序环境。</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40、市容中队新办公场所水电暖费用（2024）绩效目标表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13010925P00000810470A</w:t>
            </w:r>
          </w:p>
        </w:tc>
        <w:tc>
          <w:tcPr>
            <w:tcW w:w="2835" w:type="dxa"/>
            <w:vAlign w:val="center"/>
          </w:tcPr>
          <w:p>
            <w:pPr>
              <w:pStyle w:val="10"/>
            </w:pPr>
            <w:r>
              <w:t>项目名称</w:t>
            </w:r>
          </w:p>
        </w:tc>
        <w:tc>
          <w:tcPr>
            <w:tcW w:w="6095" w:type="dxa"/>
            <w:gridSpan w:val="3"/>
            <w:vAlign w:val="center"/>
          </w:tcPr>
          <w:p>
            <w:pPr>
              <w:pStyle w:val="12"/>
            </w:pPr>
            <w:r>
              <w:t>市容中队新办公场所水电暖费用（2024）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    资金</w:t>
            </w:r>
          </w:p>
        </w:tc>
        <w:tc>
          <w:tcPr>
            <w:tcW w:w="2551" w:type="dxa"/>
            <w:vAlign w:val="center"/>
          </w:tcPr>
          <w:p>
            <w:pPr>
              <w:pStyle w:val="12"/>
            </w:pPr>
            <w:r>
              <w:t>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用于新增办公楼的水费、电费、暖费的支付，有效保障新增办公楼的正常使用，楼内各项工作顺利开展，切实提升城管工作效率。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1.02</w:t>
            </w:r>
          </w:p>
        </w:tc>
        <w:tc>
          <w:tcPr>
            <w:tcW w:w="2551" w:type="dxa"/>
            <w:vAlign w:val="center"/>
          </w:tcPr>
          <w:p>
            <w:pPr>
              <w:pStyle w:val="13"/>
            </w:pPr>
            <w:r>
              <w:t>1.53</w:t>
            </w:r>
          </w:p>
        </w:tc>
        <w:tc>
          <w:tcPr>
            <w:tcW w:w="3544" w:type="dxa"/>
            <w:gridSpan w:val="2"/>
            <w:vAlign w:val="center"/>
          </w:tcPr>
          <w:p>
            <w:pPr>
              <w:pStyle w:val="13"/>
            </w:pPr>
            <w:r>
              <w:t>1.70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1.通过提供新增办公楼的水、电、暖费用，有效保障新增办公楼的正常使用，楼内各项工作顺利开展，切实提升城管工作效率。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场地面积</w:t>
            </w:r>
          </w:p>
        </w:tc>
        <w:tc>
          <w:tcPr>
            <w:tcW w:w="5386" w:type="dxa"/>
            <w:vAlign w:val="center"/>
          </w:tcPr>
          <w:p>
            <w:pPr>
              <w:pStyle w:val="12"/>
            </w:pPr>
            <w:r>
              <w:t>使用水、电、暖的场所的建筑面积</w:t>
            </w:r>
          </w:p>
        </w:tc>
        <w:tc>
          <w:tcPr>
            <w:tcW w:w="2268" w:type="dxa"/>
            <w:vAlign w:val="center"/>
          </w:tcPr>
          <w:p>
            <w:pPr>
              <w:pStyle w:val="12"/>
            </w:pPr>
            <w:r>
              <w:t>2100平方米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使用合格率</w:t>
            </w:r>
          </w:p>
        </w:tc>
        <w:tc>
          <w:tcPr>
            <w:tcW w:w="5386" w:type="dxa"/>
            <w:vAlign w:val="center"/>
          </w:tcPr>
          <w:p>
            <w:pPr>
              <w:pStyle w:val="12"/>
            </w:pPr>
            <w:r>
              <w:t>满足行业标准的水、电、暖</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按期提供水、电、暖费用</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市容中队新办公场所水电费</w:t>
            </w:r>
          </w:p>
        </w:tc>
        <w:tc>
          <w:tcPr>
            <w:tcW w:w="5386" w:type="dxa"/>
            <w:vAlign w:val="center"/>
          </w:tcPr>
          <w:p>
            <w:pPr>
              <w:pStyle w:val="12"/>
            </w:pPr>
            <w:r>
              <w:t>市容中队新办公场所水电费</w:t>
            </w:r>
          </w:p>
        </w:tc>
        <w:tc>
          <w:tcPr>
            <w:tcW w:w="2268" w:type="dxa"/>
            <w:vAlign w:val="center"/>
          </w:tcPr>
          <w:p>
            <w:pPr>
              <w:pStyle w:val="12"/>
            </w:pPr>
            <w:r>
              <w:t>≤1万元/月</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市容中队新办公场所暖气费</w:t>
            </w:r>
          </w:p>
        </w:tc>
        <w:tc>
          <w:tcPr>
            <w:tcW w:w="5386" w:type="dxa"/>
            <w:vAlign w:val="center"/>
          </w:tcPr>
          <w:p>
            <w:pPr>
              <w:pStyle w:val="12"/>
            </w:pPr>
            <w:r>
              <w:t>市容中队新办公场所暖气费</w:t>
            </w:r>
          </w:p>
        </w:tc>
        <w:tc>
          <w:tcPr>
            <w:tcW w:w="2268" w:type="dxa"/>
            <w:vAlign w:val="center"/>
          </w:tcPr>
          <w:p>
            <w:pPr>
              <w:pStyle w:val="12"/>
            </w:pPr>
            <w:r>
              <w:t>≥6.51万元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提高城管工作效率</w:t>
            </w:r>
          </w:p>
        </w:tc>
        <w:tc>
          <w:tcPr>
            <w:tcW w:w="5386" w:type="dxa"/>
            <w:vAlign w:val="center"/>
          </w:tcPr>
          <w:p>
            <w:pPr>
              <w:pStyle w:val="12"/>
            </w:pPr>
            <w:r>
              <w:t>有效保障新增办公楼的正常使用，楼内各项工作顺利开展，切实提升城管工作效率。</w:t>
            </w:r>
          </w:p>
        </w:tc>
        <w:tc>
          <w:tcPr>
            <w:tcW w:w="2268" w:type="dxa"/>
            <w:vAlign w:val="center"/>
          </w:tcPr>
          <w:p>
            <w:pPr>
              <w:pStyle w:val="12"/>
            </w:pPr>
            <w:r>
              <w:t>有效保障新增办公楼的正常使用，楼内各项工作顺利开展，切实提升城管工作效率。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41、市政设施维护费（2024）绩效目标表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13010925P00000810464W</w:t>
            </w:r>
          </w:p>
        </w:tc>
        <w:tc>
          <w:tcPr>
            <w:tcW w:w="2835" w:type="dxa"/>
            <w:vAlign w:val="center"/>
          </w:tcPr>
          <w:p>
            <w:pPr>
              <w:pStyle w:val="10"/>
            </w:pPr>
            <w:r>
              <w:t>项目名称</w:t>
            </w:r>
          </w:p>
        </w:tc>
        <w:tc>
          <w:tcPr>
            <w:tcW w:w="6095" w:type="dxa"/>
            <w:gridSpan w:val="3"/>
            <w:vAlign w:val="center"/>
          </w:tcPr>
          <w:p>
            <w:pPr>
              <w:pStyle w:val="12"/>
            </w:pPr>
            <w:r>
              <w:t>市政设施维护费（2024）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939.56</w:t>
            </w:r>
          </w:p>
        </w:tc>
        <w:tc>
          <w:tcPr>
            <w:tcW w:w="2835" w:type="dxa"/>
            <w:vAlign w:val="center"/>
          </w:tcPr>
          <w:p>
            <w:pPr>
              <w:pStyle w:val="10"/>
            </w:pPr>
            <w:r>
              <w:t>其中：财政    资金</w:t>
            </w:r>
          </w:p>
        </w:tc>
        <w:tc>
          <w:tcPr>
            <w:tcW w:w="2551" w:type="dxa"/>
            <w:vAlign w:val="center"/>
          </w:tcPr>
          <w:p>
            <w:pPr>
              <w:pStyle w:val="12"/>
            </w:pPr>
            <w:r>
              <w:t>939.56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资金预算总数为939.557653万元，用于维护城区道路、桥梁、排水、路灯等市政基础设施所需的临时工工资、水费、电费、工具及维修费，作业车辆正常运行所需的车辆保险、加油、维修保养等其他费用。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563.73</w:t>
            </w:r>
          </w:p>
        </w:tc>
        <w:tc>
          <w:tcPr>
            <w:tcW w:w="2551" w:type="dxa"/>
            <w:vAlign w:val="center"/>
          </w:tcPr>
          <w:p>
            <w:pPr>
              <w:pStyle w:val="13"/>
            </w:pPr>
            <w:r>
              <w:t>845.60</w:t>
            </w:r>
          </w:p>
        </w:tc>
        <w:tc>
          <w:tcPr>
            <w:tcW w:w="3544" w:type="dxa"/>
            <w:gridSpan w:val="2"/>
            <w:vAlign w:val="center"/>
          </w:tcPr>
          <w:p>
            <w:pPr>
              <w:pStyle w:val="13"/>
            </w:pPr>
            <w:r>
              <w:t>929.56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1.通过维护市政设施，确保城区道路、桥梁、排水、路灯等市政基础设施完好。</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管护石津渠桥</w:t>
            </w:r>
          </w:p>
        </w:tc>
        <w:tc>
          <w:tcPr>
            <w:tcW w:w="5386" w:type="dxa"/>
            <w:vAlign w:val="center"/>
          </w:tcPr>
          <w:p>
            <w:pPr>
              <w:pStyle w:val="12"/>
            </w:pPr>
            <w:r>
              <w:t>管护石津渠桥数量</w:t>
            </w:r>
          </w:p>
        </w:tc>
        <w:tc>
          <w:tcPr>
            <w:tcW w:w="2268" w:type="dxa"/>
            <w:vAlign w:val="center"/>
          </w:tcPr>
          <w:p>
            <w:pPr>
              <w:pStyle w:val="12"/>
            </w:pPr>
            <w:r>
              <w:t>7座</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道路、桥梁等设施完好率</w:t>
            </w:r>
          </w:p>
        </w:tc>
        <w:tc>
          <w:tcPr>
            <w:tcW w:w="5386" w:type="dxa"/>
            <w:vAlign w:val="center"/>
          </w:tcPr>
          <w:p>
            <w:pPr>
              <w:pStyle w:val="12"/>
            </w:pPr>
            <w:r>
              <w:t>达到可安全使用状态的设施数量占所管理设施的比率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及时维修率</w:t>
            </w:r>
          </w:p>
        </w:tc>
        <w:tc>
          <w:tcPr>
            <w:tcW w:w="5386" w:type="dxa"/>
            <w:vAlign w:val="center"/>
          </w:tcPr>
          <w:p>
            <w:pPr>
              <w:pStyle w:val="12"/>
            </w:pPr>
            <w:r>
              <w:t>及时维修设施数量占需维修数量的比率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石津渠桥维护费</w:t>
            </w:r>
          </w:p>
        </w:tc>
        <w:tc>
          <w:tcPr>
            <w:tcW w:w="5386" w:type="dxa"/>
            <w:vAlign w:val="center"/>
          </w:tcPr>
          <w:p>
            <w:pPr>
              <w:pStyle w:val="12"/>
            </w:pPr>
            <w:r>
              <w:t>石津渠桥维护费</w:t>
            </w:r>
          </w:p>
        </w:tc>
        <w:tc>
          <w:tcPr>
            <w:tcW w:w="2268" w:type="dxa"/>
            <w:vAlign w:val="center"/>
          </w:tcPr>
          <w:p>
            <w:pPr>
              <w:pStyle w:val="12"/>
            </w:pPr>
            <w:r>
              <w:t>≤5.61元/㎡/年</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路灯维护费</w:t>
            </w:r>
          </w:p>
        </w:tc>
        <w:tc>
          <w:tcPr>
            <w:tcW w:w="5386" w:type="dxa"/>
            <w:vAlign w:val="center"/>
          </w:tcPr>
          <w:p>
            <w:pPr>
              <w:pStyle w:val="12"/>
            </w:pPr>
            <w:r>
              <w:t>路灯维护费</w:t>
            </w:r>
          </w:p>
        </w:tc>
        <w:tc>
          <w:tcPr>
            <w:tcW w:w="2268" w:type="dxa"/>
            <w:vAlign w:val="center"/>
          </w:tcPr>
          <w:p>
            <w:pPr>
              <w:pStyle w:val="12"/>
            </w:pPr>
            <w:r>
              <w:t>≤67.02元/盏/年</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主干道维护费</w:t>
            </w:r>
          </w:p>
        </w:tc>
        <w:tc>
          <w:tcPr>
            <w:tcW w:w="5386" w:type="dxa"/>
            <w:vAlign w:val="center"/>
          </w:tcPr>
          <w:p>
            <w:pPr>
              <w:pStyle w:val="12"/>
            </w:pPr>
            <w:r>
              <w:t>主干道维护费</w:t>
            </w:r>
          </w:p>
        </w:tc>
        <w:tc>
          <w:tcPr>
            <w:tcW w:w="2268" w:type="dxa"/>
            <w:vAlign w:val="center"/>
          </w:tcPr>
          <w:p>
            <w:pPr>
              <w:pStyle w:val="12"/>
            </w:pPr>
            <w:r>
              <w:t>≤1.74元/㎡/年</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改善城区容貌，方便市民出行。</w:t>
            </w:r>
          </w:p>
        </w:tc>
        <w:tc>
          <w:tcPr>
            <w:tcW w:w="5386" w:type="dxa"/>
            <w:vAlign w:val="center"/>
          </w:tcPr>
          <w:p>
            <w:pPr>
              <w:pStyle w:val="12"/>
            </w:pPr>
            <w:r>
              <w:t>改善城区容貌，方便市民出行</w:t>
            </w:r>
          </w:p>
        </w:tc>
        <w:tc>
          <w:tcPr>
            <w:tcW w:w="2268" w:type="dxa"/>
            <w:vAlign w:val="center"/>
          </w:tcPr>
          <w:p>
            <w:pPr>
              <w:pStyle w:val="12"/>
            </w:pPr>
            <w:r>
              <w:t>改善城区容貌，方便市民出行</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42、数字城管运行费绩效目标表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13010925P00000810446C</w:t>
            </w:r>
          </w:p>
        </w:tc>
        <w:tc>
          <w:tcPr>
            <w:tcW w:w="2835" w:type="dxa"/>
            <w:vAlign w:val="center"/>
          </w:tcPr>
          <w:p>
            <w:pPr>
              <w:pStyle w:val="10"/>
            </w:pPr>
            <w:r>
              <w:t>项目名称</w:t>
            </w:r>
          </w:p>
        </w:tc>
        <w:tc>
          <w:tcPr>
            <w:tcW w:w="6095" w:type="dxa"/>
            <w:gridSpan w:val="3"/>
            <w:vAlign w:val="center"/>
          </w:tcPr>
          <w:p>
            <w:pPr>
              <w:pStyle w:val="12"/>
            </w:pPr>
            <w:r>
              <w:t>数字城管运行费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50万元，用于数字城管系统、视频监控系统、车辆GPS定位系统正常运行所需的网络通讯费、维保费；保证12319热线接收及处理的处置通费用；其他系统软件、硬件的维护费等。为城市管理工作提供技术支持，提高城市智能化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w:t>
            </w:r>
          </w:p>
        </w:tc>
        <w:tc>
          <w:tcPr>
            <w:tcW w:w="2551" w:type="dxa"/>
            <w:vAlign w:val="center"/>
          </w:tcPr>
          <w:p>
            <w:pPr>
              <w:pStyle w:val="13"/>
            </w:pPr>
            <w:r>
              <w:t>45.00</w:t>
            </w:r>
          </w:p>
        </w:tc>
        <w:tc>
          <w:tcPr>
            <w:tcW w:w="3544" w:type="dxa"/>
            <w:gridSpan w:val="2"/>
            <w:vAlign w:val="center"/>
          </w:tcPr>
          <w:p>
            <w:pPr>
              <w:pStyle w:val="13"/>
            </w:pPr>
            <w:r>
              <w:t>50.00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1.通过维护数字城管、车辆远程管理平台、视频监控平台、对讲机平台运行，为城市管理工作提供技术支持，提高城市智能化管理水平。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视频监控点位</w:t>
            </w:r>
          </w:p>
        </w:tc>
        <w:tc>
          <w:tcPr>
            <w:tcW w:w="5386" w:type="dxa"/>
            <w:vAlign w:val="center"/>
          </w:tcPr>
          <w:p>
            <w:pPr>
              <w:pStyle w:val="12"/>
            </w:pPr>
            <w:r>
              <w:t>视频监控网络点位数量</w:t>
            </w:r>
          </w:p>
        </w:tc>
        <w:tc>
          <w:tcPr>
            <w:tcW w:w="2268" w:type="dxa"/>
            <w:vAlign w:val="center"/>
          </w:tcPr>
          <w:p>
            <w:pPr>
              <w:pStyle w:val="12"/>
            </w:pPr>
            <w:r>
              <w:t>79点位</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突发事件处置率</w:t>
            </w:r>
          </w:p>
        </w:tc>
        <w:tc>
          <w:tcPr>
            <w:tcW w:w="5386" w:type="dxa"/>
            <w:vAlign w:val="center"/>
          </w:tcPr>
          <w:p>
            <w:pPr>
              <w:pStyle w:val="12"/>
            </w:pPr>
            <w:r>
              <w:t>处置完成突发事件新闻数量占突发事件新闻数量的比率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数字城管案件及时处理率</w:t>
            </w:r>
          </w:p>
        </w:tc>
        <w:tc>
          <w:tcPr>
            <w:tcW w:w="5386" w:type="dxa"/>
            <w:vAlign w:val="center"/>
          </w:tcPr>
          <w:p>
            <w:pPr>
              <w:pStyle w:val="12"/>
            </w:pPr>
            <w:r>
              <w:t>及时处理案件数量占总案件量的比率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网络、通讯费</w:t>
            </w:r>
          </w:p>
        </w:tc>
        <w:tc>
          <w:tcPr>
            <w:tcW w:w="5386" w:type="dxa"/>
            <w:vAlign w:val="center"/>
          </w:tcPr>
          <w:p>
            <w:pPr>
              <w:pStyle w:val="12"/>
            </w:pPr>
            <w:r>
              <w:t>网络、通讯费</w:t>
            </w:r>
          </w:p>
        </w:tc>
        <w:tc>
          <w:tcPr>
            <w:tcW w:w="2268" w:type="dxa"/>
            <w:vAlign w:val="center"/>
          </w:tcPr>
          <w:p>
            <w:pPr>
              <w:pStyle w:val="12"/>
            </w:pPr>
            <w:r>
              <w:t>≤19万元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监督员工资及社保费</w:t>
            </w:r>
          </w:p>
        </w:tc>
        <w:tc>
          <w:tcPr>
            <w:tcW w:w="5386" w:type="dxa"/>
            <w:vAlign w:val="center"/>
          </w:tcPr>
          <w:p>
            <w:pPr>
              <w:pStyle w:val="12"/>
            </w:pPr>
            <w:r>
              <w:t>监督员工资及社保费</w:t>
            </w:r>
          </w:p>
        </w:tc>
        <w:tc>
          <w:tcPr>
            <w:tcW w:w="2268" w:type="dxa"/>
            <w:vAlign w:val="center"/>
          </w:tcPr>
          <w:p>
            <w:pPr>
              <w:pStyle w:val="12"/>
            </w:pPr>
            <w:r>
              <w:t>≤13.05万元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远程监测系统维护费</w:t>
            </w:r>
          </w:p>
        </w:tc>
        <w:tc>
          <w:tcPr>
            <w:tcW w:w="5386" w:type="dxa"/>
            <w:vAlign w:val="center"/>
          </w:tcPr>
          <w:p>
            <w:pPr>
              <w:pStyle w:val="12"/>
            </w:pPr>
            <w:r>
              <w:t>远程监测系统维护费</w:t>
            </w:r>
          </w:p>
        </w:tc>
        <w:tc>
          <w:tcPr>
            <w:tcW w:w="2268" w:type="dxa"/>
            <w:vAlign w:val="center"/>
          </w:tcPr>
          <w:p>
            <w:pPr>
              <w:pStyle w:val="12"/>
            </w:pPr>
            <w:r>
              <w:t>≤12.48万元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提高城市管理水平</w:t>
            </w:r>
          </w:p>
        </w:tc>
        <w:tc>
          <w:tcPr>
            <w:tcW w:w="5386" w:type="dxa"/>
            <w:vAlign w:val="center"/>
          </w:tcPr>
          <w:p>
            <w:pPr>
              <w:pStyle w:val="12"/>
            </w:pPr>
            <w:r>
              <w:t>提高城市管理水平，加大城市管理力度</w:t>
            </w:r>
          </w:p>
        </w:tc>
        <w:tc>
          <w:tcPr>
            <w:tcW w:w="2268" w:type="dxa"/>
            <w:vAlign w:val="center"/>
          </w:tcPr>
          <w:p>
            <w:pPr>
              <w:pStyle w:val="12"/>
            </w:pPr>
            <w:r>
              <w:t>提高城市管理水平，加大城市管理力度</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43、数字城管运行费（2024）绩效目标表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13010925P00000810471X</w:t>
            </w:r>
          </w:p>
        </w:tc>
        <w:tc>
          <w:tcPr>
            <w:tcW w:w="2835" w:type="dxa"/>
            <w:vAlign w:val="center"/>
          </w:tcPr>
          <w:p>
            <w:pPr>
              <w:pStyle w:val="10"/>
            </w:pPr>
            <w:r>
              <w:t>项目名称</w:t>
            </w:r>
          </w:p>
        </w:tc>
        <w:tc>
          <w:tcPr>
            <w:tcW w:w="6095" w:type="dxa"/>
            <w:gridSpan w:val="3"/>
            <w:vAlign w:val="center"/>
          </w:tcPr>
          <w:p>
            <w:pPr>
              <w:pStyle w:val="12"/>
            </w:pPr>
            <w:r>
              <w:t>数字城管运行费（2024）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15.88</w:t>
            </w:r>
          </w:p>
        </w:tc>
        <w:tc>
          <w:tcPr>
            <w:tcW w:w="2835" w:type="dxa"/>
            <w:vAlign w:val="center"/>
          </w:tcPr>
          <w:p>
            <w:pPr>
              <w:pStyle w:val="10"/>
            </w:pPr>
            <w:r>
              <w:t>其中：财政    资金</w:t>
            </w:r>
          </w:p>
        </w:tc>
        <w:tc>
          <w:tcPr>
            <w:tcW w:w="2551" w:type="dxa"/>
            <w:vAlign w:val="center"/>
          </w:tcPr>
          <w:p>
            <w:pPr>
              <w:pStyle w:val="12"/>
            </w:pPr>
            <w:r>
              <w:t>15.88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15.8815万元，用于数字城管系统、视频监控系统、车辆GPS定位系统正常运行所需的网络通讯费、维保费；保证12319热线接收及处理的处置通费用；其他系统软件、硬件的维护费等。为城市管理工作提供技术支持，提高城市智能化管理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9.53</w:t>
            </w:r>
          </w:p>
        </w:tc>
        <w:tc>
          <w:tcPr>
            <w:tcW w:w="2551" w:type="dxa"/>
            <w:vAlign w:val="center"/>
          </w:tcPr>
          <w:p>
            <w:pPr>
              <w:pStyle w:val="13"/>
            </w:pPr>
            <w:r>
              <w:t>14.30</w:t>
            </w:r>
          </w:p>
        </w:tc>
        <w:tc>
          <w:tcPr>
            <w:tcW w:w="3544" w:type="dxa"/>
            <w:gridSpan w:val="2"/>
            <w:vAlign w:val="center"/>
          </w:tcPr>
          <w:p>
            <w:pPr>
              <w:pStyle w:val="13"/>
            </w:pPr>
            <w:r>
              <w:t>15.88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1.通过维护数字城管、车辆远程管理平台、视频监控平台、对讲机平台运行，为城市管理工作提供技术支持，提高城市智能化管理水平。</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视频监控点位</w:t>
            </w:r>
          </w:p>
        </w:tc>
        <w:tc>
          <w:tcPr>
            <w:tcW w:w="5386" w:type="dxa"/>
            <w:vAlign w:val="center"/>
          </w:tcPr>
          <w:p>
            <w:pPr>
              <w:pStyle w:val="12"/>
            </w:pPr>
            <w:r>
              <w:t>视频监控网络点位数量</w:t>
            </w:r>
          </w:p>
        </w:tc>
        <w:tc>
          <w:tcPr>
            <w:tcW w:w="2268" w:type="dxa"/>
            <w:vAlign w:val="center"/>
          </w:tcPr>
          <w:p>
            <w:pPr>
              <w:pStyle w:val="12"/>
            </w:pPr>
            <w:r>
              <w:t>79点位</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突发事件处置率</w:t>
            </w:r>
          </w:p>
        </w:tc>
        <w:tc>
          <w:tcPr>
            <w:tcW w:w="5386" w:type="dxa"/>
            <w:vAlign w:val="center"/>
          </w:tcPr>
          <w:p>
            <w:pPr>
              <w:pStyle w:val="12"/>
            </w:pPr>
            <w:r>
              <w:t>处置完成突发事件新闻数量占突发事件新闻数量的比率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数字城管案件及时处理率</w:t>
            </w:r>
          </w:p>
        </w:tc>
        <w:tc>
          <w:tcPr>
            <w:tcW w:w="5386" w:type="dxa"/>
            <w:vAlign w:val="center"/>
          </w:tcPr>
          <w:p>
            <w:pPr>
              <w:pStyle w:val="12"/>
            </w:pPr>
            <w:r>
              <w:t>及时处理案件数量占总案件量的比率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网络、通讯费</w:t>
            </w:r>
          </w:p>
        </w:tc>
        <w:tc>
          <w:tcPr>
            <w:tcW w:w="5386" w:type="dxa"/>
            <w:vAlign w:val="center"/>
          </w:tcPr>
          <w:p>
            <w:pPr>
              <w:pStyle w:val="12"/>
            </w:pPr>
            <w:r>
              <w:t>网络、通讯费</w:t>
            </w:r>
          </w:p>
        </w:tc>
        <w:tc>
          <w:tcPr>
            <w:tcW w:w="2268" w:type="dxa"/>
            <w:vAlign w:val="center"/>
          </w:tcPr>
          <w:p>
            <w:pPr>
              <w:pStyle w:val="12"/>
            </w:pPr>
            <w:r>
              <w:t>≤19万元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监督员工资及社保费</w:t>
            </w:r>
          </w:p>
        </w:tc>
        <w:tc>
          <w:tcPr>
            <w:tcW w:w="5386" w:type="dxa"/>
            <w:vAlign w:val="center"/>
          </w:tcPr>
          <w:p>
            <w:pPr>
              <w:pStyle w:val="12"/>
            </w:pPr>
            <w:r>
              <w:t>监督员工资及社保费</w:t>
            </w:r>
          </w:p>
        </w:tc>
        <w:tc>
          <w:tcPr>
            <w:tcW w:w="2268" w:type="dxa"/>
            <w:vAlign w:val="center"/>
          </w:tcPr>
          <w:p>
            <w:pPr>
              <w:pStyle w:val="12"/>
            </w:pPr>
            <w:r>
              <w:t>≤13.05万元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远程监测系统维护费</w:t>
            </w:r>
          </w:p>
        </w:tc>
        <w:tc>
          <w:tcPr>
            <w:tcW w:w="5386" w:type="dxa"/>
            <w:vAlign w:val="center"/>
          </w:tcPr>
          <w:p>
            <w:pPr>
              <w:pStyle w:val="12"/>
            </w:pPr>
            <w:r>
              <w:t>远程监测系统维护费</w:t>
            </w:r>
          </w:p>
        </w:tc>
        <w:tc>
          <w:tcPr>
            <w:tcW w:w="2268" w:type="dxa"/>
            <w:vAlign w:val="center"/>
          </w:tcPr>
          <w:p>
            <w:pPr>
              <w:pStyle w:val="12"/>
            </w:pPr>
            <w:r>
              <w:t>≤12.48万元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提高城市管理水平</w:t>
            </w:r>
          </w:p>
        </w:tc>
        <w:tc>
          <w:tcPr>
            <w:tcW w:w="5386" w:type="dxa"/>
            <w:vAlign w:val="center"/>
          </w:tcPr>
          <w:p>
            <w:pPr>
              <w:pStyle w:val="12"/>
            </w:pPr>
            <w:r>
              <w:t>提高城市管理水平，加大城市管理力度</w:t>
            </w:r>
          </w:p>
        </w:tc>
        <w:tc>
          <w:tcPr>
            <w:tcW w:w="2268" w:type="dxa"/>
            <w:vAlign w:val="center"/>
          </w:tcPr>
          <w:p>
            <w:pPr>
              <w:pStyle w:val="12"/>
            </w:pPr>
            <w:r>
              <w:t>提高城市管理水平，加大城市管理力度</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44、水厂遗留问题绩效目标表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13010925P00000810460E</w:t>
            </w:r>
          </w:p>
        </w:tc>
        <w:tc>
          <w:tcPr>
            <w:tcW w:w="2835" w:type="dxa"/>
            <w:vAlign w:val="center"/>
          </w:tcPr>
          <w:p>
            <w:pPr>
              <w:pStyle w:val="10"/>
            </w:pPr>
            <w:r>
              <w:t>项目名称</w:t>
            </w:r>
          </w:p>
        </w:tc>
        <w:tc>
          <w:tcPr>
            <w:tcW w:w="6095" w:type="dxa"/>
            <w:gridSpan w:val="3"/>
            <w:vAlign w:val="center"/>
          </w:tcPr>
          <w:p>
            <w:pPr>
              <w:pStyle w:val="12"/>
            </w:pPr>
            <w:r>
              <w:t>水厂遗留问题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402.00</w:t>
            </w:r>
          </w:p>
        </w:tc>
        <w:tc>
          <w:tcPr>
            <w:tcW w:w="2835" w:type="dxa"/>
            <w:vAlign w:val="center"/>
          </w:tcPr>
          <w:p>
            <w:pPr>
              <w:pStyle w:val="10"/>
            </w:pPr>
            <w:r>
              <w:t>其中：财政    资金</w:t>
            </w:r>
          </w:p>
        </w:tc>
        <w:tc>
          <w:tcPr>
            <w:tcW w:w="2551" w:type="dxa"/>
            <w:vAlign w:val="center"/>
          </w:tcPr>
          <w:p>
            <w:pPr>
              <w:pStyle w:val="12"/>
            </w:pPr>
            <w:r>
              <w:t>402.00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预算资金总计402万元.用于石家庄万晟供水有限公司和石家庄市润江源供水有限公司、相关债务、代收污水处理费手续费、代收垃圾处理手续费、维修费等。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241.20</w:t>
            </w:r>
          </w:p>
        </w:tc>
        <w:tc>
          <w:tcPr>
            <w:tcW w:w="2551" w:type="dxa"/>
            <w:vAlign w:val="center"/>
          </w:tcPr>
          <w:p>
            <w:pPr>
              <w:pStyle w:val="13"/>
            </w:pPr>
            <w:r>
              <w:t>361.80</w:t>
            </w:r>
          </w:p>
        </w:tc>
        <w:tc>
          <w:tcPr>
            <w:tcW w:w="3544" w:type="dxa"/>
            <w:gridSpan w:val="2"/>
            <w:vAlign w:val="center"/>
          </w:tcPr>
          <w:p>
            <w:pPr>
              <w:pStyle w:val="13"/>
            </w:pPr>
            <w:r>
              <w:t>402.00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1.用于发放职工工资、缴纳社保、支付日常公用经费、相关债务等，主要用于支付代收污水处理费手续费、代收垃圾处理费手续费，管网维修费等，保障单位正常运行。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需要完成的工作项数</w:t>
            </w:r>
          </w:p>
        </w:tc>
        <w:tc>
          <w:tcPr>
            <w:tcW w:w="5386" w:type="dxa"/>
            <w:vAlign w:val="center"/>
          </w:tcPr>
          <w:p>
            <w:pPr>
              <w:pStyle w:val="12"/>
            </w:pPr>
            <w:r>
              <w:t>1.偿还债务；2.支付代收污水处理费手续费、代收垃圾处理费手续费；3.支付管网≥300mm维修费</w:t>
            </w:r>
          </w:p>
        </w:tc>
        <w:tc>
          <w:tcPr>
            <w:tcW w:w="2268" w:type="dxa"/>
            <w:vAlign w:val="center"/>
          </w:tcPr>
          <w:p>
            <w:pPr>
              <w:pStyle w:val="12"/>
            </w:pPr>
            <w:r>
              <w:t>3项</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实际到位资金支付率</w:t>
            </w:r>
          </w:p>
        </w:tc>
        <w:tc>
          <w:tcPr>
            <w:tcW w:w="5386" w:type="dxa"/>
            <w:vAlign w:val="center"/>
          </w:tcPr>
          <w:p>
            <w:pPr>
              <w:pStyle w:val="12"/>
            </w:pPr>
            <w:r>
              <w:t>支付资金在实际到位资金中所占比重</w:t>
            </w:r>
          </w:p>
        </w:tc>
        <w:tc>
          <w:tcPr>
            <w:tcW w:w="2268" w:type="dxa"/>
            <w:vAlign w:val="center"/>
          </w:tcPr>
          <w:p>
            <w:pPr>
              <w:pStyle w:val="12"/>
            </w:pPr>
            <w:r>
              <w:t>100%</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支出时间</w:t>
            </w:r>
          </w:p>
        </w:tc>
        <w:tc>
          <w:tcPr>
            <w:tcW w:w="5386" w:type="dxa"/>
            <w:vAlign w:val="center"/>
          </w:tcPr>
          <w:p>
            <w:pPr>
              <w:pStyle w:val="12"/>
            </w:pPr>
            <w:r>
              <w:t>支出时间</w:t>
            </w:r>
          </w:p>
        </w:tc>
        <w:tc>
          <w:tcPr>
            <w:tcW w:w="2268" w:type="dxa"/>
            <w:vAlign w:val="center"/>
          </w:tcPr>
          <w:p>
            <w:pPr>
              <w:pStyle w:val="12"/>
            </w:pPr>
            <w:r>
              <w:t>按计划支付</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≤402万元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保障石家庄万晟供水公司和石家庄润江源供水公司正常运行</w:t>
            </w:r>
          </w:p>
        </w:tc>
        <w:tc>
          <w:tcPr>
            <w:tcW w:w="5386" w:type="dxa"/>
            <w:vAlign w:val="center"/>
          </w:tcPr>
          <w:p>
            <w:pPr>
              <w:pStyle w:val="12"/>
            </w:pPr>
            <w:r>
              <w:t>保障石家庄万晟供水公司和石家庄润江源供水公司正常运行</w:t>
            </w:r>
          </w:p>
        </w:tc>
        <w:tc>
          <w:tcPr>
            <w:tcW w:w="2268" w:type="dxa"/>
            <w:vAlign w:val="center"/>
          </w:tcPr>
          <w:p>
            <w:pPr>
              <w:pStyle w:val="12"/>
            </w:pPr>
            <w:r>
              <w:t>保障石家庄万晟供水公司和石家庄润江源供水公司正常运行</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石家庄万晟供水公司和石家庄润江源供水公司满意度</w:t>
            </w:r>
          </w:p>
        </w:tc>
        <w:tc>
          <w:tcPr>
            <w:tcW w:w="5386" w:type="dxa"/>
            <w:vAlign w:val="center"/>
          </w:tcPr>
          <w:p>
            <w:pPr>
              <w:pStyle w:val="12"/>
            </w:pPr>
            <w:r>
              <w:t>石家庄万晟供水公司和石家庄润江源供水公司满意度</w:t>
            </w:r>
          </w:p>
        </w:tc>
        <w:tc>
          <w:tcPr>
            <w:tcW w:w="2268" w:type="dxa"/>
            <w:vAlign w:val="center"/>
          </w:tcPr>
          <w:p>
            <w:pPr>
              <w:pStyle w:val="12"/>
            </w:pPr>
            <w:r>
              <w:t>基本满意</w:t>
            </w:r>
          </w:p>
          <w:p>
            <w:pPr>
              <w:pStyle w:val="12"/>
            </w:pPr>
          </w:p>
        </w:tc>
        <w:tc>
          <w:tcPr>
            <w:tcW w:w="1276" w:type="dxa"/>
            <w:vAlign w:val="center"/>
          </w:tcPr>
          <w:p>
            <w:pPr>
              <w:pStyle w:val="12"/>
            </w:pPr>
            <w:r>
              <w:t>满意度调查</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45、水厂遗留问题（一般）绩效目标表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13010925P00000810514T</w:t>
            </w:r>
          </w:p>
        </w:tc>
        <w:tc>
          <w:tcPr>
            <w:tcW w:w="2835" w:type="dxa"/>
            <w:vAlign w:val="center"/>
          </w:tcPr>
          <w:p>
            <w:pPr>
              <w:pStyle w:val="10"/>
            </w:pPr>
            <w:r>
              <w:t>项目名称</w:t>
            </w:r>
          </w:p>
        </w:tc>
        <w:tc>
          <w:tcPr>
            <w:tcW w:w="6095" w:type="dxa"/>
            <w:gridSpan w:val="3"/>
            <w:vAlign w:val="center"/>
          </w:tcPr>
          <w:p>
            <w:pPr>
              <w:pStyle w:val="12"/>
            </w:pPr>
            <w:r>
              <w:t>水厂遗留问题（一般）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预算资金总计200万元.用于石家庄万晟供水有限公司和石家庄市润江源供水有限公司工资薪金及日常公用等。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120.00</w:t>
            </w:r>
          </w:p>
        </w:tc>
        <w:tc>
          <w:tcPr>
            <w:tcW w:w="2551" w:type="dxa"/>
            <w:vAlign w:val="center"/>
          </w:tcPr>
          <w:p>
            <w:pPr>
              <w:pStyle w:val="13"/>
            </w:pPr>
            <w:r>
              <w:t>180.00</w:t>
            </w:r>
          </w:p>
        </w:tc>
        <w:tc>
          <w:tcPr>
            <w:tcW w:w="3544" w:type="dxa"/>
            <w:gridSpan w:val="2"/>
            <w:vAlign w:val="center"/>
          </w:tcPr>
          <w:p>
            <w:pPr>
              <w:pStyle w:val="13"/>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1.用于发放职工工资、缴纳社保、支付日常公用经费、相关债务等，主要用于支付代收污水处理费手续费、代收垃圾处理费手续费，管网维修费等，保障单位正常运行。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需支付的工资薪金及日常公用的总月数</w:t>
            </w:r>
          </w:p>
        </w:tc>
        <w:tc>
          <w:tcPr>
            <w:tcW w:w="5386" w:type="dxa"/>
            <w:vAlign w:val="center"/>
          </w:tcPr>
          <w:p>
            <w:pPr>
              <w:pStyle w:val="12"/>
            </w:pPr>
            <w:r>
              <w:t>需支付的工资薪金及日常公用的总月数</w:t>
            </w:r>
          </w:p>
        </w:tc>
        <w:tc>
          <w:tcPr>
            <w:tcW w:w="2268" w:type="dxa"/>
            <w:vAlign w:val="center"/>
          </w:tcPr>
          <w:p>
            <w:pPr>
              <w:pStyle w:val="12"/>
            </w:pPr>
            <w:r>
              <w:t>13月</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实际到位资金支付率</w:t>
            </w:r>
          </w:p>
        </w:tc>
        <w:tc>
          <w:tcPr>
            <w:tcW w:w="5386" w:type="dxa"/>
            <w:vAlign w:val="center"/>
          </w:tcPr>
          <w:p>
            <w:pPr>
              <w:pStyle w:val="12"/>
            </w:pPr>
            <w:r>
              <w:t>支付资金在实际到位资金中所占比重</w:t>
            </w:r>
          </w:p>
        </w:tc>
        <w:tc>
          <w:tcPr>
            <w:tcW w:w="2268" w:type="dxa"/>
            <w:vAlign w:val="center"/>
          </w:tcPr>
          <w:p>
            <w:pPr>
              <w:pStyle w:val="12"/>
            </w:pPr>
            <w:r>
              <w:t>100%</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支出时间</w:t>
            </w:r>
          </w:p>
        </w:tc>
        <w:tc>
          <w:tcPr>
            <w:tcW w:w="5386" w:type="dxa"/>
            <w:vAlign w:val="center"/>
          </w:tcPr>
          <w:p>
            <w:pPr>
              <w:pStyle w:val="12"/>
            </w:pPr>
            <w:r>
              <w:t>支出时间</w:t>
            </w:r>
          </w:p>
        </w:tc>
        <w:tc>
          <w:tcPr>
            <w:tcW w:w="2268" w:type="dxa"/>
            <w:vAlign w:val="center"/>
          </w:tcPr>
          <w:p>
            <w:pPr>
              <w:pStyle w:val="12"/>
            </w:pPr>
            <w:r>
              <w:t>按计划支付</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≤402万元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保障石家庄万晟供水公司和石家庄润江源供水公司正常运行</w:t>
            </w:r>
          </w:p>
        </w:tc>
        <w:tc>
          <w:tcPr>
            <w:tcW w:w="5386" w:type="dxa"/>
            <w:vAlign w:val="center"/>
          </w:tcPr>
          <w:p>
            <w:pPr>
              <w:pStyle w:val="12"/>
            </w:pPr>
            <w:r>
              <w:t>保障石家庄万晟供水公司和石家庄润江源供水公司正常运行</w:t>
            </w:r>
          </w:p>
        </w:tc>
        <w:tc>
          <w:tcPr>
            <w:tcW w:w="2268" w:type="dxa"/>
            <w:vAlign w:val="center"/>
          </w:tcPr>
          <w:p>
            <w:pPr>
              <w:pStyle w:val="12"/>
            </w:pPr>
            <w:r>
              <w:t>保障石家庄万晟供水公司和石家庄润江源供水公司正常运行</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石家庄万晟供水公司和石家庄润江源供水公司满意度</w:t>
            </w:r>
          </w:p>
        </w:tc>
        <w:tc>
          <w:tcPr>
            <w:tcW w:w="5386" w:type="dxa"/>
            <w:vAlign w:val="center"/>
          </w:tcPr>
          <w:p>
            <w:pPr>
              <w:pStyle w:val="12"/>
            </w:pPr>
            <w:r>
              <w:t>石家庄万晟供水公司和石家庄润江源供水公司满意度</w:t>
            </w:r>
          </w:p>
        </w:tc>
        <w:tc>
          <w:tcPr>
            <w:tcW w:w="2268" w:type="dxa"/>
            <w:vAlign w:val="center"/>
          </w:tcPr>
          <w:p>
            <w:pPr>
              <w:pStyle w:val="12"/>
            </w:pPr>
            <w:r>
              <w:t>%</w:t>
            </w:r>
          </w:p>
        </w:tc>
        <w:tc>
          <w:tcPr>
            <w:tcW w:w="1276" w:type="dxa"/>
            <w:vAlign w:val="center"/>
          </w:tcPr>
          <w:p>
            <w:pPr>
              <w:pStyle w:val="12"/>
            </w:pPr>
            <w:r>
              <w:t>满意度调查</w:t>
            </w:r>
          </w:p>
          <w:p>
            <w:pPr>
              <w:pStyle w:val="12"/>
            </w:pP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46、水处理中心运行费绩效目标表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13010925P000008104180</w:t>
            </w:r>
          </w:p>
        </w:tc>
        <w:tc>
          <w:tcPr>
            <w:tcW w:w="2835" w:type="dxa"/>
            <w:vAlign w:val="center"/>
          </w:tcPr>
          <w:p>
            <w:pPr>
              <w:pStyle w:val="10"/>
            </w:pPr>
            <w:r>
              <w:t>项目名称</w:t>
            </w:r>
          </w:p>
        </w:tc>
        <w:tc>
          <w:tcPr>
            <w:tcW w:w="6095" w:type="dxa"/>
            <w:gridSpan w:val="3"/>
            <w:vAlign w:val="center"/>
          </w:tcPr>
          <w:p>
            <w:pPr>
              <w:pStyle w:val="12"/>
            </w:pPr>
            <w:r>
              <w:t>水处理中心运行费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资金预算总计115万元，用于对工业企业的排水流量装置维修维护、数据传输系统维护、现场流量计、仪表传输模块的维修更换。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69.00</w:t>
            </w:r>
          </w:p>
        </w:tc>
        <w:tc>
          <w:tcPr>
            <w:tcW w:w="2551" w:type="dxa"/>
            <w:vAlign w:val="center"/>
          </w:tcPr>
          <w:p>
            <w:pPr>
              <w:pStyle w:val="13"/>
            </w:pPr>
            <w:r>
              <w:t>103.90</w:t>
            </w:r>
          </w:p>
        </w:tc>
        <w:tc>
          <w:tcPr>
            <w:tcW w:w="3544" w:type="dxa"/>
            <w:gridSpan w:val="2"/>
            <w:vAlign w:val="center"/>
          </w:tcPr>
          <w:p>
            <w:pPr>
              <w:pStyle w:val="13"/>
            </w:pPr>
            <w:r>
              <w:t>115.00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1.通过维护水处理中心日常运行，实现精确水量计算。通过维护水处理中心日常运行，实现污水处理费达到应收尽收。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数据传输表数量</w:t>
            </w:r>
          </w:p>
        </w:tc>
        <w:tc>
          <w:tcPr>
            <w:tcW w:w="5386" w:type="dxa"/>
            <w:vAlign w:val="center"/>
          </w:tcPr>
          <w:p>
            <w:pPr>
              <w:pStyle w:val="12"/>
            </w:pPr>
            <w:r>
              <w:t>污水处理费系统维护的数据传输表数量</w:t>
            </w:r>
          </w:p>
        </w:tc>
        <w:tc>
          <w:tcPr>
            <w:tcW w:w="2268" w:type="dxa"/>
            <w:vAlign w:val="center"/>
          </w:tcPr>
          <w:p>
            <w:pPr>
              <w:pStyle w:val="12"/>
            </w:pPr>
            <w:r>
              <w:t>26个</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维持企业现场仪表运转正常</w:t>
            </w:r>
          </w:p>
        </w:tc>
        <w:tc>
          <w:tcPr>
            <w:tcW w:w="5386" w:type="dxa"/>
            <w:vAlign w:val="center"/>
          </w:tcPr>
          <w:p>
            <w:pPr>
              <w:pStyle w:val="12"/>
            </w:pPr>
            <w:r>
              <w:t>维持企业现场仪表运转正常</w:t>
            </w:r>
          </w:p>
        </w:tc>
        <w:tc>
          <w:tcPr>
            <w:tcW w:w="2268" w:type="dxa"/>
            <w:vAlign w:val="center"/>
          </w:tcPr>
          <w:p>
            <w:pPr>
              <w:pStyle w:val="12"/>
            </w:pPr>
            <w:r>
              <w:t>维持企业现场仪表运转正常</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按时发放工资、缴纳社保、完成日常工作</w:t>
            </w:r>
          </w:p>
        </w:tc>
        <w:tc>
          <w:tcPr>
            <w:tcW w:w="5386" w:type="dxa"/>
            <w:vAlign w:val="center"/>
          </w:tcPr>
          <w:p>
            <w:pPr>
              <w:pStyle w:val="12"/>
            </w:pPr>
            <w:r>
              <w:t>按时发放工资、缴纳社保、完成日常工作</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人员工资及社保费</w:t>
            </w:r>
          </w:p>
        </w:tc>
        <w:tc>
          <w:tcPr>
            <w:tcW w:w="5386" w:type="dxa"/>
            <w:vAlign w:val="center"/>
          </w:tcPr>
          <w:p>
            <w:pPr>
              <w:pStyle w:val="12"/>
            </w:pPr>
            <w:r>
              <w:t>人员工资及社保费</w:t>
            </w:r>
          </w:p>
        </w:tc>
        <w:tc>
          <w:tcPr>
            <w:tcW w:w="2268" w:type="dxa"/>
            <w:vAlign w:val="center"/>
          </w:tcPr>
          <w:p>
            <w:pPr>
              <w:pStyle w:val="12"/>
            </w:pPr>
            <w:r>
              <w:t>≤105.43万元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污水系统维护费</w:t>
            </w:r>
          </w:p>
        </w:tc>
        <w:tc>
          <w:tcPr>
            <w:tcW w:w="5386" w:type="dxa"/>
            <w:vAlign w:val="center"/>
          </w:tcPr>
          <w:p>
            <w:pPr>
              <w:pStyle w:val="12"/>
            </w:pPr>
            <w:r>
              <w:t>污水系统维护费</w:t>
            </w:r>
          </w:p>
        </w:tc>
        <w:tc>
          <w:tcPr>
            <w:tcW w:w="2268" w:type="dxa"/>
            <w:vAlign w:val="center"/>
          </w:tcPr>
          <w:p>
            <w:pPr>
              <w:pStyle w:val="12"/>
            </w:pPr>
            <w:r>
              <w:t>≤34.57万元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污水处理费达到应收尽收</w:t>
            </w:r>
          </w:p>
          <w:p>
            <w:pPr>
              <w:pStyle w:val="12"/>
            </w:pP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47、水上公园维护费（2024）绩效目标表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13010925P00000810467P</w:t>
            </w:r>
          </w:p>
        </w:tc>
        <w:tc>
          <w:tcPr>
            <w:tcW w:w="2835" w:type="dxa"/>
            <w:vAlign w:val="center"/>
          </w:tcPr>
          <w:p>
            <w:pPr>
              <w:pStyle w:val="10"/>
            </w:pPr>
            <w:r>
              <w:t>项目名称</w:t>
            </w:r>
          </w:p>
        </w:tc>
        <w:tc>
          <w:tcPr>
            <w:tcW w:w="6095" w:type="dxa"/>
            <w:gridSpan w:val="3"/>
            <w:vAlign w:val="center"/>
          </w:tcPr>
          <w:p>
            <w:pPr>
              <w:pStyle w:val="12"/>
            </w:pPr>
            <w:r>
              <w:t>水上公园维护费（2024）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28.71</w:t>
            </w:r>
          </w:p>
        </w:tc>
        <w:tc>
          <w:tcPr>
            <w:tcW w:w="2835" w:type="dxa"/>
            <w:vAlign w:val="center"/>
          </w:tcPr>
          <w:p>
            <w:pPr>
              <w:pStyle w:val="10"/>
            </w:pPr>
            <w:r>
              <w:t>其中：财政    资金</w:t>
            </w:r>
          </w:p>
        </w:tc>
        <w:tc>
          <w:tcPr>
            <w:tcW w:w="2551" w:type="dxa"/>
            <w:vAlign w:val="center"/>
          </w:tcPr>
          <w:p>
            <w:pPr>
              <w:pStyle w:val="12"/>
            </w:pPr>
            <w:r>
              <w:t>28.71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用于园内植物正常管护，园路甬路、公厕、照明、水体及公共设施正常运行所需的维护、维修费，园内秩序维持，水费、电费、临时工工资及其他等费用。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17.23</w:t>
            </w:r>
          </w:p>
        </w:tc>
        <w:tc>
          <w:tcPr>
            <w:tcW w:w="2551" w:type="dxa"/>
            <w:vAlign w:val="center"/>
          </w:tcPr>
          <w:p>
            <w:pPr>
              <w:pStyle w:val="13"/>
            </w:pPr>
            <w:r>
              <w:t>25.84</w:t>
            </w:r>
          </w:p>
        </w:tc>
        <w:tc>
          <w:tcPr>
            <w:tcW w:w="3544" w:type="dxa"/>
            <w:gridSpan w:val="2"/>
            <w:vAlign w:val="center"/>
          </w:tcPr>
          <w:p>
            <w:pPr>
              <w:pStyle w:val="13"/>
            </w:pPr>
            <w:r>
              <w:t>28.71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1.通过维护水上公园，实现管园内植物生长健壮，路面整洁，照明设施良好，人工湖水质洁净，公厕洁净无异味，园林小品和健身器材设施完好。</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管护公园面积</w:t>
            </w:r>
          </w:p>
        </w:tc>
        <w:tc>
          <w:tcPr>
            <w:tcW w:w="5386" w:type="dxa"/>
            <w:vAlign w:val="center"/>
          </w:tcPr>
          <w:p>
            <w:pPr>
              <w:pStyle w:val="12"/>
            </w:pPr>
            <w:r>
              <w:t>管护公园面积</w:t>
            </w:r>
          </w:p>
        </w:tc>
        <w:tc>
          <w:tcPr>
            <w:tcW w:w="2268" w:type="dxa"/>
            <w:vAlign w:val="center"/>
          </w:tcPr>
          <w:p>
            <w:pPr>
              <w:pStyle w:val="12"/>
            </w:pPr>
            <w:r>
              <w:t>10.29万平方米</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公共设施完好率</w:t>
            </w:r>
          </w:p>
        </w:tc>
        <w:tc>
          <w:tcPr>
            <w:tcW w:w="5386" w:type="dxa"/>
            <w:vAlign w:val="center"/>
          </w:tcPr>
          <w:p>
            <w:pPr>
              <w:pStyle w:val="12"/>
            </w:pPr>
            <w:r>
              <w:t>达到可安全使用状态的设施数量占所有公共设施的比率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垃圾及时清理率</w:t>
            </w:r>
          </w:p>
        </w:tc>
        <w:tc>
          <w:tcPr>
            <w:tcW w:w="5386" w:type="dxa"/>
            <w:vAlign w:val="center"/>
          </w:tcPr>
          <w:p>
            <w:pPr>
              <w:pStyle w:val="12"/>
            </w:pPr>
            <w:r>
              <w:t>绿地垃圾及时清理量占园内垃圾总量的比率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按照实际情况本次支付28.711825万元</w:t>
            </w:r>
          </w:p>
        </w:tc>
        <w:tc>
          <w:tcPr>
            <w:tcW w:w="5386" w:type="dxa"/>
            <w:vAlign w:val="center"/>
          </w:tcPr>
          <w:p>
            <w:pPr>
              <w:pStyle w:val="12"/>
            </w:pPr>
            <w:r>
              <w:t>按照实际情况本次支付28.711825万元</w:t>
            </w:r>
          </w:p>
        </w:tc>
        <w:tc>
          <w:tcPr>
            <w:tcW w:w="2268" w:type="dxa"/>
            <w:vAlign w:val="center"/>
          </w:tcPr>
          <w:p>
            <w:pPr>
              <w:pStyle w:val="12"/>
            </w:pPr>
            <w:r>
              <w:t>文字描述</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年接待游客量</w:t>
            </w:r>
          </w:p>
        </w:tc>
        <w:tc>
          <w:tcPr>
            <w:tcW w:w="5386" w:type="dxa"/>
            <w:vAlign w:val="center"/>
          </w:tcPr>
          <w:p>
            <w:pPr>
              <w:pStyle w:val="12"/>
            </w:pPr>
            <w:r>
              <w:t>为市民提供休闲、健身场地</w:t>
            </w:r>
          </w:p>
        </w:tc>
        <w:tc>
          <w:tcPr>
            <w:tcW w:w="2268" w:type="dxa"/>
            <w:vAlign w:val="center"/>
          </w:tcPr>
          <w:p>
            <w:pPr>
              <w:pStyle w:val="12"/>
            </w:pPr>
            <w:r>
              <w:t>≥30万人</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48、污水处理PPP项目运行经费绩效目标表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13010925P00000810448K</w:t>
            </w:r>
          </w:p>
        </w:tc>
        <w:tc>
          <w:tcPr>
            <w:tcW w:w="2835" w:type="dxa"/>
            <w:vAlign w:val="center"/>
          </w:tcPr>
          <w:p>
            <w:pPr>
              <w:pStyle w:val="10"/>
            </w:pPr>
            <w:r>
              <w:t>项目名称</w:t>
            </w:r>
          </w:p>
        </w:tc>
        <w:tc>
          <w:tcPr>
            <w:tcW w:w="6095" w:type="dxa"/>
            <w:gridSpan w:val="3"/>
            <w:vAlign w:val="center"/>
          </w:tcPr>
          <w:p>
            <w:pPr>
              <w:pStyle w:val="12"/>
            </w:pPr>
            <w:r>
              <w:t>污水处理PPP项目运行经费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预算资金总计1500万元，用于国津天创污水处理厂的运营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900.00</w:t>
            </w:r>
          </w:p>
        </w:tc>
        <w:tc>
          <w:tcPr>
            <w:tcW w:w="2551" w:type="dxa"/>
            <w:vAlign w:val="center"/>
          </w:tcPr>
          <w:p>
            <w:pPr>
              <w:pStyle w:val="13"/>
            </w:pPr>
            <w:r>
              <w:t>1350.00</w:t>
            </w:r>
          </w:p>
        </w:tc>
        <w:tc>
          <w:tcPr>
            <w:tcW w:w="3544" w:type="dxa"/>
            <w:gridSpan w:val="2"/>
            <w:vAlign w:val="center"/>
          </w:tcPr>
          <w:p>
            <w:pPr>
              <w:pStyle w:val="13"/>
            </w:pPr>
            <w:r>
              <w:t>1500.00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1.通过保障污水处理项目运行，确保出水达标，为治理滹沱河水质贡献力量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抽查水样次数</w:t>
            </w:r>
          </w:p>
        </w:tc>
        <w:tc>
          <w:tcPr>
            <w:tcW w:w="5386" w:type="dxa"/>
            <w:vAlign w:val="center"/>
          </w:tcPr>
          <w:p>
            <w:pPr>
              <w:pStyle w:val="12"/>
            </w:pPr>
            <w:r>
              <w:t>抽查水样次数</w:t>
            </w:r>
          </w:p>
        </w:tc>
        <w:tc>
          <w:tcPr>
            <w:tcW w:w="2268" w:type="dxa"/>
            <w:vAlign w:val="center"/>
          </w:tcPr>
          <w:p>
            <w:pPr>
              <w:pStyle w:val="12"/>
            </w:pPr>
            <w:r>
              <w:t>≥10次</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化验室仪器质控抽检合格率</w:t>
            </w:r>
          </w:p>
        </w:tc>
        <w:tc>
          <w:tcPr>
            <w:tcW w:w="5386" w:type="dxa"/>
            <w:vAlign w:val="center"/>
          </w:tcPr>
          <w:p>
            <w:pPr>
              <w:pStyle w:val="12"/>
            </w:pPr>
            <w:r>
              <w:t>质控抽检合格次数占抽检总数的百分比</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w:t>
            </w:r>
          </w:p>
        </w:tc>
        <w:tc>
          <w:tcPr>
            <w:tcW w:w="5386" w:type="dxa"/>
            <w:vAlign w:val="center"/>
          </w:tcPr>
          <w:p>
            <w:pPr>
              <w:pStyle w:val="12"/>
            </w:pPr>
            <w:r>
              <w:t>2020年10月20日至2023年12月31日</w:t>
            </w:r>
          </w:p>
        </w:tc>
        <w:tc>
          <w:tcPr>
            <w:tcW w:w="2268" w:type="dxa"/>
            <w:vAlign w:val="center"/>
          </w:tcPr>
          <w:p>
            <w:pPr>
              <w:pStyle w:val="12"/>
            </w:pPr>
            <w:r>
              <w:t>38月</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运营期污水处理服务费</w:t>
            </w:r>
          </w:p>
        </w:tc>
        <w:tc>
          <w:tcPr>
            <w:tcW w:w="5386" w:type="dxa"/>
            <w:vAlign w:val="center"/>
          </w:tcPr>
          <w:p>
            <w:pPr>
              <w:pStyle w:val="12"/>
            </w:pPr>
            <w:r>
              <w:t>运营期污水处理服务费</w:t>
            </w:r>
          </w:p>
        </w:tc>
        <w:tc>
          <w:tcPr>
            <w:tcW w:w="2268" w:type="dxa"/>
            <w:vAlign w:val="center"/>
          </w:tcPr>
          <w:p>
            <w:pPr>
              <w:pStyle w:val="12"/>
            </w:pPr>
            <w:r>
              <w:t>≤2.74元/吨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保障出水达标排放</w:t>
            </w:r>
          </w:p>
        </w:tc>
        <w:tc>
          <w:tcPr>
            <w:tcW w:w="5386" w:type="dxa"/>
            <w:vAlign w:val="center"/>
          </w:tcPr>
          <w:p>
            <w:pPr>
              <w:pStyle w:val="12"/>
            </w:pPr>
            <w:r>
              <w:t>保障出水达标排放</w:t>
            </w:r>
          </w:p>
        </w:tc>
        <w:tc>
          <w:tcPr>
            <w:tcW w:w="2268" w:type="dxa"/>
            <w:vAlign w:val="center"/>
          </w:tcPr>
          <w:p>
            <w:pPr>
              <w:pStyle w:val="12"/>
            </w:pPr>
            <w:r>
              <w:t>保障出水达标排放</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49、污水处理PPP项目运行经费（2024）绩效目标表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13010925P000008104787</w:t>
            </w:r>
          </w:p>
        </w:tc>
        <w:tc>
          <w:tcPr>
            <w:tcW w:w="2835" w:type="dxa"/>
            <w:vAlign w:val="center"/>
          </w:tcPr>
          <w:p>
            <w:pPr>
              <w:pStyle w:val="10"/>
            </w:pPr>
            <w:r>
              <w:t>项目名称</w:t>
            </w:r>
          </w:p>
        </w:tc>
        <w:tc>
          <w:tcPr>
            <w:tcW w:w="6095" w:type="dxa"/>
            <w:gridSpan w:val="3"/>
            <w:vAlign w:val="center"/>
          </w:tcPr>
          <w:p>
            <w:pPr>
              <w:pStyle w:val="12"/>
            </w:pPr>
            <w:r>
              <w:t>污水处理PPP项目运行经费（2024）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310.00</w:t>
            </w:r>
          </w:p>
        </w:tc>
        <w:tc>
          <w:tcPr>
            <w:tcW w:w="2835" w:type="dxa"/>
            <w:vAlign w:val="center"/>
          </w:tcPr>
          <w:p>
            <w:pPr>
              <w:pStyle w:val="10"/>
            </w:pPr>
            <w:r>
              <w:t>其中：财政    资金</w:t>
            </w:r>
          </w:p>
        </w:tc>
        <w:tc>
          <w:tcPr>
            <w:tcW w:w="2551" w:type="dxa"/>
            <w:vAlign w:val="center"/>
          </w:tcPr>
          <w:p>
            <w:pPr>
              <w:pStyle w:val="12"/>
            </w:pPr>
            <w:r>
              <w:t>310.00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预算资金总计310万元，用于国津天创污水处理厂的运营。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186.00</w:t>
            </w:r>
          </w:p>
        </w:tc>
        <w:tc>
          <w:tcPr>
            <w:tcW w:w="2551" w:type="dxa"/>
            <w:vAlign w:val="center"/>
          </w:tcPr>
          <w:p>
            <w:pPr>
              <w:pStyle w:val="13"/>
            </w:pPr>
            <w:r>
              <w:t>279.00</w:t>
            </w:r>
          </w:p>
        </w:tc>
        <w:tc>
          <w:tcPr>
            <w:tcW w:w="3544" w:type="dxa"/>
            <w:gridSpan w:val="2"/>
            <w:vAlign w:val="center"/>
          </w:tcPr>
          <w:p>
            <w:pPr>
              <w:pStyle w:val="13"/>
            </w:pPr>
            <w:r>
              <w:t>310.00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1.通过保障污水处理项目运行，确保出水达标，为治理滹沱河水质贡献力量。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抽查水样次数</w:t>
            </w:r>
          </w:p>
        </w:tc>
        <w:tc>
          <w:tcPr>
            <w:tcW w:w="5386" w:type="dxa"/>
            <w:vAlign w:val="center"/>
          </w:tcPr>
          <w:p>
            <w:pPr>
              <w:pStyle w:val="12"/>
            </w:pPr>
            <w:r>
              <w:t>抽查水样次数</w:t>
            </w:r>
          </w:p>
        </w:tc>
        <w:tc>
          <w:tcPr>
            <w:tcW w:w="2268" w:type="dxa"/>
            <w:vAlign w:val="center"/>
          </w:tcPr>
          <w:p>
            <w:pPr>
              <w:pStyle w:val="12"/>
            </w:pPr>
            <w:r>
              <w:t>≥10次</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化验室仪器质控抽检合格率</w:t>
            </w:r>
          </w:p>
        </w:tc>
        <w:tc>
          <w:tcPr>
            <w:tcW w:w="5386" w:type="dxa"/>
            <w:vAlign w:val="center"/>
          </w:tcPr>
          <w:p>
            <w:pPr>
              <w:pStyle w:val="12"/>
            </w:pPr>
            <w:r>
              <w:t>质控抽检合格次数占抽检总数的百分比</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w:t>
            </w:r>
          </w:p>
        </w:tc>
        <w:tc>
          <w:tcPr>
            <w:tcW w:w="5386" w:type="dxa"/>
            <w:vAlign w:val="center"/>
          </w:tcPr>
          <w:p>
            <w:pPr>
              <w:pStyle w:val="12"/>
            </w:pPr>
            <w:r>
              <w:t>2020年10月20日至2023年12月31日</w:t>
            </w:r>
          </w:p>
        </w:tc>
        <w:tc>
          <w:tcPr>
            <w:tcW w:w="2268" w:type="dxa"/>
            <w:vAlign w:val="center"/>
          </w:tcPr>
          <w:p>
            <w:pPr>
              <w:pStyle w:val="12"/>
            </w:pPr>
            <w:r>
              <w:t>38月</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运营期污水处理服务费</w:t>
            </w:r>
          </w:p>
        </w:tc>
        <w:tc>
          <w:tcPr>
            <w:tcW w:w="5386" w:type="dxa"/>
            <w:vAlign w:val="center"/>
          </w:tcPr>
          <w:p>
            <w:pPr>
              <w:pStyle w:val="12"/>
            </w:pPr>
            <w:r>
              <w:t>运营期污水处理服务费</w:t>
            </w:r>
          </w:p>
        </w:tc>
        <w:tc>
          <w:tcPr>
            <w:tcW w:w="2268" w:type="dxa"/>
            <w:vAlign w:val="center"/>
          </w:tcPr>
          <w:p>
            <w:pPr>
              <w:pStyle w:val="12"/>
            </w:pPr>
            <w:r>
              <w:t>≤2.74元/吨</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保障出水达标排放</w:t>
            </w:r>
          </w:p>
        </w:tc>
        <w:tc>
          <w:tcPr>
            <w:tcW w:w="5386" w:type="dxa"/>
            <w:vAlign w:val="center"/>
          </w:tcPr>
          <w:p>
            <w:pPr>
              <w:pStyle w:val="12"/>
            </w:pPr>
            <w:r>
              <w:t>保障出水达标排放</w:t>
            </w:r>
          </w:p>
        </w:tc>
        <w:tc>
          <w:tcPr>
            <w:tcW w:w="2268" w:type="dxa"/>
            <w:vAlign w:val="center"/>
          </w:tcPr>
          <w:p>
            <w:pPr>
              <w:pStyle w:val="12"/>
            </w:pPr>
            <w:r>
              <w:t>保障出水达标排放</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50、污水处理厂归还旧欠（一般）绩效目标表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13010925P00000810414H</w:t>
            </w:r>
          </w:p>
        </w:tc>
        <w:tc>
          <w:tcPr>
            <w:tcW w:w="2835" w:type="dxa"/>
            <w:vAlign w:val="center"/>
          </w:tcPr>
          <w:p>
            <w:pPr>
              <w:pStyle w:val="10"/>
            </w:pPr>
            <w:r>
              <w:t>项目名称</w:t>
            </w:r>
          </w:p>
        </w:tc>
        <w:tc>
          <w:tcPr>
            <w:tcW w:w="6095" w:type="dxa"/>
            <w:gridSpan w:val="3"/>
            <w:vAlign w:val="center"/>
          </w:tcPr>
          <w:p>
            <w:pPr>
              <w:pStyle w:val="12"/>
            </w:pPr>
            <w:r>
              <w:t>污水处理厂归还旧欠（一般）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预算资金总计1500万元，用于偿还污水处理厂自2006年正常运行以来，截止2019年底所欠运行费用。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900.00</w:t>
            </w:r>
          </w:p>
        </w:tc>
        <w:tc>
          <w:tcPr>
            <w:tcW w:w="2551" w:type="dxa"/>
            <w:vAlign w:val="center"/>
          </w:tcPr>
          <w:p>
            <w:pPr>
              <w:pStyle w:val="13"/>
            </w:pPr>
            <w:r>
              <w:t>1350.00</w:t>
            </w:r>
          </w:p>
        </w:tc>
        <w:tc>
          <w:tcPr>
            <w:tcW w:w="3544" w:type="dxa"/>
            <w:gridSpan w:val="2"/>
            <w:vAlign w:val="center"/>
          </w:tcPr>
          <w:p>
            <w:pPr>
              <w:pStyle w:val="13"/>
            </w:pPr>
            <w:r>
              <w:t>1500.00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1.通过偿还所欠运行费用，解决历史遗留问题。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所欠款的单位数量</w:t>
            </w:r>
          </w:p>
        </w:tc>
        <w:tc>
          <w:tcPr>
            <w:tcW w:w="5386" w:type="dxa"/>
            <w:vAlign w:val="center"/>
          </w:tcPr>
          <w:p>
            <w:pPr>
              <w:pStyle w:val="12"/>
            </w:pPr>
            <w:r>
              <w:t>所欠的运行费用的单位数量</w:t>
            </w:r>
          </w:p>
        </w:tc>
        <w:tc>
          <w:tcPr>
            <w:tcW w:w="2268" w:type="dxa"/>
            <w:vAlign w:val="center"/>
          </w:tcPr>
          <w:p>
            <w:pPr>
              <w:pStyle w:val="12"/>
            </w:pPr>
            <w:r>
              <w:t>86个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偿还欠款率</w:t>
            </w:r>
          </w:p>
        </w:tc>
        <w:tc>
          <w:tcPr>
            <w:tcW w:w="5386" w:type="dxa"/>
            <w:vAlign w:val="center"/>
          </w:tcPr>
          <w:p>
            <w:pPr>
              <w:pStyle w:val="12"/>
            </w:pPr>
            <w:r>
              <w:t>偿还所欠运行费资金占全部到位资金的比率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偿还时间</w:t>
            </w:r>
          </w:p>
        </w:tc>
        <w:tc>
          <w:tcPr>
            <w:tcW w:w="2268" w:type="dxa"/>
            <w:vAlign w:val="center"/>
          </w:tcPr>
          <w:p>
            <w:pPr>
              <w:pStyle w:val="12"/>
            </w:pPr>
            <w:r>
              <w:t>≤1年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本年度预计偿还金额</w:t>
            </w:r>
          </w:p>
        </w:tc>
        <w:tc>
          <w:tcPr>
            <w:tcW w:w="5386" w:type="dxa"/>
            <w:vAlign w:val="center"/>
          </w:tcPr>
          <w:p>
            <w:pPr>
              <w:pStyle w:val="12"/>
            </w:pPr>
            <w:r>
              <w:t>本年度预计偿还金额</w:t>
            </w:r>
          </w:p>
        </w:tc>
        <w:tc>
          <w:tcPr>
            <w:tcW w:w="2268" w:type="dxa"/>
            <w:vAlign w:val="center"/>
          </w:tcPr>
          <w:p>
            <w:pPr>
              <w:pStyle w:val="12"/>
            </w:pPr>
            <w:r>
              <w:t>≤6000万元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及时归还运行欠款，保证社会稳定</w:t>
            </w:r>
          </w:p>
        </w:tc>
        <w:tc>
          <w:tcPr>
            <w:tcW w:w="5386" w:type="dxa"/>
            <w:vAlign w:val="center"/>
          </w:tcPr>
          <w:p>
            <w:pPr>
              <w:pStyle w:val="12"/>
            </w:pPr>
            <w:r>
              <w:t>及时归还运行欠款，保证社会稳定</w:t>
            </w:r>
          </w:p>
        </w:tc>
        <w:tc>
          <w:tcPr>
            <w:tcW w:w="2268" w:type="dxa"/>
            <w:vAlign w:val="center"/>
          </w:tcPr>
          <w:p>
            <w:pPr>
              <w:pStyle w:val="12"/>
            </w:pPr>
            <w:r>
              <w:t>及时归还运行欠款，保证社会稳定</w:t>
            </w:r>
          </w:p>
          <w:p>
            <w:pPr>
              <w:pStyle w:val="12"/>
            </w:pP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51、污水处理归还旧欠（2024）绩效目标表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13010925P000008104806</w:t>
            </w:r>
          </w:p>
        </w:tc>
        <w:tc>
          <w:tcPr>
            <w:tcW w:w="2835" w:type="dxa"/>
            <w:vAlign w:val="center"/>
          </w:tcPr>
          <w:p>
            <w:pPr>
              <w:pStyle w:val="10"/>
            </w:pPr>
            <w:r>
              <w:t>项目名称</w:t>
            </w:r>
          </w:p>
        </w:tc>
        <w:tc>
          <w:tcPr>
            <w:tcW w:w="6095" w:type="dxa"/>
            <w:gridSpan w:val="3"/>
            <w:vAlign w:val="center"/>
          </w:tcPr>
          <w:p>
            <w:pPr>
              <w:pStyle w:val="12"/>
            </w:pPr>
            <w:r>
              <w:t>污水处理归还旧欠（2024）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950.00</w:t>
            </w:r>
          </w:p>
        </w:tc>
        <w:tc>
          <w:tcPr>
            <w:tcW w:w="2835" w:type="dxa"/>
            <w:vAlign w:val="center"/>
          </w:tcPr>
          <w:p>
            <w:pPr>
              <w:pStyle w:val="10"/>
            </w:pPr>
            <w:r>
              <w:t>其中：财政    资金</w:t>
            </w:r>
          </w:p>
        </w:tc>
        <w:tc>
          <w:tcPr>
            <w:tcW w:w="2551" w:type="dxa"/>
            <w:vAlign w:val="center"/>
          </w:tcPr>
          <w:p>
            <w:pPr>
              <w:pStyle w:val="12"/>
            </w:pPr>
            <w:r>
              <w:t>950.00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预算资金总计950万元，用于偿还污水处理厂自2006年正常运行以来，截止2019年底所欠运行费用。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570.00</w:t>
            </w:r>
          </w:p>
        </w:tc>
        <w:tc>
          <w:tcPr>
            <w:tcW w:w="2551" w:type="dxa"/>
            <w:vAlign w:val="center"/>
          </w:tcPr>
          <w:p>
            <w:pPr>
              <w:pStyle w:val="13"/>
            </w:pPr>
            <w:r>
              <w:t>855.00</w:t>
            </w:r>
          </w:p>
        </w:tc>
        <w:tc>
          <w:tcPr>
            <w:tcW w:w="3544" w:type="dxa"/>
            <w:gridSpan w:val="2"/>
            <w:vAlign w:val="center"/>
          </w:tcPr>
          <w:p>
            <w:pPr>
              <w:pStyle w:val="13"/>
            </w:pPr>
            <w:r>
              <w:t>950.00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1.通过偿还所欠运行费用，解决历史遗留问题。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所欠款的单位数量</w:t>
            </w:r>
          </w:p>
        </w:tc>
        <w:tc>
          <w:tcPr>
            <w:tcW w:w="5386" w:type="dxa"/>
            <w:vAlign w:val="center"/>
          </w:tcPr>
          <w:p>
            <w:pPr>
              <w:pStyle w:val="12"/>
            </w:pPr>
            <w:r>
              <w:t>所欠的运行费用的单位数量</w:t>
            </w:r>
          </w:p>
        </w:tc>
        <w:tc>
          <w:tcPr>
            <w:tcW w:w="2268" w:type="dxa"/>
            <w:vAlign w:val="center"/>
          </w:tcPr>
          <w:p>
            <w:pPr>
              <w:pStyle w:val="12"/>
            </w:pPr>
            <w:r>
              <w:t>86个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偿还欠款率</w:t>
            </w:r>
          </w:p>
        </w:tc>
        <w:tc>
          <w:tcPr>
            <w:tcW w:w="5386" w:type="dxa"/>
            <w:vAlign w:val="center"/>
          </w:tcPr>
          <w:p>
            <w:pPr>
              <w:pStyle w:val="12"/>
            </w:pPr>
            <w:r>
              <w:t>偿还所欠运行费资金占全部到位资金的比率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偿还时间</w:t>
            </w:r>
          </w:p>
        </w:tc>
        <w:tc>
          <w:tcPr>
            <w:tcW w:w="2268" w:type="dxa"/>
            <w:vAlign w:val="center"/>
          </w:tcPr>
          <w:p>
            <w:pPr>
              <w:pStyle w:val="12"/>
            </w:pPr>
            <w:r>
              <w:t>≤1年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本年度预计偿还金额</w:t>
            </w:r>
          </w:p>
        </w:tc>
        <w:tc>
          <w:tcPr>
            <w:tcW w:w="5386" w:type="dxa"/>
            <w:vAlign w:val="center"/>
          </w:tcPr>
          <w:p>
            <w:pPr>
              <w:pStyle w:val="12"/>
            </w:pPr>
            <w:r>
              <w:t>本年度预计偿还金额</w:t>
            </w:r>
          </w:p>
        </w:tc>
        <w:tc>
          <w:tcPr>
            <w:tcW w:w="2268" w:type="dxa"/>
            <w:vAlign w:val="center"/>
          </w:tcPr>
          <w:p>
            <w:pPr>
              <w:pStyle w:val="12"/>
            </w:pPr>
            <w:r>
              <w:t>≤6000万元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及时归还运行欠款，保证社会稳定</w:t>
            </w:r>
          </w:p>
        </w:tc>
        <w:tc>
          <w:tcPr>
            <w:tcW w:w="5386" w:type="dxa"/>
            <w:vAlign w:val="center"/>
          </w:tcPr>
          <w:p>
            <w:pPr>
              <w:pStyle w:val="12"/>
            </w:pPr>
            <w:r>
              <w:t>及时归还运行欠款，保证社会稳定</w:t>
            </w:r>
          </w:p>
        </w:tc>
        <w:tc>
          <w:tcPr>
            <w:tcW w:w="2268" w:type="dxa"/>
            <w:vAlign w:val="center"/>
          </w:tcPr>
          <w:p>
            <w:pPr>
              <w:pStyle w:val="12"/>
            </w:pPr>
            <w:r>
              <w:t>及时归还运行欠款，保证社会稳定</w:t>
            </w:r>
          </w:p>
          <w:p>
            <w:pPr>
              <w:pStyle w:val="12"/>
            </w:pP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52、污水处理归还旧欠（国有资本经营预算）绩效目标表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13010925P00000810481R</w:t>
            </w:r>
          </w:p>
        </w:tc>
        <w:tc>
          <w:tcPr>
            <w:tcW w:w="2835" w:type="dxa"/>
            <w:vAlign w:val="center"/>
          </w:tcPr>
          <w:p>
            <w:pPr>
              <w:pStyle w:val="10"/>
            </w:pPr>
            <w:r>
              <w:t>项目名称</w:t>
            </w:r>
          </w:p>
        </w:tc>
        <w:tc>
          <w:tcPr>
            <w:tcW w:w="6095" w:type="dxa"/>
            <w:gridSpan w:val="3"/>
            <w:vAlign w:val="center"/>
          </w:tcPr>
          <w:p>
            <w:pPr>
              <w:pStyle w:val="12"/>
            </w:pPr>
            <w:r>
              <w:t>污水处理归还旧欠（国有资本经营预算）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14000.00</w:t>
            </w:r>
          </w:p>
        </w:tc>
        <w:tc>
          <w:tcPr>
            <w:tcW w:w="2835" w:type="dxa"/>
            <w:vAlign w:val="center"/>
          </w:tcPr>
          <w:p>
            <w:pPr>
              <w:pStyle w:val="10"/>
            </w:pPr>
            <w:r>
              <w:t>其中：财政    资金</w:t>
            </w:r>
          </w:p>
        </w:tc>
        <w:tc>
          <w:tcPr>
            <w:tcW w:w="2551" w:type="dxa"/>
            <w:vAlign w:val="center"/>
          </w:tcPr>
          <w:p>
            <w:pPr>
              <w:pStyle w:val="12"/>
            </w:pPr>
            <w:r>
              <w:t>14000.00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预算资金总计14000万元，用于偿还污水处理厂自2006年正常运行以来，截止2019年底所欠运行费用。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8400.00</w:t>
            </w:r>
          </w:p>
        </w:tc>
        <w:tc>
          <w:tcPr>
            <w:tcW w:w="2551" w:type="dxa"/>
            <w:vAlign w:val="center"/>
          </w:tcPr>
          <w:p>
            <w:pPr>
              <w:pStyle w:val="13"/>
            </w:pPr>
            <w:r>
              <w:t>12600.00</w:t>
            </w:r>
          </w:p>
        </w:tc>
        <w:tc>
          <w:tcPr>
            <w:tcW w:w="3544" w:type="dxa"/>
            <w:gridSpan w:val="2"/>
            <w:vAlign w:val="center"/>
          </w:tcPr>
          <w:p>
            <w:pPr>
              <w:pStyle w:val="13"/>
            </w:pPr>
            <w:r>
              <w:t>14000.00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1.通过偿还所欠运行费用，解决历史遗留问题。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所欠款的单位数量</w:t>
            </w:r>
          </w:p>
        </w:tc>
        <w:tc>
          <w:tcPr>
            <w:tcW w:w="5386" w:type="dxa"/>
            <w:vAlign w:val="center"/>
          </w:tcPr>
          <w:p>
            <w:pPr>
              <w:pStyle w:val="12"/>
            </w:pPr>
            <w:r>
              <w:t>所欠的运行费用的单位数量</w:t>
            </w:r>
          </w:p>
        </w:tc>
        <w:tc>
          <w:tcPr>
            <w:tcW w:w="2268" w:type="dxa"/>
            <w:vAlign w:val="center"/>
          </w:tcPr>
          <w:p>
            <w:pPr>
              <w:pStyle w:val="12"/>
            </w:pPr>
            <w:r>
              <w:t>86个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偿还欠款率</w:t>
            </w:r>
          </w:p>
        </w:tc>
        <w:tc>
          <w:tcPr>
            <w:tcW w:w="5386" w:type="dxa"/>
            <w:vAlign w:val="center"/>
          </w:tcPr>
          <w:p>
            <w:pPr>
              <w:pStyle w:val="12"/>
            </w:pPr>
            <w:r>
              <w:t>偿还所欠运行费资金占全部到位资金的比率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偿还时间</w:t>
            </w:r>
          </w:p>
        </w:tc>
        <w:tc>
          <w:tcPr>
            <w:tcW w:w="2268" w:type="dxa"/>
            <w:vAlign w:val="center"/>
          </w:tcPr>
          <w:p>
            <w:pPr>
              <w:pStyle w:val="12"/>
            </w:pPr>
            <w:r>
              <w:t>≤1年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本年度预计偿还金额</w:t>
            </w:r>
          </w:p>
        </w:tc>
        <w:tc>
          <w:tcPr>
            <w:tcW w:w="5386" w:type="dxa"/>
            <w:vAlign w:val="center"/>
          </w:tcPr>
          <w:p>
            <w:pPr>
              <w:pStyle w:val="12"/>
            </w:pPr>
            <w:r>
              <w:t>本年度预计偿还金额</w:t>
            </w:r>
          </w:p>
        </w:tc>
        <w:tc>
          <w:tcPr>
            <w:tcW w:w="2268" w:type="dxa"/>
            <w:vAlign w:val="center"/>
          </w:tcPr>
          <w:p>
            <w:pPr>
              <w:pStyle w:val="12"/>
            </w:pPr>
            <w:r>
              <w:t>≤14000万元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及时归还运行欠款，保证社会稳定</w:t>
            </w:r>
          </w:p>
        </w:tc>
        <w:tc>
          <w:tcPr>
            <w:tcW w:w="5386" w:type="dxa"/>
            <w:vAlign w:val="center"/>
          </w:tcPr>
          <w:p>
            <w:pPr>
              <w:pStyle w:val="12"/>
            </w:pPr>
            <w:r>
              <w:t>及时归还运行欠款，保证社会稳定</w:t>
            </w:r>
          </w:p>
        </w:tc>
        <w:tc>
          <w:tcPr>
            <w:tcW w:w="2268" w:type="dxa"/>
            <w:vAlign w:val="center"/>
          </w:tcPr>
          <w:p>
            <w:pPr>
              <w:pStyle w:val="12"/>
            </w:pPr>
            <w:r>
              <w:t>及时归还运行欠款，保证社会稳定</w:t>
            </w:r>
          </w:p>
          <w:p>
            <w:pPr>
              <w:pStyle w:val="12"/>
            </w:pP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53、污水处理及城市建设工程归还旧欠绩效目标表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13010925P00000810457U</w:t>
            </w:r>
          </w:p>
        </w:tc>
        <w:tc>
          <w:tcPr>
            <w:tcW w:w="2835" w:type="dxa"/>
            <w:vAlign w:val="center"/>
          </w:tcPr>
          <w:p>
            <w:pPr>
              <w:pStyle w:val="10"/>
            </w:pPr>
            <w:r>
              <w:t>项目名称</w:t>
            </w:r>
          </w:p>
        </w:tc>
        <w:tc>
          <w:tcPr>
            <w:tcW w:w="6095" w:type="dxa"/>
            <w:gridSpan w:val="3"/>
            <w:vAlign w:val="center"/>
          </w:tcPr>
          <w:p>
            <w:pPr>
              <w:pStyle w:val="12"/>
            </w:pPr>
            <w:r>
              <w:t>污水处理及城市建设工程归还旧欠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用于偿还污水处理厂自2006年正常运行以来，截止2019年底所欠运行费用。用于偿还所欠城市基础设施建设费用，化解信访隐患，营造安全稳定的社会环境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300.00</w:t>
            </w:r>
          </w:p>
        </w:tc>
        <w:tc>
          <w:tcPr>
            <w:tcW w:w="2551" w:type="dxa"/>
            <w:vAlign w:val="center"/>
          </w:tcPr>
          <w:p>
            <w:pPr>
              <w:pStyle w:val="13"/>
            </w:pPr>
            <w:r>
              <w:t>450.00</w:t>
            </w:r>
          </w:p>
        </w:tc>
        <w:tc>
          <w:tcPr>
            <w:tcW w:w="3544" w:type="dxa"/>
            <w:gridSpan w:val="2"/>
            <w:vAlign w:val="center"/>
          </w:tcPr>
          <w:p>
            <w:pPr>
              <w:pStyle w:val="13"/>
            </w:pPr>
            <w:r>
              <w:t>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1.通过偿还所欠污水处理运行费用及城市基础设施建设费用，化解信访隐患，营造安全稳定的社会环境，解决历史遗留问题。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所欠款的单位数量</w:t>
            </w:r>
          </w:p>
        </w:tc>
        <w:tc>
          <w:tcPr>
            <w:tcW w:w="5386" w:type="dxa"/>
            <w:vAlign w:val="center"/>
          </w:tcPr>
          <w:p>
            <w:pPr>
              <w:pStyle w:val="12"/>
            </w:pPr>
            <w:r>
              <w:t>所欠的运行费用的单位数量</w:t>
            </w:r>
          </w:p>
        </w:tc>
        <w:tc>
          <w:tcPr>
            <w:tcW w:w="2268" w:type="dxa"/>
            <w:vAlign w:val="center"/>
          </w:tcPr>
          <w:p>
            <w:pPr>
              <w:pStyle w:val="12"/>
            </w:pPr>
            <w:r>
              <w:t>≥96个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偿还欠款率</w:t>
            </w:r>
          </w:p>
        </w:tc>
        <w:tc>
          <w:tcPr>
            <w:tcW w:w="5386" w:type="dxa"/>
            <w:vAlign w:val="center"/>
          </w:tcPr>
          <w:p>
            <w:pPr>
              <w:pStyle w:val="12"/>
            </w:pPr>
            <w:r>
              <w:t>偿还所欠运行费资金占全部到位资金的比率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偿还时间</w:t>
            </w:r>
          </w:p>
        </w:tc>
        <w:tc>
          <w:tcPr>
            <w:tcW w:w="2268" w:type="dxa"/>
            <w:vAlign w:val="center"/>
          </w:tcPr>
          <w:p>
            <w:pPr>
              <w:pStyle w:val="12"/>
            </w:pPr>
            <w:r>
              <w:t>≤1年</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本年度预计偿还金额</w:t>
            </w:r>
          </w:p>
        </w:tc>
        <w:tc>
          <w:tcPr>
            <w:tcW w:w="5386" w:type="dxa"/>
            <w:vAlign w:val="center"/>
          </w:tcPr>
          <w:p>
            <w:pPr>
              <w:pStyle w:val="12"/>
            </w:pPr>
            <w:r>
              <w:t>本年度预计偿还金额</w:t>
            </w:r>
          </w:p>
        </w:tc>
        <w:tc>
          <w:tcPr>
            <w:tcW w:w="2268" w:type="dxa"/>
            <w:vAlign w:val="center"/>
          </w:tcPr>
          <w:p>
            <w:pPr>
              <w:pStyle w:val="12"/>
            </w:pPr>
            <w:r>
              <w:t>≤500万元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及时归还运行欠款，保证社会稳定</w:t>
            </w:r>
          </w:p>
        </w:tc>
        <w:tc>
          <w:tcPr>
            <w:tcW w:w="5386" w:type="dxa"/>
            <w:vAlign w:val="center"/>
          </w:tcPr>
          <w:p>
            <w:pPr>
              <w:pStyle w:val="12"/>
            </w:pPr>
            <w:r>
              <w:t>及时归还运行欠款，保证社会稳定</w:t>
            </w:r>
          </w:p>
        </w:tc>
        <w:tc>
          <w:tcPr>
            <w:tcW w:w="2268" w:type="dxa"/>
            <w:vAlign w:val="center"/>
          </w:tcPr>
          <w:p>
            <w:pPr>
              <w:pStyle w:val="12"/>
            </w:pPr>
            <w:r>
              <w:t>及时归还运行欠款，保证社会稳定</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54、兴华公园、体育公园办公费用（2024）绩效目标表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13010925P00000810469Y</w:t>
            </w:r>
          </w:p>
        </w:tc>
        <w:tc>
          <w:tcPr>
            <w:tcW w:w="2835" w:type="dxa"/>
            <w:vAlign w:val="center"/>
          </w:tcPr>
          <w:p>
            <w:pPr>
              <w:pStyle w:val="10"/>
            </w:pPr>
            <w:r>
              <w:t>项目名称</w:t>
            </w:r>
          </w:p>
        </w:tc>
        <w:tc>
          <w:tcPr>
            <w:tcW w:w="6095" w:type="dxa"/>
            <w:gridSpan w:val="3"/>
            <w:vAlign w:val="center"/>
          </w:tcPr>
          <w:p>
            <w:pPr>
              <w:pStyle w:val="12"/>
            </w:pPr>
            <w:r>
              <w:t>兴华公园、体育公园办公费用（2024）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用于兴华公园、体育公园购买日常办公用品和水电暖、宣传栏更换及便民服务用品等费用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0.26</w:t>
            </w:r>
          </w:p>
        </w:tc>
        <w:tc>
          <w:tcPr>
            <w:tcW w:w="2551" w:type="dxa"/>
            <w:vAlign w:val="center"/>
          </w:tcPr>
          <w:p>
            <w:pPr>
              <w:pStyle w:val="13"/>
            </w:pPr>
            <w:r>
              <w:t>0.39</w:t>
            </w:r>
          </w:p>
        </w:tc>
        <w:tc>
          <w:tcPr>
            <w:tcW w:w="3544" w:type="dxa"/>
            <w:gridSpan w:val="2"/>
            <w:vAlign w:val="center"/>
          </w:tcPr>
          <w:p>
            <w:pPr>
              <w:pStyle w:val="13"/>
            </w:pPr>
            <w:r>
              <w:t>0.43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1.通过为兴华公园、体育公园购买日常办公用品和缴纳水电暖、更换宣传栏及便民服务用品，保证园内秩序良好，便民服务周到完善。</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新增公园数量</w:t>
            </w:r>
          </w:p>
        </w:tc>
        <w:tc>
          <w:tcPr>
            <w:tcW w:w="5386" w:type="dxa"/>
            <w:vAlign w:val="center"/>
          </w:tcPr>
          <w:p>
            <w:pPr>
              <w:pStyle w:val="12"/>
            </w:pPr>
            <w:r>
              <w:t>新增公园数量</w:t>
            </w:r>
          </w:p>
        </w:tc>
        <w:tc>
          <w:tcPr>
            <w:tcW w:w="2268" w:type="dxa"/>
            <w:vAlign w:val="center"/>
          </w:tcPr>
          <w:p>
            <w:pPr>
              <w:pStyle w:val="12"/>
            </w:pPr>
            <w:r>
              <w:t>2个</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公共设施完好率</w:t>
            </w:r>
          </w:p>
        </w:tc>
        <w:tc>
          <w:tcPr>
            <w:tcW w:w="5386" w:type="dxa"/>
            <w:vAlign w:val="center"/>
          </w:tcPr>
          <w:p>
            <w:pPr>
              <w:pStyle w:val="12"/>
            </w:pPr>
            <w:r>
              <w:t>达到可安全使用状态的设施数量占所有公共设施的比率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及时支付办公费</w:t>
            </w:r>
          </w:p>
        </w:tc>
        <w:tc>
          <w:tcPr>
            <w:tcW w:w="2268" w:type="dxa"/>
            <w:vAlign w:val="center"/>
          </w:tcPr>
          <w:p>
            <w:pPr>
              <w:pStyle w:val="12"/>
            </w:pPr>
            <w:r>
              <w:t>≤12月</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购买办公用品等费用</w:t>
            </w:r>
          </w:p>
        </w:tc>
        <w:tc>
          <w:tcPr>
            <w:tcW w:w="5386" w:type="dxa"/>
            <w:vAlign w:val="center"/>
          </w:tcPr>
          <w:p>
            <w:pPr>
              <w:pStyle w:val="12"/>
            </w:pPr>
            <w:r>
              <w:t>购买办公用品等费用</w:t>
            </w:r>
          </w:p>
        </w:tc>
        <w:tc>
          <w:tcPr>
            <w:tcW w:w="2268" w:type="dxa"/>
            <w:vAlign w:val="center"/>
          </w:tcPr>
          <w:p>
            <w:pPr>
              <w:pStyle w:val="12"/>
            </w:pPr>
            <w:r>
              <w:t>≤2万元/年</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提高工作效率，更好地服务周边居民</w:t>
            </w:r>
          </w:p>
        </w:tc>
        <w:tc>
          <w:tcPr>
            <w:tcW w:w="5386" w:type="dxa"/>
            <w:vAlign w:val="center"/>
          </w:tcPr>
          <w:p>
            <w:pPr>
              <w:pStyle w:val="12"/>
            </w:pPr>
            <w:r>
              <w:t>提高工作效率，更好地服务周边居民</w:t>
            </w:r>
          </w:p>
        </w:tc>
        <w:tc>
          <w:tcPr>
            <w:tcW w:w="2268" w:type="dxa"/>
            <w:vAlign w:val="center"/>
          </w:tcPr>
          <w:p>
            <w:pPr>
              <w:pStyle w:val="12"/>
            </w:pPr>
            <w:r>
              <w:t>提高工作效率，更好地服务周边居民</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55、园林绿地维护费（2024）绩效目标表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13010925P00000810465G</w:t>
            </w:r>
          </w:p>
        </w:tc>
        <w:tc>
          <w:tcPr>
            <w:tcW w:w="2835" w:type="dxa"/>
            <w:vAlign w:val="center"/>
          </w:tcPr>
          <w:p>
            <w:pPr>
              <w:pStyle w:val="10"/>
            </w:pPr>
            <w:r>
              <w:t>项目名称</w:t>
            </w:r>
          </w:p>
        </w:tc>
        <w:tc>
          <w:tcPr>
            <w:tcW w:w="6095" w:type="dxa"/>
            <w:gridSpan w:val="3"/>
            <w:vAlign w:val="center"/>
          </w:tcPr>
          <w:p>
            <w:pPr>
              <w:pStyle w:val="12"/>
            </w:pPr>
            <w:r>
              <w:t>园林绿地维护费（2024）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529.95</w:t>
            </w:r>
          </w:p>
        </w:tc>
        <w:tc>
          <w:tcPr>
            <w:tcW w:w="2835" w:type="dxa"/>
            <w:vAlign w:val="center"/>
          </w:tcPr>
          <w:p>
            <w:pPr>
              <w:pStyle w:val="10"/>
            </w:pPr>
            <w:r>
              <w:t>其中：财政    资金</w:t>
            </w:r>
          </w:p>
        </w:tc>
        <w:tc>
          <w:tcPr>
            <w:tcW w:w="2551" w:type="dxa"/>
            <w:vAlign w:val="center"/>
          </w:tcPr>
          <w:p>
            <w:pPr>
              <w:pStyle w:val="12"/>
            </w:pPr>
            <w:r>
              <w:t>529.95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529.953299万元，对城区道路绿地及街旁游园进行日常养护管理，主要包括植物修剪、浇水、病虫害防治、设施维护等方面所需的水费、临时人员工资、农药化肥、苗木补植、工具费、园林机械更换、维修，车辆维修保养、园林设施小品的维修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317.97</w:t>
            </w:r>
          </w:p>
        </w:tc>
        <w:tc>
          <w:tcPr>
            <w:tcW w:w="2551" w:type="dxa"/>
            <w:vAlign w:val="center"/>
          </w:tcPr>
          <w:p>
            <w:pPr>
              <w:pStyle w:val="13"/>
            </w:pPr>
            <w:r>
              <w:t>476.96</w:t>
            </w:r>
          </w:p>
        </w:tc>
        <w:tc>
          <w:tcPr>
            <w:tcW w:w="3544" w:type="dxa"/>
            <w:gridSpan w:val="2"/>
            <w:vAlign w:val="center"/>
          </w:tcPr>
          <w:p>
            <w:pPr>
              <w:pStyle w:val="13"/>
            </w:pPr>
            <w:r>
              <w:t>529.95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1.通过维护园林绿地，达到绿地整洁，植物修剪合理，土壤墒情良好，无缺株断垄及大面积病虫害发生，生长健壮；园林小品等设施完好的目标。</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管护主街道数量</w:t>
            </w:r>
          </w:p>
        </w:tc>
        <w:tc>
          <w:tcPr>
            <w:tcW w:w="5386" w:type="dxa"/>
            <w:vAlign w:val="center"/>
          </w:tcPr>
          <w:p>
            <w:pPr>
              <w:pStyle w:val="12"/>
            </w:pPr>
            <w:r>
              <w:t>管护主街道数量</w:t>
            </w:r>
          </w:p>
        </w:tc>
        <w:tc>
          <w:tcPr>
            <w:tcW w:w="2268" w:type="dxa"/>
            <w:vAlign w:val="center"/>
          </w:tcPr>
          <w:p>
            <w:pPr>
              <w:pStyle w:val="12"/>
            </w:pPr>
            <w:r>
              <w:t>37条</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公共设施完好率</w:t>
            </w:r>
          </w:p>
        </w:tc>
        <w:tc>
          <w:tcPr>
            <w:tcW w:w="5386" w:type="dxa"/>
            <w:vAlign w:val="center"/>
          </w:tcPr>
          <w:p>
            <w:pPr>
              <w:pStyle w:val="12"/>
            </w:pPr>
            <w:r>
              <w:t>达到可安全使用状态的设施数量占所有公共设施的比率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垃圾及时清理率</w:t>
            </w:r>
          </w:p>
        </w:tc>
        <w:tc>
          <w:tcPr>
            <w:tcW w:w="5386" w:type="dxa"/>
            <w:vAlign w:val="center"/>
          </w:tcPr>
          <w:p>
            <w:pPr>
              <w:pStyle w:val="12"/>
            </w:pPr>
            <w:r>
              <w:t>绿地垃圾及时清理量占绿地内垃圾总量的比率</w:t>
            </w:r>
          </w:p>
        </w:tc>
        <w:tc>
          <w:tcPr>
            <w:tcW w:w="2268" w:type="dxa"/>
            <w:vAlign w:val="center"/>
          </w:tcPr>
          <w:p>
            <w:pPr>
              <w:pStyle w:val="12"/>
            </w:pPr>
            <w:r>
              <w:t>≥95%</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行道树乔木维护费</w:t>
            </w:r>
          </w:p>
        </w:tc>
        <w:tc>
          <w:tcPr>
            <w:tcW w:w="5386" w:type="dxa"/>
            <w:vAlign w:val="center"/>
          </w:tcPr>
          <w:p>
            <w:pPr>
              <w:pStyle w:val="12"/>
            </w:pPr>
            <w:r>
              <w:t>行道树乔木维护费（冠幅≧5m）</w:t>
            </w:r>
          </w:p>
        </w:tc>
        <w:tc>
          <w:tcPr>
            <w:tcW w:w="2268" w:type="dxa"/>
            <w:vAlign w:val="center"/>
          </w:tcPr>
          <w:p>
            <w:pPr>
              <w:pStyle w:val="12"/>
            </w:pPr>
            <w:r>
              <w:t>≤35元/株</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绿地内乔木维护费</w:t>
            </w:r>
          </w:p>
        </w:tc>
        <w:tc>
          <w:tcPr>
            <w:tcW w:w="5386" w:type="dxa"/>
            <w:vAlign w:val="center"/>
          </w:tcPr>
          <w:p>
            <w:pPr>
              <w:pStyle w:val="12"/>
            </w:pPr>
            <w:r>
              <w:t>绿地内乔木维护费（冠幅≧5m）</w:t>
            </w:r>
          </w:p>
        </w:tc>
        <w:tc>
          <w:tcPr>
            <w:tcW w:w="2268" w:type="dxa"/>
            <w:vAlign w:val="center"/>
          </w:tcPr>
          <w:p>
            <w:pPr>
              <w:pStyle w:val="12"/>
            </w:pPr>
            <w:r>
              <w:t>≤20元/株</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保证建成区绿地面积</w:t>
            </w:r>
          </w:p>
        </w:tc>
        <w:tc>
          <w:tcPr>
            <w:tcW w:w="5386" w:type="dxa"/>
            <w:vAlign w:val="center"/>
          </w:tcPr>
          <w:p>
            <w:pPr>
              <w:pStyle w:val="12"/>
            </w:pPr>
            <w:r>
              <w:t>保证建成区绿地面积，创造宜居环境</w:t>
            </w:r>
          </w:p>
        </w:tc>
        <w:tc>
          <w:tcPr>
            <w:tcW w:w="2268" w:type="dxa"/>
            <w:vAlign w:val="center"/>
          </w:tcPr>
          <w:p>
            <w:pPr>
              <w:pStyle w:val="12"/>
            </w:pPr>
            <w:r>
              <w:t>保证建成区绿地面积，创造宜居环境</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56、中转站运行服务费（2024）绩效目标表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13010925P000008104735</w:t>
            </w:r>
          </w:p>
        </w:tc>
        <w:tc>
          <w:tcPr>
            <w:tcW w:w="2835" w:type="dxa"/>
            <w:vAlign w:val="center"/>
          </w:tcPr>
          <w:p>
            <w:pPr>
              <w:pStyle w:val="10"/>
            </w:pPr>
            <w:r>
              <w:t>项目名称</w:t>
            </w:r>
          </w:p>
        </w:tc>
        <w:tc>
          <w:tcPr>
            <w:tcW w:w="6095" w:type="dxa"/>
            <w:gridSpan w:val="3"/>
            <w:vAlign w:val="center"/>
          </w:tcPr>
          <w:p>
            <w:pPr>
              <w:pStyle w:val="12"/>
            </w:pPr>
            <w:r>
              <w:t>中转站运行服务费（2024）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346.25</w:t>
            </w:r>
          </w:p>
        </w:tc>
        <w:tc>
          <w:tcPr>
            <w:tcW w:w="2835" w:type="dxa"/>
            <w:vAlign w:val="center"/>
          </w:tcPr>
          <w:p>
            <w:pPr>
              <w:pStyle w:val="10"/>
            </w:pPr>
            <w:r>
              <w:t>其中：财政    资金</w:t>
            </w:r>
          </w:p>
        </w:tc>
        <w:tc>
          <w:tcPr>
            <w:tcW w:w="2551" w:type="dxa"/>
            <w:vAlign w:val="center"/>
          </w:tcPr>
          <w:p>
            <w:pPr>
              <w:pStyle w:val="12"/>
            </w:pPr>
            <w:r>
              <w:t>346.25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资金预算总数346.2471万元，用于运行并管理藁城区贾市庄镇、梅花镇、常安镇、增村镇等十镇范围内的28座生活垃圾压缩中转站，向其支付服务费。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207.75</w:t>
            </w:r>
          </w:p>
        </w:tc>
        <w:tc>
          <w:tcPr>
            <w:tcW w:w="2551" w:type="dxa"/>
            <w:vAlign w:val="center"/>
          </w:tcPr>
          <w:p>
            <w:pPr>
              <w:pStyle w:val="13"/>
            </w:pPr>
            <w:r>
              <w:t>311.62</w:t>
            </w:r>
          </w:p>
        </w:tc>
        <w:tc>
          <w:tcPr>
            <w:tcW w:w="3544" w:type="dxa"/>
            <w:gridSpan w:val="2"/>
            <w:vAlign w:val="center"/>
          </w:tcPr>
          <w:p>
            <w:pPr>
              <w:pStyle w:val="13"/>
            </w:pPr>
            <w:r>
              <w:t>346.24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1.通过完成维护中转站运行工作，实现垃圾清运日产日清，清运车辆车容整洁的目标。</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需维护的中转站数量</w:t>
            </w:r>
          </w:p>
        </w:tc>
        <w:tc>
          <w:tcPr>
            <w:tcW w:w="5386" w:type="dxa"/>
            <w:vAlign w:val="center"/>
          </w:tcPr>
          <w:p>
            <w:pPr>
              <w:pStyle w:val="12"/>
            </w:pPr>
            <w:r>
              <w:t>需维护的中转站数量</w:t>
            </w:r>
          </w:p>
        </w:tc>
        <w:tc>
          <w:tcPr>
            <w:tcW w:w="2268" w:type="dxa"/>
            <w:vAlign w:val="center"/>
          </w:tcPr>
          <w:p>
            <w:pPr>
              <w:pStyle w:val="12"/>
            </w:pPr>
            <w:r>
              <w:t>28座</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垃圾中转机械化实施率</w:t>
            </w:r>
          </w:p>
        </w:tc>
        <w:tc>
          <w:tcPr>
            <w:tcW w:w="5386" w:type="dxa"/>
            <w:vAlign w:val="center"/>
          </w:tcPr>
          <w:p>
            <w:pPr>
              <w:pStyle w:val="12"/>
            </w:pPr>
            <w:r>
              <w:t>垃圾机械中转数量占垃圾中转总量的比率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垃圾转运日产日清完成率</w:t>
            </w:r>
          </w:p>
        </w:tc>
        <w:tc>
          <w:tcPr>
            <w:tcW w:w="5386" w:type="dxa"/>
            <w:vAlign w:val="center"/>
          </w:tcPr>
          <w:p>
            <w:pPr>
              <w:pStyle w:val="12"/>
            </w:pPr>
            <w:r>
              <w:t>垃圾转运日清量占日产量的比率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28座转运站年维护费</w:t>
            </w:r>
          </w:p>
        </w:tc>
        <w:tc>
          <w:tcPr>
            <w:tcW w:w="5386" w:type="dxa"/>
            <w:vAlign w:val="center"/>
          </w:tcPr>
          <w:p>
            <w:pPr>
              <w:pStyle w:val="12"/>
            </w:pPr>
            <w:r>
              <w:t>28座转运站年维护费</w:t>
            </w:r>
          </w:p>
        </w:tc>
        <w:tc>
          <w:tcPr>
            <w:tcW w:w="2268" w:type="dxa"/>
            <w:vAlign w:val="center"/>
          </w:tcPr>
          <w:p>
            <w:pPr>
              <w:pStyle w:val="12"/>
            </w:pPr>
            <w:r>
              <w:t>≤1390万元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垃圾收容设施密闭化</w:t>
            </w:r>
          </w:p>
        </w:tc>
        <w:tc>
          <w:tcPr>
            <w:tcW w:w="5386" w:type="dxa"/>
            <w:vAlign w:val="center"/>
          </w:tcPr>
          <w:p>
            <w:pPr>
              <w:pStyle w:val="12"/>
            </w:pPr>
            <w:r>
              <w:t>垃圾收容设施密闭，减少异味散发，提升市容市貌。</w:t>
            </w:r>
          </w:p>
        </w:tc>
        <w:tc>
          <w:tcPr>
            <w:tcW w:w="2268" w:type="dxa"/>
            <w:vAlign w:val="center"/>
          </w:tcPr>
          <w:p>
            <w:pPr>
              <w:pStyle w:val="12"/>
            </w:pPr>
            <w:r>
              <w:t>垃圾收容设施密闭，减少异味散发，提升市容市貌。</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57、专项债券付息支出绩效目标表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13010925P002992100023</w:t>
            </w:r>
          </w:p>
        </w:tc>
        <w:tc>
          <w:tcPr>
            <w:tcW w:w="2835" w:type="dxa"/>
            <w:vAlign w:val="center"/>
          </w:tcPr>
          <w:p>
            <w:pPr>
              <w:pStyle w:val="10"/>
            </w:pPr>
            <w:r>
              <w:t>项目名称</w:t>
            </w:r>
          </w:p>
        </w:tc>
        <w:tc>
          <w:tcPr>
            <w:tcW w:w="6095" w:type="dxa"/>
            <w:gridSpan w:val="3"/>
            <w:vAlign w:val="center"/>
          </w:tcPr>
          <w:p>
            <w:pPr>
              <w:pStyle w:val="12"/>
            </w:pPr>
            <w:r>
              <w:t>专项债券付息支出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2321.00</w:t>
            </w:r>
          </w:p>
        </w:tc>
        <w:tc>
          <w:tcPr>
            <w:tcW w:w="2835" w:type="dxa"/>
            <w:vAlign w:val="center"/>
          </w:tcPr>
          <w:p>
            <w:pPr>
              <w:pStyle w:val="10"/>
            </w:pPr>
            <w:r>
              <w:t>其中：财政    资金</w:t>
            </w:r>
          </w:p>
        </w:tc>
        <w:tc>
          <w:tcPr>
            <w:tcW w:w="2551" w:type="dxa"/>
            <w:vAlign w:val="center"/>
          </w:tcPr>
          <w:p>
            <w:pPr>
              <w:pStyle w:val="12"/>
            </w:pPr>
            <w:r>
              <w:t>2321.00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用于按时偿还利息，维护地方政府信誉，推动后期债券申请工作。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1392.60</w:t>
            </w:r>
          </w:p>
        </w:tc>
        <w:tc>
          <w:tcPr>
            <w:tcW w:w="2551" w:type="dxa"/>
            <w:vAlign w:val="center"/>
          </w:tcPr>
          <w:p>
            <w:pPr>
              <w:pStyle w:val="13"/>
            </w:pPr>
            <w:r>
              <w:t>2088.90</w:t>
            </w:r>
          </w:p>
        </w:tc>
        <w:tc>
          <w:tcPr>
            <w:tcW w:w="3544" w:type="dxa"/>
            <w:gridSpan w:val="2"/>
            <w:vAlign w:val="center"/>
          </w:tcPr>
          <w:p>
            <w:pPr>
              <w:pStyle w:val="13"/>
            </w:pPr>
            <w:r>
              <w:t>2321.00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1.通过按时足额偿还到期利息，维护地方政府信誉，推动后期债券申请工作。</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偿还批次</w:t>
            </w:r>
          </w:p>
        </w:tc>
        <w:tc>
          <w:tcPr>
            <w:tcW w:w="5386" w:type="dxa"/>
            <w:vAlign w:val="center"/>
          </w:tcPr>
          <w:p>
            <w:pPr>
              <w:pStyle w:val="12"/>
            </w:pPr>
            <w:r>
              <w:t>偿还专项债券到期本金批次的数量</w:t>
            </w:r>
          </w:p>
        </w:tc>
        <w:tc>
          <w:tcPr>
            <w:tcW w:w="2268" w:type="dxa"/>
            <w:vAlign w:val="center"/>
          </w:tcPr>
          <w:p>
            <w:pPr>
              <w:pStyle w:val="12"/>
            </w:pPr>
            <w:r>
              <w:t>所有批次</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偿还金额</w:t>
            </w:r>
          </w:p>
        </w:tc>
        <w:tc>
          <w:tcPr>
            <w:tcW w:w="5386" w:type="dxa"/>
            <w:vAlign w:val="center"/>
          </w:tcPr>
          <w:p>
            <w:pPr>
              <w:pStyle w:val="12"/>
            </w:pPr>
            <w:r>
              <w:t>实际偿还占应偿还金额的比例</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偿还时间</w:t>
            </w:r>
          </w:p>
        </w:tc>
        <w:tc>
          <w:tcPr>
            <w:tcW w:w="5386" w:type="dxa"/>
            <w:vAlign w:val="center"/>
          </w:tcPr>
          <w:p>
            <w:pPr>
              <w:pStyle w:val="12"/>
            </w:pPr>
            <w:r>
              <w:t>按约定时间及时偿还</w:t>
            </w:r>
          </w:p>
        </w:tc>
        <w:tc>
          <w:tcPr>
            <w:tcW w:w="2268" w:type="dxa"/>
            <w:vAlign w:val="center"/>
          </w:tcPr>
          <w:p>
            <w:pPr>
              <w:pStyle w:val="12"/>
            </w:pPr>
            <w:r>
              <w:t>及时偿还</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专项债券付息支出</w:t>
            </w:r>
          </w:p>
        </w:tc>
        <w:tc>
          <w:tcPr>
            <w:tcW w:w="5386" w:type="dxa"/>
            <w:vAlign w:val="center"/>
          </w:tcPr>
          <w:p>
            <w:pPr>
              <w:pStyle w:val="12"/>
            </w:pPr>
            <w:r>
              <w:t>专项债券付息支出</w:t>
            </w:r>
          </w:p>
        </w:tc>
        <w:tc>
          <w:tcPr>
            <w:tcW w:w="2268" w:type="dxa"/>
            <w:vAlign w:val="center"/>
          </w:tcPr>
          <w:p>
            <w:pPr>
              <w:pStyle w:val="12"/>
            </w:pPr>
            <w:r>
              <w:t>2321万元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按协议履行还款</w:t>
            </w:r>
          </w:p>
        </w:tc>
        <w:tc>
          <w:tcPr>
            <w:tcW w:w="5386" w:type="dxa"/>
            <w:vAlign w:val="center"/>
          </w:tcPr>
          <w:p>
            <w:pPr>
              <w:pStyle w:val="12"/>
            </w:pPr>
            <w:r>
              <w:t>按协议履行还款，推动后期债券申请工作，更好发挥债券作用</w:t>
            </w:r>
          </w:p>
        </w:tc>
        <w:tc>
          <w:tcPr>
            <w:tcW w:w="2268" w:type="dxa"/>
            <w:vAlign w:val="center"/>
          </w:tcPr>
          <w:p>
            <w:pPr>
              <w:pStyle w:val="12"/>
            </w:pPr>
            <w:r>
              <w:t>债券发行工作正常开展</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上级部门满意度</w:t>
            </w:r>
          </w:p>
        </w:tc>
        <w:tc>
          <w:tcPr>
            <w:tcW w:w="5386" w:type="dxa"/>
            <w:vAlign w:val="center"/>
          </w:tcPr>
          <w:p>
            <w:pPr>
              <w:pStyle w:val="12"/>
            </w:pPr>
            <w:r>
              <w:t>上级部门对还款情况的满意度</w:t>
            </w:r>
          </w:p>
        </w:tc>
        <w:tc>
          <w:tcPr>
            <w:tcW w:w="2268" w:type="dxa"/>
            <w:vAlign w:val="center"/>
          </w:tcPr>
          <w:p>
            <w:pPr>
              <w:pStyle w:val="12"/>
            </w:pPr>
            <w:r>
              <w:t>按上级要求偿还</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58、藁城区城区防涝排水设施建设工程本级配套费绩效目标表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13010925P00000810500G</w:t>
            </w:r>
          </w:p>
        </w:tc>
        <w:tc>
          <w:tcPr>
            <w:tcW w:w="2835" w:type="dxa"/>
            <w:vAlign w:val="center"/>
          </w:tcPr>
          <w:p>
            <w:pPr>
              <w:pStyle w:val="10"/>
            </w:pPr>
            <w:r>
              <w:t>项目名称</w:t>
            </w:r>
          </w:p>
        </w:tc>
        <w:tc>
          <w:tcPr>
            <w:tcW w:w="6095" w:type="dxa"/>
            <w:gridSpan w:val="3"/>
            <w:vAlign w:val="center"/>
          </w:tcPr>
          <w:p>
            <w:pPr>
              <w:pStyle w:val="12"/>
            </w:pPr>
            <w:r>
              <w:t>藁城区城区防涝排水设施建设工程本级配套费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1244.15</w:t>
            </w:r>
          </w:p>
        </w:tc>
        <w:tc>
          <w:tcPr>
            <w:tcW w:w="2835" w:type="dxa"/>
            <w:vAlign w:val="center"/>
          </w:tcPr>
          <w:p>
            <w:pPr>
              <w:pStyle w:val="10"/>
            </w:pPr>
            <w:r>
              <w:t>其中：财政    资金</w:t>
            </w:r>
          </w:p>
        </w:tc>
        <w:tc>
          <w:tcPr>
            <w:tcW w:w="2551" w:type="dxa"/>
            <w:vAlign w:val="center"/>
          </w:tcPr>
          <w:p>
            <w:pPr>
              <w:pStyle w:val="12"/>
            </w:pPr>
            <w:r>
              <w:t>1244.15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主要用于对藁城区城区内排水管网进行全面排查及清淤，并应对管网破损部位进行修复，同时结合管网建设规划及实际情况，布置新的排水管网，用以提升城区内整体防洪排涝水平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746.49</w:t>
            </w:r>
          </w:p>
        </w:tc>
        <w:tc>
          <w:tcPr>
            <w:tcW w:w="2551" w:type="dxa"/>
            <w:vAlign w:val="center"/>
          </w:tcPr>
          <w:p>
            <w:pPr>
              <w:pStyle w:val="13"/>
            </w:pPr>
            <w:r>
              <w:t>1119.74</w:t>
            </w:r>
          </w:p>
        </w:tc>
        <w:tc>
          <w:tcPr>
            <w:tcW w:w="3544" w:type="dxa"/>
            <w:gridSpan w:val="2"/>
            <w:vAlign w:val="center"/>
          </w:tcPr>
          <w:p>
            <w:pPr>
              <w:pStyle w:val="13"/>
            </w:pPr>
            <w:r>
              <w:t>1244.15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城区排水管网整治长度</w:t>
            </w:r>
          </w:p>
        </w:tc>
        <w:tc>
          <w:tcPr>
            <w:tcW w:w="5386" w:type="dxa"/>
            <w:vAlign w:val="center"/>
          </w:tcPr>
          <w:p>
            <w:pPr>
              <w:pStyle w:val="12"/>
            </w:pPr>
            <w:r>
              <w:t>工程涉及城区排水管网长度</w:t>
            </w:r>
          </w:p>
        </w:tc>
        <w:tc>
          <w:tcPr>
            <w:tcW w:w="2268" w:type="dxa"/>
            <w:vAlign w:val="center"/>
          </w:tcPr>
          <w:p>
            <w:pPr>
              <w:pStyle w:val="12"/>
            </w:pPr>
            <w:r>
              <w:t>97.1千米</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新建排水管网长度</w:t>
            </w:r>
          </w:p>
        </w:tc>
        <w:tc>
          <w:tcPr>
            <w:tcW w:w="5386" w:type="dxa"/>
            <w:vAlign w:val="center"/>
          </w:tcPr>
          <w:p>
            <w:pPr>
              <w:pStyle w:val="12"/>
            </w:pPr>
            <w:r>
              <w:t>新建排水管网长度</w:t>
            </w:r>
          </w:p>
        </w:tc>
        <w:tc>
          <w:tcPr>
            <w:tcW w:w="2268" w:type="dxa"/>
            <w:vAlign w:val="center"/>
          </w:tcPr>
          <w:p>
            <w:pPr>
              <w:pStyle w:val="12"/>
            </w:pPr>
            <w:r>
              <w:t>5.2千米</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本级配套费金额</w:t>
            </w:r>
          </w:p>
        </w:tc>
        <w:tc>
          <w:tcPr>
            <w:tcW w:w="5386" w:type="dxa"/>
            <w:vAlign w:val="center"/>
          </w:tcPr>
          <w:p>
            <w:pPr>
              <w:pStyle w:val="12"/>
            </w:pPr>
            <w:r>
              <w:t>项目总投资按比例本级配套费</w:t>
            </w:r>
          </w:p>
        </w:tc>
        <w:tc>
          <w:tcPr>
            <w:tcW w:w="2268" w:type="dxa"/>
            <w:vAlign w:val="center"/>
          </w:tcPr>
          <w:p>
            <w:pPr>
              <w:pStyle w:val="12"/>
            </w:pPr>
            <w:r>
              <w:t>≤1244.15万元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完善城区防汛排涝体系</w:t>
            </w:r>
          </w:p>
        </w:tc>
        <w:tc>
          <w:tcPr>
            <w:tcW w:w="5386" w:type="dxa"/>
            <w:vAlign w:val="center"/>
          </w:tcPr>
          <w:p>
            <w:pPr>
              <w:pStyle w:val="12"/>
            </w:pPr>
            <w:r>
              <w:t>完善城区防汛排涝体系、提升城区防汛排涝能力</w:t>
            </w:r>
          </w:p>
        </w:tc>
        <w:tc>
          <w:tcPr>
            <w:tcW w:w="2268" w:type="dxa"/>
            <w:vAlign w:val="center"/>
          </w:tcPr>
          <w:p>
            <w:pPr>
              <w:pStyle w:val="12"/>
            </w:pPr>
            <w:r>
              <w:t>完善城区防汛排涝体系、提升城区防汛排涝能力</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59、藁城区公共消火栓及阀井维修维护和公共消防用水费用绩效目标表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13010925P00000810417C</w:t>
            </w:r>
          </w:p>
        </w:tc>
        <w:tc>
          <w:tcPr>
            <w:tcW w:w="2835" w:type="dxa"/>
            <w:vAlign w:val="center"/>
          </w:tcPr>
          <w:p>
            <w:pPr>
              <w:pStyle w:val="10"/>
            </w:pPr>
            <w:r>
              <w:t>项目名称</w:t>
            </w:r>
          </w:p>
        </w:tc>
        <w:tc>
          <w:tcPr>
            <w:tcW w:w="6095" w:type="dxa"/>
            <w:gridSpan w:val="3"/>
            <w:vAlign w:val="center"/>
          </w:tcPr>
          <w:p>
            <w:pPr>
              <w:pStyle w:val="12"/>
            </w:pPr>
            <w:r>
              <w:t>藁城区公共消火栓及阀井维修维护和公共消防用水费用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预算资金总计10万元，用于维护公共消火栓及阀井和支付公共消防用水费用。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1.通过维护公共消火栓及阀井和支付公共消防用水费用，加强住宅小区消防安全，全力应对火灾威胁，保障人民群众生命财产安全。</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需维护的公共消火栓数量</w:t>
            </w:r>
          </w:p>
        </w:tc>
        <w:tc>
          <w:tcPr>
            <w:tcW w:w="5386" w:type="dxa"/>
            <w:vAlign w:val="center"/>
          </w:tcPr>
          <w:p>
            <w:pPr>
              <w:pStyle w:val="12"/>
            </w:pPr>
            <w:r>
              <w:t>排查中发现的需维护的公共消火栓数量</w:t>
            </w:r>
          </w:p>
        </w:tc>
        <w:tc>
          <w:tcPr>
            <w:tcW w:w="2268" w:type="dxa"/>
            <w:vAlign w:val="center"/>
          </w:tcPr>
          <w:p>
            <w:pPr>
              <w:pStyle w:val="12"/>
            </w:pPr>
            <w:r>
              <w:t>240处</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每年公共消防用水数量</w:t>
            </w:r>
          </w:p>
        </w:tc>
        <w:tc>
          <w:tcPr>
            <w:tcW w:w="5386" w:type="dxa"/>
            <w:vAlign w:val="center"/>
          </w:tcPr>
          <w:p>
            <w:pPr>
              <w:pStyle w:val="12"/>
            </w:pPr>
            <w:r>
              <w:t>测算的每年公共消防用水数量</w:t>
            </w:r>
          </w:p>
        </w:tc>
        <w:tc>
          <w:tcPr>
            <w:tcW w:w="2268" w:type="dxa"/>
            <w:vAlign w:val="center"/>
          </w:tcPr>
          <w:p>
            <w:pPr>
              <w:pStyle w:val="12"/>
            </w:pPr>
            <w:r>
              <w:t>6吨</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w:t>
            </w:r>
          </w:p>
        </w:tc>
        <w:tc>
          <w:tcPr>
            <w:tcW w:w="5386" w:type="dxa"/>
            <w:vAlign w:val="center"/>
          </w:tcPr>
          <w:p>
            <w:pPr>
              <w:pStyle w:val="12"/>
            </w:pPr>
            <w:r>
              <w:t>资金到位后及时支付维修消火栓、消防用水费用</w:t>
            </w:r>
          </w:p>
        </w:tc>
        <w:tc>
          <w:tcPr>
            <w:tcW w:w="2268" w:type="dxa"/>
            <w:vAlign w:val="center"/>
          </w:tcPr>
          <w:p>
            <w:pPr>
              <w:pStyle w:val="12"/>
            </w:pPr>
            <w:r>
              <w:t>≤60天</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公共消火栓维护费用</w:t>
            </w:r>
          </w:p>
        </w:tc>
        <w:tc>
          <w:tcPr>
            <w:tcW w:w="5386" w:type="dxa"/>
            <w:vAlign w:val="center"/>
          </w:tcPr>
          <w:p>
            <w:pPr>
              <w:pStyle w:val="12"/>
            </w:pPr>
            <w:r>
              <w:t>公共消火栓维护费用</w:t>
            </w:r>
          </w:p>
        </w:tc>
        <w:tc>
          <w:tcPr>
            <w:tcW w:w="2268" w:type="dxa"/>
            <w:vAlign w:val="center"/>
          </w:tcPr>
          <w:p>
            <w:pPr>
              <w:pStyle w:val="12"/>
            </w:pPr>
            <w:r>
              <w:t>≤20万元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每年公共消防用水金额</w:t>
            </w:r>
          </w:p>
        </w:tc>
        <w:tc>
          <w:tcPr>
            <w:tcW w:w="5386" w:type="dxa"/>
            <w:vAlign w:val="center"/>
          </w:tcPr>
          <w:p>
            <w:pPr>
              <w:pStyle w:val="12"/>
            </w:pPr>
            <w:r>
              <w:t>每年公共消防用水金额</w:t>
            </w:r>
          </w:p>
        </w:tc>
        <w:tc>
          <w:tcPr>
            <w:tcW w:w="2268" w:type="dxa"/>
            <w:vAlign w:val="center"/>
          </w:tcPr>
          <w:p>
            <w:pPr>
              <w:pStyle w:val="12"/>
            </w:pPr>
            <w:r>
              <w:t>≤42万元</w:t>
            </w:r>
          </w:p>
        </w:tc>
        <w:tc>
          <w:tcPr>
            <w:tcW w:w="1276" w:type="dxa"/>
            <w:vAlign w:val="center"/>
          </w:tcPr>
          <w:p>
            <w:pPr>
              <w:pStyle w:val="12"/>
            </w:pPr>
            <w:r>
              <w:t>预算文本</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加强住宅小区消防安全保障人民群众生命财产安全</w:t>
            </w:r>
          </w:p>
        </w:tc>
        <w:tc>
          <w:tcPr>
            <w:tcW w:w="5386" w:type="dxa"/>
            <w:vAlign w:val="center"/>
          </w:tcPr>
          <w:p>
            <w:pPr>
              <w:pStyle w:val="12"/>
            </w:pPr>
            <w:r>
              <w:t>加强住宅小区消防安全，全力应对火灾威胁，保障人民群众生命财产安全</w:t>
            </w:r>
          </w:p>
        </w:tc>
        <w:tc>
          <w:tcPr>
            <w:tcW w:w="2268" w:type="dxa"/>
            <w:vAlign w:val="center"/>
          </w:tcPr>
          <w:p>
            <w:pPr>
              <w:pStyle w:val="12"/>
            </w:pPr>
            <w:r>
              <w:t>加强住宅小区消防安全，保障人民群众生命财产安全</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调查中满意和较满意的受益对象数量占全部调查人数的比率</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60、藁城区液化气居民用户加装物联网报警及切断装置项目区级配套资金绩效目标表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13010925P000008104593</w:t>
            </w:r>
          </w:p>
        </w:tc>
        <w:tc>
          <w:tcPr>
            <w:tcW w:w="2835" w:type="dxa"/>
            <w:vAlign w:val="center"/>
          </w:tcPr>
          <w:p>
            <w:pPr>
              <w:pStyle w:val="10"/>
            </w:pPr>
            <w:r>
              <w:t>项目名称</w:t>
            </w:r>
          </w:p>
        </w:tc>
        <w:tc>
          <w:tcPr>
            <w:tcW w:w="6095" w:type="dxa"/>
            <w:gridSpan w:val="3"/>
            <w:vAlign w:val="center"/>
          </w:tcPr>
          <w:p>
            <w:pPr>
              <w:pStyle w:val="12"/>
            </w:pPr>
            <w:r>
              <w:t>藁城区液化气居民用户加装物联网报警及切断装置项目区级配套资金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4.89</w:t>
            </w:r>
          </w:p>
        </w:tc>
        <w:tc>
          <w:tcPr>
            <w:tcW w:w="2835" w:type="dxa"/>
            <w:vAlign w:val="center"/>
          </w:tcPr>
          <w:p>
            <w:pPr>
              <w:pStyle w:val="10"/>
            </w:pPr>
            <w:r>
              <w:t>其中：财政    资金</w:t>
            </w:r>
          </w:p>
        </w:tc>
        <w:tc>
          <w:tcPr>
            <w:tcW w:w="2551" w:type="dxa"/>
            <w:vAlign w:val="center"/>
          </w:tcPr>
          <w:p>
            <w:pPr>
              <w:pStyle w:val="12"/>
            </w:pPr>
            <w:r>
              <w:t>4.89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用于为全区液化气居民用户加装物联网报警及切断装置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2.93</w:t>
            </w:r>
          </w:p>
        </w:tc>
        <w:tc>
          <w:tcPr>
            <w:tcW w:w="2551" w:type="dxa"/>
            <w:vAlign w:val="center"/>
          </w:tcPr>
          <w:p>
            <w:pPr>
              <w:pStyle w:val="13"/>
            </w:pPr>
            <w:r>
              <w:t>4.40</w:t>
            </w:r>
          </w:p>
        </w:tc>
        <w:tc>
          <w:tcPr>
            <w:tcW w:w="3544" w:type="dxa"/>
            <w:gridSpan w:val="2"/>
            <w:vAlign w:val="center"/>
          </w:tcPr>
          <w:p>
            <w:pPr>
              <w:pStyle w:val="13"/>
            </w:pPr>
            <w:r>
              <w:t>4.89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1.为全区液化气居民用户加装物联网报警及切断装置，弥补液化气居民用户燃气泄漏发现不及时的短板，提高液化气泄漏及时预警和处置能力，遏制户内燃气事故发生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液化气居民户数</w:t>
            </w:r>
          </w:p>
        </w:tc>
        <w:tc>
          <w:tcPr>
            <w:tcW w:w="5386" w:type="dxa"/>
            <w:vAlign w:val="center"/>
          </w:tcPr>
          <w:p>
            <w:pPr>
              <w:pStyle w:val="12"/>
            </w:pPr>
            <w:r>
              <w:t>加装液化气物联网报警及切断装置的居民户数</w:t>
            </w:r>
          </w:p>
        </w:tc>
        <w:tc>
          <w:tcPr>
            <w:tcW w:w="2268" w:type="dxa"/>
            <w:vAlign w:val="center"/>
          </w:tcPr>
          <w:p>
            <w:pPr>
              <w:pStyle w:val="12"/>
            </w:pPr>
            <w:r>
              <w:t>4836户</w:t>
            </w:r>
          </w:p>
        </w:tc>
        <w:tc>
          <w:tcPr>
            <w:tcW w:w="1276" w:type="dxa"/>
            <w:vAlign w:val="center"/>
          </w:tcPr>
          <w:p>
            <w:pPr>
              <w:pStyle w:val="12"/>
            </w:pPr>
            <w:r>
              <w:t>液化气居民用户台账</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入户安装率</w:t>
            </w:r>
          </w:p>
        </w:tc>
        <w:tc>
          <w:tcPr>
            <w:tcW w:w="5386" w:type="dxa"/>
            <w:vAlign w:val="center"/>
          </w:tcPr>
          <w:p>
            <w:pPr>
              <w:pStyle w:val="12"/>
            </w:pPr>
            <w:r>
              <w:t>入户安装户数占液化气居民总户数的比重</w:t>
            </w:r>
          </w:p>
        </w:tc>
        <w:tc>
          <w:tcPr>
            <w:tcW w:w="2268" w:type="dxa"/>
            <w:vAlign w:val="center"/>
          </w:tcPr>
          <w:p>
            <w:pPr>
              <w:pStyle w:val="12"/>
            </w:pPr>
            <w:r>
              <w:t>100%</w:t>
            </w:r>
          </w:p>
        </w:tc>
        <w:tc>
          <w:tcPr>
            <w:tcW w:w="1276" w:type="dxa"/>
            <w:vAlign w:val="center"/>
          </w:tcPr>
          <w:p>
            <w:pPr>
              <w:pStyle w:val="12"/>
            </w:pPr>
            <w:r>
              <w:t>安装台账名单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支付时间</w:t>
            </w:r>
          </w:p>
        </w:tc>
        <w:tc>
          <w:tcPr>
            <w:tcW w:w="5386" w:type="dxa"/>
            <w:vAlign w:val="center"/>
          </w:tcPr>
          <w:p>
            <w:pPr>
              <w:pStyle w:val="12"/>
            </w:pPr>
            <w:r>
              <w:t>支付时间</w:t>
            </w:r>
          </w:p>
        </w:tc>
        <w:tc>
          <w:tcPr>
            <w:tcW w:w="2268" w:type="dxa"/>
            <w:vAlign w:val="center"/>
          </w:tcPr>
          <w:p>
            <w:pPr>
              <w:pStyle w:val="12"/>
            </w:pPr>
            <w:r>
              <w:t>按计划支付</w:t>
            </w:r>
          </w:p>
        </w:tc>
        <w:tc>
          <w:tcPr>
            <w:tcW w:w="1276" w:type="dxa"/>
            <w:vAlign w:val="center"/>
          </w:tcPr>
          <w:p>
            <w:pPr>
              <w:pStyle w:val="12"/>
            </w:pPr>
            <w:r>
              <w:t>国库集中支付凭证</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加装资金总额</w:t>
            </w:r>
          </w:p>
        </w:tc>
        <w:tc>
          <w:tcPr>
            <w:tcW w:w="5386" w:type="dxa"/>
            <w:vAlign w:val="center"/>
          </w:tcPr>
          <w:p>
            <w:pPr>
              <w:pStyle w:val="12"/>
            </w:pPr>
            <w:r>
              <w:t>为所有液化气居民用户加装液化气物联网报警及切断装置</w:t>
            </w:r>
          </w:p>
        </w:tc>
        <w:tc>
          <w:tcPr>
            <w:tcW w:w="2268" w:type="dxa"/>
            <w:vAlign w:val="center"/>
          </w:tcPr>
          <w:p>
            <w:pPr>
              <w:pStyle w:val="12"/>
            </w:pPr>
            <w:r>
              <w:t>≤4.89万元</w:t>
            </w:r>
          </w:p>
        </w:tc>
        <w:tc>
          <w:tcPr>
            <w:tcW w:w="1276" w:type="dxa"/>
            <w:vAlign w:val="center"/>
          </w:tcPr>
          <w:p>
            <w:pPr>
              <w:pStyle w:val="12"/>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提高液化气泄漏及时预警和处置能力</w:t>
            </w:r>
          </w:p>
        </w:tc>
        <w:tc>
          <w:tcPr>
            <w:tcW w:w="5386" w:type="dxa"/>
            <w:vAlign w:val="center"/>
          </w:tcPr>
          <w:p>
            <w:pPr>
              <w:pStyle w:val="12"/>
            </w:pPr>
            <w:r>
              <w:t>通过加装液化气物联网报警及切断装置，可弥补液化气居民用户燃气泄漏发现不及时的短板，提高液化气泄漏及时预警和处置能力，遏制户内燃气事故发生</w:t>
            </w:r>
          </w:p>
        </w:tc>
        <w:tc>
          <w:tcPr>
            <w:tcW w:w="2268" w:type="dxa"/>
            <w:vAlign w:val="center"/>
          </w:tcPr>
          <w:p>
            <w:pPr>
              <w:pStyle w:val="12"/>
            </w:pPr>
            <w:r>
              <w:t>减少事故发生</w:t>
            </w:r>
          </w:p>
        </w:tc>
        <w:tc>
          <w:tcPr>
            <w:tcW w:w="1276" w:type="dxa"/>
            <w:vAlign w:val="center"/>
          </w:tcPr>
          <w:p>
            <w:pPr>
              <w:pStyle w:val="12"/>
            </w:pPr>
            <w:r>
              <w:t>石家庄市液化气居民用户加装物联网报警及切断装置项目实施方案</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液化气居民用户满意度</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61、藁城区重点区域锅炉深度治理项目绩效目标表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13010925P00000810440N</w:t>
            </w:r>
          </w:p>
        </w:tc>
        <w:tc>
          <w:tcPr>
            <w:tcW w:w="2835" w:type="dxa"/>
            <w:vAlign w:val="center"/>
          </w:tcPr>
          <w:p>
            <w:pPr>
              <w:pStyle w:val="10"/>
            </w:pPr>
            <w:r>
              <w:t>项目名称</w:t>
            </w:r>
          </w:p>
        </w:tc>
        <w:tc>
          <w:tcPr>
            <w:tcW w:w="6095" w:type="dxa"/>
            <w:gridSpan w:val="3"/>
            <w:vAlign w:val="center"/>
          </w:tcPr>
          <w:p>
            <w:pPr>
              <w:pStyle w:val="12"/>
            </w:pPr>
            <w:r>
              <w:t>藁城区重点区域锅炉深度治理项目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预算资金总计50万元，用于对我区18台燃气锅炉进行深度治理，通过加装在供暖锅炉末端的脱硝设备进行深度治理，使其达到排放标准。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w:t>
            </w:r>
          </w:p>
        </w:tc>
        <w:tc>
          <w:tcPr>
            <w:tcW w:w="2551" w:type="dxa"/>
            <w:vAlign w:val="center"/>
          </w:tcPr>
          <w:p>
            <w:pPr>
              <w:pStyle w:val="13"/>
            </w:pPr>
            <w:r>
              <w:t>45.00</w:t>
            </w:r>
          </w:p>
        </w:tc>
        <w:tc>
          <w:tcPr>
            <w:tcW w:w="3544" w:type="dxa"/>
            <w:gridSpan w:val="2"/>
            <w:vAlign w:val="center"/>
          </w:tcPr>
          <w:p>
            <w:pPr>
              <w:pStyle w:val="13"/>
            </w:pPr>
            <w:r>
              <w:t>50.00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1.通过对18台燃气锅炉深度治理，使氮氧化物浓度稳定降至10毫克/立方米以下，减排66%以上。</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进行深度治理的锅炉数量</w:t>
            </w:r>
          </w:p>
        </w:tc>
        <w:tc>
          <w:tcPr>
            <w:tcW w:w="5386" w:type="dxa"/>
            <w:vAlign w:val="center"/>
          </w:tcPr>
          <w:p>
            <w:pPr>
              <w:pStyle w:val="12"/>
            </w:pPr>
            <w:r>
              <w:t>进行深度治理的锅炉数量</w:t>
            </w:r>
          </w:p>
        </w:tc>
        <w:tc>
          <w:tcPr>
            <w:tcW w:w="2268" w:type="dxa"/>
            <w:vAlign w:val="center"/>
          </w:tcPr>
          <w:p>
            <w:pPr>
              <w:pStyle w:val="12"/>
            </w:pPr>
            <w:r>
              <w:t>18台</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氮氧化物减排率</w:t>
            </w:r>
          </w:p>
        </w:tc>
        <w:tc>
          <w:tcPr>
            <w:tcW w:w="5386" w:type="dxa"/>
            <w:vAlign w:val="center"/>
          </w:tcPr>
          <w:p>
            <w:pPr>
              <w:pStyle w:val="12"/>
            </w:pPr>
            <w:r>
              <w:t>氮氧化物减排率</w:t>
            </w:r>
          </w:p>
        </w:tc>
        <w:tc>
          <w:tcPr>
            <w:tcW w:w="2268" w:type="dxa"/>
            <w:vAlign w:val="center"/>
          </w:tcPr>
          <w:p>
            <w:pPr>
              <w:pStyle w:val="12"/>
            </w:pPr>
            <w:r>
              <w:t>≥66%</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≤50万元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完成深度治理，降低污染物排放，达到排放标准</w:t>
            </w:r>
          </w:p>
        </w:tc>
        <w:tc>
          <w:tcPr>
            <w:tcW w:w="5386" w:type="dxa"/>
            <w:vAlign w:val="center"/>
          </w:tcPr>
          <w:p>
            <w:pPr>
              <w:pStyle w:val="12"/>
            </w:pPr>
            <w:r>
              <w:t>完成深度治理，降低污染物排放，达到氮氧化物浓度稳定降至10毫克/立方米以下的排放标准</w:t>
            </w:r>
          </w:p>
        </w:tc>
        <w:tc>
          <w:tcPr>
            <w:tcW w:w="2268" w:type="dxa"/>
            <w:vAlign w:val="center"/>
          </w:tcPr>
          <w:p>
            <w:pPr>
              <w:pStyle w:val="12"/>
            </w:pPr>
            <w:r>
              <w:t>完成深度治理，降低污染物排放，达到排放标准</w:t>
            </w:r>
          </w:p>
          <w:p>
            <w:pPr>
              <w:pStyle w:val="12"/>
            </w:pP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居民对燃气锅炉治理工作满意程度</w:t>
            </w:r>
          </w:p>
        </w:tc>
        <w:tc>
          <w:tcPr>
            <w:tcW w:w="5386" w:type="dxa"/>
            <w:vAlign w:val="center"/>
          </w:tcPr>
          <w:p>
            <w:pPr>
              <w:pStyle w:val="12"/>
            </w:pPr>
            <w:r>
              <w:t>调查中满意和较满意的居民数量占全部调查人数的比率</w:t>
            </w:r>
          </w:p>
        </w:tc>
        <w:tc>
          <w:tcPr>
            <w:tcW w:w="2268" w:type="dxa"/>
            <w:vAlign w:val="center"/>
          </w:tcPr>
          <w:p>
            <w:pPr>
              <w:pStyle w:val="12"/>
            </w:pPr>
            <w:r>
              <w:t>≥90%</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石家庄市藁城区城市管理综合行政执法局本级小计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2025年为全区燃气用户购买燃气安全意外保险项目</w:t>
            </w:r>
          </w:p>
        </w:tc>
        <w:tc>
          <w:tcPr>
            <w:tcW w:w="964" w:type="dxa"/>
            <w:vAlign w:val="center"/>
          </w:tcPr>
          <w:p>
            <w:pPr>
              <w:pStyle w:val="11"/>
            </w:pPr>
            <w:r>
              <w:t>20.00</w:t>
            </w:r>
          </w:p>
        </w:tc>
        <w:tc>
          <w:tcPr>
            <w:tcW w:w="1134" w:type="dxa"/>
            <w:vAlign w:val="center"/>
          </w:tcPr>
          <w:p>
            <w:pPr>
              <w:pStyle w:val="12"/>
            </w:pPr>
            <w:r>
              <w:t>公共安全服务</w:t>
            </w:r>
          </w:p>
        </w:tc>
        <w:tc>
          <w:tcPr>
            <w:tcW w:w="1134" w:type="dxa"/>
            <w:vAlign w:val="center"/>
          </w:tcPr>
          <w:p>
            <w:pPr>
              <w:pStyle w:val="12"/>
            </w:pPr>
            <w:r>
              <w:t>C05040100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采购移动垃圾压缩设备及配套勾臂车</w:t>
            </w:r>
          </w:p>
        </w:tc>
        <w:tc>
          <w:tcPr>
            <w:tcW w:w="964" w:type="dxa"/>
            <w:vAlign w:val="center"/>
          </w:tcPr>
          <w:p>
            <w:pPr>
              <w:pStyle w:val="11"/>
            </w:pPr>
            <w:r>
              <w:t>60.00</w:t>
            </w:r>
          </w:p>
        </w:tc>
        <w:tc>
          <w:tcPr>
            <w:tcW w:w="1134" w:type="dxa"/>
            <w:vAlign w:val="center"/>
          </w:tcPr>
          <w:p>
            <w:pPr>
              <w:pStyle w:val="12"/>
            </w:pPr>
            <w:r>
              <w:t>其他机械设备</w:t>
            </w:r>
          </w:p>
        </w:tc>
        <w:tc>
          <w:tcPr>
            <w:tcW w:w="1134" w:type="dxa"/>
            <w:vAlign w:val="center"/>
          </w:tcPr>
          <w:p>
            <w:pPr>
              <w:pStyle w:val="12"/>
            </w:pPr>
            <w:r>
              <w:t>A02059900</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30.00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气代煤取暖设备规范化运行服务及第三方评估监督费</w:t>
            </w:r>
          </w:p>
        </w:tc>
        <w:tc>
          <w:tcPr>
            <w:tcW w:w="964" w:type="dxa"/>
            <w:vAlign w:val="center"/>
          </w:tcPr>
          <w:p>
            <w:pPr>
              <w:pStyle w:val="11"/>
            </w:pPr>
            <w:r>
              <w:t>130.00</w:t>
            </w:r>
          </w:p>
        </w:tc>
        <w:tc>
          <w:tcPr>
            <w:tcW w:w="1134" w:type="dxa"/>
            <w:vAlign w:val="center"/>
          </w:tcPr>
          <w:p>
            <w:pPr>
              <w:pStyle w:val="12"/>
            </w:pPr>
            <w:r>
              <w:t>公共安全服务</w:t>
            </w:r>
          </w:p>
        </w:tc>
        <w:tc>
          <w:tcPr>
            <w:tcW w:w="1134" w:type="dxa"/>
            <w:vAlign w:val="center"/>
          </w:tcPr>
          <w:p>
            <w:pPr>
              <w:pStyle w:val="12"/>
            </w:pPr>
            <w:r>
              <w:t>C05040100</w:t>
            </w:r>
          </w:p>
        </w:tc>
        <w:tc>
          <w:tcPr>
            <w:tcW w:w="709" w:type="dxa"/>
            <w:vAlign w:val="center"/>
          </w:tcPr>
          <w:p>
            <w:pPr>
              <w:pStyle w:val="13"/>
            </w:pPr>
            <w:r>
              <w:t>项目</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石家庄市藁城区城市管理综合行政执法局本级上年末固定资产金额为7308.08万元（详见下表）。本年度拟购置固定资产总额为</w:t>
      </w:r>
      <w:bookmarkStart w:id="1" w:name="_GoBack"/>
      <w:bookmarkEnd w:id="1"/>
      <w:r>
        <w:rPr>
          <w:rFonts w:hint="eastAsia" w:eastAsia="方正仿宋_GBK" w:cs="Times New Roman"/>
          <w:b w:val="0"/>
          <w:color w:val="000000"/>
          <w:sz w:val="28"/>
          <w:lang w:val="en-US" w:eastAsia="zh-CN"/>
        </w:rPr>
        <w:t>60</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565001石家庄市藁城区城市管理综合行政执法局本级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7308.08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10208.46</w:t>
            </w:r>
          </w:p>
        </w:tc>
        <w:tc>
          <w:tcPr>
            <w:tcW w:w="2835" w:type="dxa"/>
            <w:vAlign w:val="center"/>
          </w:tcPr>
          <w:p>
            <w:pPr>
              <w:pStyle w:val="11"/>
            </w:pPr>
            <w:r>
              <w:t>2421.26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1779.84</w:t>
            </w:r>
          </w:p>
        </w:tc>
        <w:tc>
          <w:tcPr>
            <w:tcW w:w="2835" w:type="dxa"/>
            <w:vAlign w:val="center"/>
          </w:tcPr>
          <w:p>
            <w:pPr>
              <w:pStyle w:val="11"/>
            </w:pPr>
            <w:r>
              <w:t>150.78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85</w:t>
            </w:r>
          </w:p>
        </w:tc>
        <w:tc>
          <w:tcPr>
            <w:tcW w:w="2835" w:type="dxa"/>
            <w:vAlign w:val="center"/>
          </w:tcPr>
          <w:p>
            <w:pPr>
              <w:pStyle w:val="11"/>
            </w:pPr>
            <w:r>
              <w:t>2396.96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24</w:t>
            </w:r>
          </w:p>
        </w:tc>
        <w:tc>
          <w:tcPr>
            <w:tcW w:w="2835" w:type="dxa"/>
            <w:vAlign w:val="center"/>
          </w:tcPr>
          <w:p>
            <w:pPr>
              <w:pStyle w:val="11"/>
            </w:pPr>
            <w:r>
              <w:t>1098.92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2824</w:t>
            </w:r>
          </w:p>
        </w:tc>
        <w:tc>
          <w:tcPr>
            <w:tcW w:w="2835" w:type="dxa"/>
            <w:vAlign w:val="center"/>
          </w:tcPr>
          <w:p>
            <w:pPr>
              <w:pStyle w:val="11"/>
            </w:pPr>
            <w:r>
              <w:t>1390.94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Q5NDk1Mzc5YWZiYjA3YjMxZTg3N2YzMWFiZDc0MzcifQ=="/>
  </w:docVars>
  <w:rsids>
    <w:rsidRoot w:val="00000000"/>
    <w:rsid w:val="49C625A9"/>
    <w:rsid w:val="789845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150</Pages>
  <Words>41089</Words>
  <Characters>49342</Characters>
  <TotalTime>6</TotalTime>
  <ScaleCrop>false</ScaleCrop>
  <LinksUpToDate>false</LinksUpToDate>
  <CharactersWithSpaces>50093</CharactersWithSpaces>
  <Application>WPS Office_11.1.0.12650_F1E327BC-269C-435d-A152-05C5408002CA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2025-02-11T16:26:00Z</dcterms:created>
  <dc:creator>Administrator</dc:creator>
  <cp:lastModifiedBy>Administrator</cp:lastModifiedBy>
  <dcterms:modified xsi:type="dcterms:W3CDTF">2025-09-10T07:00:59Z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2052-11.1.0.12650</vt:lpwstr>
  </property>
  <property fmtid="{D5CDD505-2E9C-101B-9397-08002B2CF9AE}" pid="3" name="ICV">
    <vt:lpwstr>2AE9A67957B742468F84ACFBDDB69AAD</vt:lpwstr>
  </property>
</Properties>
</file>