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D85F65">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ascii="微软雅黑" w:hAnsi="微软雅黑" w:eastAsia="微软雅黑" w:cs="微软雅黑"/>
          <w:i w:val="0"/>
          <w:iCs w:val="0"/>
          <w:caps w:val="0"/>
          <w:color w:val="333333"/>
          <w:spacing w:val="0"/>
          <w:sz w:val="36"/>
          <w:szCs w:val="36"/>
        </w:rPr>
      </w:pPr>
      <w:r>
        <w:rPr>
          <w:rFonts w:ascii="方正小标宋简体" w:hAnsi="方正小标宋简体" w:eastAsia="方正小标宋简体" w:cs="方正小标宋简体"/>
          <w:i w:val="0"/>
          <w:iCs w:val="0"/>
          <w:caps w:val="0"/>
          <w:color w:val="333333"/>
          <w:spacing w:val="0"/>
          <w:sz w:val="36"/>
          <w:szCs w:val="36"/>
          <w:bdr w:val="none" w:color="auto" w:sz="0" w:space="0"/>
          <w:shd w:val="clear" w:fill="FFFFFF"/>
        </w:rPr>
        <w:t>河北省应急管理厅</w:t>
      </w:r>
    </w:p>
    <w:p w14:paraId="149C8430">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微软雅黑" w:hAnsi="微软雅黑" w:eastAsia="微软雅黑" w:cs="微软雅黑"/>
          <w:i w:val="0"/>
          <w:iCs w:val="0"/>
          <w:caps w:val="0"/>
          <w:color w:val="333333"/>
          <w:spacing w:val="0"/>
          <w:sz w:val="16"/>
          <w:szCs w:val="16"/>
        </w:rPr>
      </w:pPr>
      <w:r>
        <w:rPr>
          <w:rFonts w:hint="eastAsia" w:ascii="方正小标宋简体" w:hAnsi="方正小标宋简体" w:eastAsia="方正小标宋简体" w:cs="方正小标宋简体"/>
          <w:i w:val="0"/>
          <w:iCs w:val="0"/>
          <w:caps w:val="0"/>
          <w:color w:val="333333"/>
          <w:spacing w:val="-10"/>
          <w:sz w:val="36"/>
          <w:szCs w:val="36"/>
          <w:bdr w:val="none" w:color="auto" w:sz="0" w:space="0"/>
          <w:shd w:val="clear" w:fill="FFFFFF"/>
        </w:rPr>
        <w:t>关于应急管理领域涉企行政检查频次规定的公告</w:t>
      </w:r>
    </w:p>
    <w:p w14:paraId="3FBB0DB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微软雅黑" w:hAnsi="微软雅黑" w:eastAsia="微软雅黑" w:cs="微软雅黑"/>
          <w:i w:val="0"/>
          <w:iCs w:val="0"/>
          <w:caps w:val="0"/>
          <w:color w:val="333333"/>
          <w:spacing w:val="0"/>
          <w:sz w:val="16"/>
          <w:szCs w:val="16"/>
        </w:rPr>
      </w:pPr>
      <w:r>
        <w:rPr>
          <w:rFonts w:hint="default" w:ascii="Times New Roman" w:hAnsi="Times New Roman" w:eastAsia="微软雅黑" w:cs="Times New Roman"/>
          <w:i w:val="0"/>
          <w:iCs w:val="0"/>
          <w:caps w:val="0"/>
          <w:color w:val="333333"/>
          <w:spacing w:val="-10"/>
          <w:sz w:val="29"/>
          <w:szCs w:val="29"/>
          <w:bdr w:val="none" w:color="auto" w:sz="0" w:space="0"/>
          <w:shd w:val="clear" w:fill="FFFFFF"/>
        </w:rPr>
        <w:t> </w:t>
      </w:r>
    </w:p>
    <w:p w14:paraId="7B5F48E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ascii="仿宋_GB2312" w:hAnsi="Times New Roman" w:eastAsia="仿宋_GB2312" w:cs="仿宋_GB2312"/>
          <w:i w:val="0"/>
          <w:iCs w:val="0"/>
          <w:caps w:val="0"/>
          <w:color w:val="333333"/>
          <w:spacing w:val="0"/>
          <w:sz w:val="32"/>
          <w:szCs w:val="32"/>
          <w:bdr w:val="none" w:color="auto" w:sz="0" w:space="0"/>
          <w:shd w:val="clear" w:fill="FFFFFF"/>
        </w:rPr>
        <w:t>为认真贯彻落实国家和我省关于严格规范涉企行政检查工作部署，进一步提升全省应急管理系统安全生产执法规范化水平，持续优化法治化营商环境，根据《应急管理部关于严格规范安全生产执法行为的通知》（应急</w:t>
      </w:r>
      <w:r>
        <w:rPr>
          <w:rFonts w:ascii="楷体_GB2312" w:hAnsi="Times New Roman" w:eastAsia="楷体_GB2312" w:cs="楷体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2025</w:t>
      </w:r>
      <w:r>
        <w:rPr>
          <w:rFonts w:hint="default" w:ascii="楷体_GB2312" w:hAnsi="Times New Roman" w:eastAsia="楷体_GB2312" w:cs="楷体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11</w:t>
      </w:r>
      <w:r>
        <w:rPr>
          <w:rFonts w:hint="default" w:ascii="仿宋_GB2312" w:hAnsi="Times New Roman" w:eastAsia="仿宋_GB2312" w:cs="仿宋_GB2312"/>
          <w:i w:val="0"/>
          <w:iCs w:val="0"/>
          <w:caps w:val="0"/>
          <w:color w:val="333333"/>
          <w:spacing w:val="0"/>
          <w:sz w:val="32"/>
          <w:szCs w:val="32"/>
          <w:bdr w:val="none" w:color="auto" w:sz="0" w:space="0"/>
          <w:shd w:val="clear" w:fill="FFFFFF"/>
        </w:rPr>
        <w:t>号）、《国家矿山安全监察局关于严格规范矿山领域安全生产行政执法行为的通知》（矿安</w:t>
      </w:r>
      <w:r>
        <w:rPr>
          <w:rFonts w:hint="default" w:ascii="楷体_GB2312" w:hAnsi="Times New Roman" w:eastAsia="楷体_GB2312" w:cs="楷体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2025</w:t>
      </w:r>
      <w:r>
        <w:rPr>
          <w:rFonts w:hint="default" w:ascii="楷体_GB2312" w:hAnsi="Times New Roman" w:eastAsia="楷体_GB2312" w:cs="楷体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14</w:t>
      </w:r>
      <w:r>
        <w:rPr>
          <w:rFonts w:hint="default" w:ascii="仿宋_GB2312" w:hAnsi="Times New Roman" w:eastAsia="仿宋_GB2312" w:cs="仿宋_GB2312"/>
          <w:i w:val="0"/>
          <w:iCs w:val="0"/>
          <w:caps w:val="0"/>
          <w:color w:val="333333"/>
          <w:spacing w:val="0"/>
          <w:sz w:val="32"/>
          <w:szCs w:val="32"/>
          <w:bdr w:val="none" w:color="auto" w:sz="0" w:space="0"/>
          <w:shd w:val="clear" w:fill="FFFFFF"/>
        </w:rPr>
        <w:t>号）和河北省人民政府办公厅《印发关于严格规范涉企行政检查实施方案的通知》（冀政办字〔</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2025</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12</w:t>
      </w:r>
      <w:r>
        <w:rPr>
          <w:rFonts w:hint="default" w:ascii="仿宋_GB2312" w:hAnsi="Times New Roman" w:eastAsia="仿宋_GB2312" w:cs="仿宋_GB2312"/>
          <w:i w:val="0"/>
          <w:iCs w:val="0"/>
          <w:caps w:val="0"/>
          <w:color w:val="333333"/>
          <w:spacing w:val="0"/>
          <w:sz w:val="32"/>
          <w:szCs w:val="32"/>
          <w:bdr w:val="none" w:color="auto" w:sz="0" w:space="0"/>
          <w:shd w:val="clear" w:fill="FFFFFF"/>
        </w:rPr>
        <w:t>号）要求，结合河北省安全生产工作实际，现将全省应急管理领域涉企行政检查频次公告如下：</w:t>
      </w:r>
    </w:p>
    <w:p w14:paraId="7DC1A382">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ascii="黑体" w:hAnsi="宋体" w:eastAsia="黑体" w:cs="黑体"/>
          <w:i w:val="0"/>
          <w:iCs w:val="0"/>
          <w:caps w:val="0"/>
          <w:color w:val="333333"/>
          <w:spacing w:val="0"/>
          <w:sz w:val="32"/>
          <w:szCs w:val="32"/>
          <w:bdr w:val="none" w:color="auto" w:sz="0" w:space="0"/>
          <w:shd w:val="clear" w:fill="FFFFFF"/>
        </w:rPr>
        <w:t>一、危险化学品、烟花爆竹、石油天然气开采和工贸等行业领域</w:t>
      </w:r>
    </w:p>
    <w:p w14:paraId="1C549E6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仿宋_GB2312" w:hAnsi="Times New Roman" w:eastAsia="仿宋_GB2312" w:cs="仿宋_GB2312"/>
          <w:i w:val="0"/>
          <w:iCs w:val="0"/>
          <w:caps w:val="0"/>
          <w:color w:val="333333"/>
          <w:spacing w:val="0"/>
          <w:sz w:val="32"/>
          <w:szCs w:val="32"/>
          <w:bdr w:val="none" w:color="auto" w:sz="0" w:space="0"/>
          <w:shd w:val="clear" w:fill="FFFFFF"/>
        </w:rPr>
        <w:t>危险化学品、烟花爆竹、石油天然气开采和工贸等行业企业按照安全生产标准化等级确定执法检查频次。应急管理部门对同一企业年度内累计现场执法检查不超过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次，其中：对高危行业领域安全生产标准化一级、二级、三级、未进行标准化定级的企业年度内累计执法检查分别不超过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8</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次。对非高危行业领域安全生产标准化一级、二级、三级、未进行标准化定级的企业年度内累计执法检查分别不超过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6</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p>
    <w:p w14:paraId="02834A07">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eastAsia" w:ascii="黑体" w:hAnsi="宋体" w:eastAsia="黑体" w:cs="黑体"/>
          <w:i w:val="0"/>
          <w:iCs w:val="0"/>
          <w:caps w:val="0"/>
          <w:color w:val="333333"/>
          <w:spacing w:val="0"/>
          <w:sz w:val="32"/>
          <w:szCs w:val="32"/>
          <w:bdr w:val="none" w:color="auto" w:sz="0" w:space="0"/>
          <w:shd w:val="clear" w:fill="FFFFFF"/>
        </w:rPr>
        <w:t>二、煤矿领域</w:t>
      </w:r>
    </w:p>
    <w:p w14:paraId="291B2C8E">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仿宋_GB2312" w:hAnsi="Times New Roman" w:eastAsia="仿宋_GB2312" w:cs="仿宋_GB2312"/>
          <w:i w:val="0"/>
          <w:iCs w:val="0"/>
          <w:caps w:val="0"/>
          <w:color w:val="333333"/>
          <w:spacing w:val="0"/>
          <w:sz w:val="32"/>
          <w:szCs w:val="32"/>
          <w:bdr w:val="none" w:color="auto" w:sz="0" w:space="0"/>
          <w:shd w:val="clear" w:fill="FFFFFF"/>
        </w:rPr>
        <w:t>煤矿按照安全保障程度划分为较高（</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A</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类）、一般（</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B</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类）、较低（</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C</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类）、长期停工停产（</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D</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类）等四类。应急管理部门对同一矿山年度内累计现场执法检查不超过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6</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次，其中</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w:t>
      </w:r>
      <w:r>
        <w:rPr>
          <w:rFonts w:hint="default" w:ascii="仿宋_GB2312" w:hAnsi="Times New Roman" w:eastAsia="仿宋_GB2312" w:cs="仿宋_GB2312"/>
          <w:i w:val="0"/>
          <w:iCs w:val="0"/>
          <w:caps w:val="0"/>
          <w:color w:val="333333"/>
          <w:spacing w:val="0"/>
          <w:sz w:val="32"/>
          <w:szCs w:val="32"/>
          <w:bdr w:val="none" w:color="auto" w:sz="0" w:space="0"/>
          <w:shd w:val="clear" w:fill="FFFFFF"/>
        </w:rPr>
        <w:t>对</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A</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B</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C</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D</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类煤矿累计检查分别不超过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6</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次；对矿山上级公司年度内累计现场执法检查原则上不超过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p>
    <w:p w14:paraId="363487BA">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eastAsia" w:ascii="黑体" w:hAnsi="宋体" w:eastAsia="黑体" w:cs="黑体"/>
          <w:i w:val="0"/>
          <w:iCs w:val="0"/>
          <w:caps w:val="0"/>
          <w:color w:val="333333"/>
          <w:spacing w:val="0"/>
          <w:sz w:val="32"/>
          <w:szCs w:val="32"/>
          <w:bdr w:val="none" w:color="auto" w:sz="0" w:space="0"/>
          <w:shd w:val="clear" w:fill="FFFFFF"/>
        </w:rPr>
        <w:t>三、非煤矿山领域</w:t>
      </w:r>
    </w:p>
    <w:p w14:paraId="122C9858">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仿宋_GB2312" w:hAnsi="Times New Roman" w:eastAsia="仿宋_GB2312" w:cs="仿宋_GB2312"/>
          <w:i w:val="0"/>
          <w:iCs w:val="0"/>
          <w:caps w:val="0"/>
          <w:color w:val="333333"/>
          <w:spacing w:val="0"/>
          <w:sz w:val="32"/>
          <w:szCs w:val="32"/>
          <w:bdr w:val="none" w:color="auto" w:sz="0" w:space="0"/>
          <w:shd w:val="clear" w:fill="FFFFFF"/>
        </w:rPr>
        <w:t>非煤矿山按照安全风险等级划分为低风险（</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A</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类）、一般风险（</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B</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类）、较大风险（</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C</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类）、重大风险（</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D</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类）等四类。应急管理部门对同一矿山年度内累计现场执法检查不超过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次，其中：对</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A</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B</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C</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D</w:t>
      </w:r>
      <w:r>
        <w:rPr>
          <w:rFonts w:hint="default" w:ascii="仿宋_GB2312" w:hAnsi="Times New Roman" w:eastAsia="仿宋_GB2312" w:cs="仿宋_GB2312"/>
          <w:i w:val="0"/>
          <w:iCs w:val="0"/>
          <w:caps w:val="0"/>
          <w:color w:val="333333"/>
          <w:spacing w:val="0"/>
          <w:sz w:val="32"/>
          <w:szCs w:val="32"/>
          <w:bdr w:val="none" w:color="auto" w:sz="0" w:space="0"/>
          <w:shd w:val="clear" w:fill="FFFFFF"/>
        </w:rPr>
        <w:t>类非煤矿山累计检查分别不超过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6</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8</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10</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12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次；对矿山上级公司年度内累计现场执法检查原则上不超过</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次。</w:t>
      </w:r>
    </w:p>
    <w:p w14:paraId="772A29B5">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eastAsia" w:ascii="黑体" w:hAnsi="宋体" w:eastAsia="黑体" w:cs="黑体"/>
          <w:i w:val="0"/>
          <w:iCs w:val="0"/>
          <w:caps w:val="0"/>
          <w:color w:val="333333"/>
          <w:spacing w:val="0"/>
          <w:sz w:val="32"/>
          <w:szCs w:val="32"/>
          <w:bdr w:val="none" w:color="auto" w:sz="0" w:space="0"/>
          <w:shd w:val="clear" w:fill="FFFFFF"/>
        </w:rPr>
        <w:t>四、说明</w:t>
      </w:r>
    </w:p>
    <w:p w14:paraId="29C89A9E">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1.</w:t>
      </w:r>
      <w:r>
        <w:rPr>
          <w:rFonts w:hint="default" w:ascii="仿宋_GB2312" w:hAnsi="Times New Roman" w:eastAsia="仿宋_GB2312" w:cs="仿宋_GB2312"/>
          <w:i w:val="0"/>
          <w:iCs w:val="0"/>
          <w:caps w:val="0"/>
          <w:color w:val="333333"/>
          <w:spacing w:val="0"/>
          <w:sz w:val="32"/>
          <w:szCs w:val="32"/>
          <w:bdr w:val="none" w:color="auto" w:sz="0" w:space="0"/>
          <w:shd w:val="clear" w:fill="FFFFFF"/>
        </w:rPr>
        <w:t>以上明确的执法检查范围是指各级应急管理部门承担监管监察处（科、室）、执法机构开展的各类检查。根据《国务院办公厅关于严格规范涉企行政检查的意见》（国办发〔</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2024</w:t>
      </w:r>
      <w:r>
        <w:rPr>
          <w:rFonts w:hint="default" w:ascii="仿宋_GB2312" w:hAnsi="Times New Roman" w:eastAsia="仿宋_GB2312" w:cs="仿宋_GB2312"/>
          <w:i w:val="0"/>
          <w:iCs w:val="0"/>
          <w:caps w:val="0"/>
          <w:color w:val="333333"/>
          <w:spacing w:val="0"/>
          <w:sz w:val="32"/>
          <w:szCs w:val="32"/>
          <w:bdr w:val="none" w:color="auto" w:sz="0" w:space="0"/>
          <w:shd w:val="clear" w:fill="FFFFFF"/>
        </w:rPr>
        <w:t>〕</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54</w:t>
      </w:r>
      <w:r>
        <w:rPr>
          <w:rFonts w:hint="default" w:ascii="仿宋_GB2312" w:hAnsi="Times New Roman" w:eastAsia="仿宋_GB2312" w:cs="仿宋_GB2312"/>
          <w:i w:val="0"/>
          <w:iCs w:val="0"/>
          <w:caps w:val="0"/>
          <w:color w:val="333333"/>
          <w:spacing w:val="0"/>
          <w:sz w:val="32"/>
          <w:szCs w:val="32"/>
          <w:bdr w:val="none" w:color="auto" w:sz="0" w:space="0"/>
          <w:shd w:val="clear" w:fill="FFFFFF"/>
        </w:rPr>
        <w:t>号）规定，其他任何单位、组织和个人不得实施安全生产执法检查。</w:t>
      </w:r>
    </w:p>
    <w:p w14:paraId="3EADC072">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2.</w:t>
      </w:r>
      <w:r>
        <w:rPr>
          <w:rFonts w:hint="default" w:ascii="仿宋_GB2312" w:hAnsi="Times New Roman" w:eastAsia="仿宋_GB2312" w:cs="仿宋_GB2312"/>
          <w:i w:val="0"/>
          <w:iCs w:val="0"/>
          <w:caps w:val="0"/>
          <w:color w:val="333333"/>
          <w:spacing w:val="0"/>
          <w:sz w:val="32"/>
          <w:szCs w:val="32"/>
          <w:bdr w:val="none" w:color="auto" w:sz="0" w:space="0"/>
          <w:shd w:val="clear" w:fill="FFFFFF"/>
        </w:rPr>
        <w:t>对检查发现的事故隐患整改情况进行复查，不纳入年度执法检查频次控制范围。</w:t>
      </w:r>
    </w:p>
    <w:p w14:paraId="74E0B39C">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3.</w:t>
      </w:r>
      <w:r>
        <w:rPr>
          <w:rFonts w:hint="default" w:ascii="仿宋_GB2312" w:hAnsi="Times New Roman" w:eastAsia="仿宋_GB2312" w:cs="仿宋_GB2312"/>
          <w:i w:val="0"/>
          <w:iCs w:val="0"/>
          <w:caps w:val="0"/>
          <w:color w:val="333333"/>
          <w:spacing w:val="0"/>
          <w:sz w:val="32"/>
          <w:szCs w:val="32"/>
          <w:bdr w:val="none" w:color="auto" w:sz="0" w:space="0"/>
          <w:shd w:val="clear" w:fill="FFFFFF"/>
        </w:rPr>
        <w:t>对重大灾害治理、典型事故等暴露出的突出问题，应急管理部门可依法部署专项检查，制定专项检查计划履行报批或者备案程序后实施，不受执法检查频次上限限制。</w:t>
      </w:r>
    </w:p>
    <w:p w14:paraId="6CBD4AE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根据投诉举报、转办交办、数据监测、隐蔽工作面等线索确需实施的现场核查，或者应企业申请实施的执法检查，不受执法检查频次上限限制。</w:t>
      </w:r>
    </w:p>
    <w:p w14:paraId="1BD0F0C2">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5.</w:t>
      </w:r>
      <w:r>
        <w:rPr>
          <w:rFonts w:hint="default" w:ascii="仿宋_GB2312" w:hAnsi="Times New Roman" w:eastAsia="仿宋_GB2312" w:cs="仿宋_GB2312"/>
          <w:i w:val="0"/>
          <w:iCs w:val="0"/>
          <w:caps w:val="0"/>
          <w:color w:val="333333"/>
          <w:spacing w:val="0"/>
          <w:sz w:val="32"/>
          <w:szCs w:val="32"/>
          <w:bdr w:val="none" w:color="auto" w:sz="0" w:space="0"/>
          <w:shd w:val="clear" w:fill="FFFFFF"/>
        </w:rPr>
        <w:t>各级党委政府等领导同志在重要节假日和重点时段带队开展的督导检查不纳入此范围。</w:t>
      </w:r>
    </w:p>
    <w:p w14:paraId="3DB5853F">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30"/>
        <w:textAlignment w:val="auto"/>
        <w:rPr>
          <w:rFonts w:hint="eastAsia" w:ascii="微软雅黑" w:hAnsi="微软雅黑" w:eastAsia="微软雅黑" w:cs="微软雅黑"/>
          <w:i w:val="0"/>
          <w:iCs w:val="0"/>
          <w:caps w:val="0"/>
          <w:color w:val="333333"/>
          <w:spacing w:val="0"/>
          <w:sz w:val="32"/>
          <w:szCs w:val="32"/>
        </w:rPr>
      </w:pPr>
      <w:r>
        <w:rPr>
          <w:rFonts w:hint="default" w:ascii="Times New Roman" w:hAnsi="Times New Roman" w:eastAsia="微软雅黑" w:cs="Times New Roman"/>
          <w:i w:val="0"/>
          <w:iCs w:val="0"/>
          <w:caps w:val="0"/>
          <w:color w:val="333333"/>
          <w:spacing w:val="0"/>
          <w:sz w:val="32"/>
          <w:szCs w:val="32"/>
          <w:bdr w:val="none" w:color="auto" w:sz="0" w:space="0"/>
          <w:shd w:val="clear" w:fill="FFFFFF"/>
        </w:rPr>
        <w:t> </w:t>
      </w:r>
    </w:p>
    <w:p w14:paraId="13C74A2E">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1510"/>
        <w:jc w:val="center"/>
        <w:textAlignment w:val="auto"/>
        <w:rPr>
          <w:rFonts w:hint="eastAsia" w:ascii="仿宋_GB2312" w:hAnsi="微软雅黑" w:eastAsia="仿宋_GB2312" w:cs="仿宋_GB2312"/>
          <w:i w:val="0"/>
          <w:iCs w:val="0"/>
          <w:caps w:val="0"/>
          <w:color w:val="333333"/>
          <w:spacing w:val="0"/>
          <w:sz w:val="32"/>
          <w:szCs w:val="32"/>
          <w:bdr w:val="none" w:color="auto" w:sz="0" w:space="0"/>
          <w:shd w:val="clear" w:fill="FFFFFF"/>
          <w:lang w:val="en-US" w:eastAsia="zh-CN"/>
        </w:rPr>
      </w:pPr>
      <w:r>
        <w:rPr>
          <w:rFonts w:hint="default" w:ascii="仿宋_GB2312" w:hAnsi="微软雅黑" w:eastAsia="仿宋_GB2312" w:cs="仿宋_GB2312"/>
          <w:i w:val="0"/>
          <w:iCs w:val="0"/>
          <w:caps w:val="0"/>
          <w:color w:val="333333"/>
          <w:spacing w:val="0"/>
          <w:sz w:val="32"/>
          <w:szCs w:val="32"/>
          <w:bdr w:val="none" w:color="auto" w:sz="0" w:space="0"/>
          <w:shd w:val="clear" w:fill="FFFFFF"/>
        </w:rPr>
        <w:t>     </w:t>
      </w:r>
      <w:r>
        <w:rPr>
          <w:rFonts w:hint="eastAsia" w:ascii="仿宋_GB2312" w:hAnsi="微软雅黑" w:eastAsia="仿宋_GB2312" w:cs="仿宋_GB2312"/>
          <w:i w:val="0"/>
          <w:iCs w:val="0"/>
          <w:caps w:val="0"/>
          <w:color w:val="333333"/>
          <w:spacing w:val="0"/>
          <w:sz w:val="32"/>
          <w:szCs w:val="32"/>
          <w:bdr w:val="none" w:color="auto" w:sz="0" w:space="0"/>
          <w:shd w:val="clear" w:fill="FFFFFF"/>
          <w:lang w:val="en-US" w:eastAsia="zh-CN"/>
        </w:rPr>
        <w:t xml:space="preserve">            </w:t>
      </w:r>
    </w:p>
    <w:p w14:paraId="71735765">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1510"/>
        <w:jc w:val="center"/>
        <w:textAlignment w:val="auto"/>
        <w:rPr>
          <w:rFonts w:hint="eastAsia" w:ascii="微软雅黑" w:hAnsi="微软雅黑" w:eastAsia="微软雅黑" w:cs="微软雅黑"/>
          <w:i w:val="0"/>
          <w:iCs w:val="0"/>
          <w:caps w:val="0"/>
          <w:color w:val="333333"/>
          <w:spacing w:val="0"/>
          <w:sz w:val="32"/>
          <w:szCs w:val="32"/>
        </w:rPr>
      </w:pPr>
      <w:r>
        <w:rPr>
          <w:rFonts w:hint="eastAsia" w:ascii="仿宋_GB2312" w:hAnsi="微软雅黑" w:eastAsia="仿宋_GB2312" w:cs="仿宋_GB2312"/>
          <w:i w:val="0"/>
          <w:iCs w:val="0"/>
          <w:caps w:val="0"/>
          <w:color w:val="333333"/>
          <w:spacing w:val="0"/>
          <w:sz w:val="32"/>
          <w:szCs w:val="32"/>
          <w:bdr w:val="none" w:color="auto" w:sz="0" w:space="0"/>
          <w:shd w:val="clear" w:fill="FFFFFF"/>
          <w:lang w:val="en-US" w:eastAsia="zh-CN"/>
        </w:rPr>
        <w:t xml:space="preserve">             </w:t>
      </w:r>
      <w:bookmarkStart w:id="0" w:name="_GoBack"/>
      <w:bookmarkEnd w:id="0"/>
      <w:r>
        <w:rPr>
          <w:rFonts w:hint="default" w:ascii="仿宋_GB2312" w:hAnsi="Times New Roman" w:eastAsia="仿宋_GB2312" w:cs="仿宋_GB2312"/>
          <w:i w:val="0"/>
          <w:iCs w:val="0"/>
          <w:caps w:val="0"/>
          <w:color w:val="333333"/>
          <w:spacing w:val="0"/>
          <w:sz w:val="32"/>
          <w:szCs w:val="32"/>
          <w:bdr w:val="none" w:color="auto" w:sz="0" w:space="0"/>
          <w:shd w:val="clear" w:fill="FFFFFF"/>
        </w:rPr>
        <w:t>河北省应急管理厅</w:t>
      </w:r>
    </w:p>
    <w:p w14:paraId="36AFD779">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1510"/>
        <w:jc w:val="center"/>
        <w:textAlignment w:val="auto"/>
        <w:rPr>
          <w:rFonts w:hint="eastAsia" w:ascii="微软雅黑" w:hAnsi="微软雅黑" w:eastAsia="微软雅黑" w:cs="微软雅黑"/>
          <w:i w:val="0"/>
          <w:iCs w:val="0"/>
          <w:caps w:val="0"/>
          <w:color w:val="333333"/>
          <w:spacing w:val="0"/>
          <w:sz w:val="32"/>
          <w:szCs w:val="32"/>
        </w:rPr>
      </w:pPr>
      <w:r>
        <w:rPr>
          <w:rFonts w:hint="default" w:ascii="仿宋_GB2312" w:hAnsi="微软雅黑" w:eastAsia="仿宋_GB2312" w:cs="仿宋_GB2312"/>
          <w:i w:val="0"/>
          <w:iCs w:val="0"/>
          <w:caps w:val="0"/>
          <w:color w:val="333333"/>
          <w:spacing w:val="0"/>
          <w:sz w:val="32"/>
          <w:szCs w:val="32"/>
          <w:bdr w:val="none" w:color="auto" w:sz="0" w:space="0"/>
          <w:shd w:val="clear" w:fill="FFFFFF"/>
        </w:rPr>
        <w:t>   </w:t>
      </w:r>
      <w:r>
        <w:rPr>
          <w:rFonts w:hint="eastAsia" w:ascii="仿宋_GB2312" w:hAnsi="微软雅黑" w:eastAsia="仿宋_GB2312" w:cs="仿宋_GB2312"/>
          <w:i w:val="0"/>
          <w:iCs w:val="0"/>
          <w:caps w:val="0"/>
          <w:color w:val="333333"/>
          <w:spacing w:val="0"/>
          <w:sz w:val="32"/>
          <w:szCs w:val="32"/>
          <w:bdr w:val="none" w:color="auto" w:sz="0" w:space="0"/>
          <w:shd w:val="clear" w:fill="FFFFFF"/>
          <w:lang w:val="en-US" w:eastAsia="zh-CN"/>
        </w:rPr>
        <w:t xml:space="preserve">            </w:t>
      </w:r>
      <w:r>
        <w:rPr>
          <w:rFonts w:hint="default" w:ascii="Times New Roman" w:hAnsi="Times New Roman" w:eastAsia="微软雅黑" w:cs="Times New Roman"/>
          <w:i w:val="0"/>
          <w:iCs w:val="0"/>
          <w:caps w:val="0"/>
          <w:color w:val="333333"/>
          <w:spacing w:val="0"/>
          <w:sz w:val="32"/>
          <w:szCs w:val="32"/>
          <w:bdr w:val="none" w:color="auto" w:sz="0" w:space="0"/>
          <w:shd w:val="clear" w:fill="FFFFFF"/>
        </w:rPr>
        <w:t>2025</w:t>
      </w:r>
      <w:r>
        <w:rPr>
          <w:rFonts w:hint="default" w:ascii="仿宋_GB2312" w:hAnsi="Times New Roman" w:eastAsia="仿宋_GB2312" w:cs="仿宋_GB2312"/>
          <w:i w:val="0"/>
          <w:iCs w:val="0"/>
          <w:caps w:val="0"/>
          <w:color w:val="333333"/>
          <w:spacing w:val="0"/>
          <w:sz w:val="32"/>
          <w:szCs w:val="32"/>
          <w:bdr w:val="none" w:color="auto" w:sz="0" w:space="0"/>
          <w:shd w:val="clear" w:fill="FFFFFF"/>
        </w:rPr>
        <w:t>年</w:t>
      </w:r>
      <w:r>
        <w:rPr>
          <w:rFonts w:hint="default" w:ascii="仿宋_GB2312" w:hAnsi="微软雅黑" w:eastAsia="仿宋_GB2312" w:cs="仿宋_GB2312"/>
          <w:i w:val="0"/>
          <w:iCs w:val="0"/>
          <w:caps w:val="0"/>
          <w:color w:val="333333"/>
          <w:spacing w:val="0"/>
          <w:sz w:val="32"/>
          <w:szCs w:val="32"/>
          <w:bdr w:val="none" w:color="auto" w:sz="0" w:space="0"/>
          <w:shd w:val="clear" w:fill="FFFFFF"/>
        </w:rPr>
        <w:t>4</w:t>
      </w:r>
      <w:r>
        <w:rPr>
          <w:rFonts w:hint="default" w:ascii="仿宋_GB2312" w:hAnsi="Times New Roman" w:eastAsia="仿宋_GB2312" w:cs="仿宋_GB2312"/>
          <w:i w:val="0"/>
          <w:iCs w:val="0"/>
          <w:caps w:val="0"/>
          <w:color w:val="333333"/>
          <w:spacing w:val="0"/>
          <w:sz w:val="32"/>
          <w:szCs w:val="32"/>
          <w:bdr w:val="none" w:color="auto" w:sz="0" w:space="0"/>
          <w:shd w:val="clear" w:fill="FFFFFF"/>
        </w:rPr>
        <w:t>月</w:t>
      </w:r>
      <w:r>
        <w:rPr>
          <w:rFonts w:hint="default" w:ascii="仿宋_GB2312" w:hAnsi="微软雅黑" w:eastAsia="仿宋_GB2312" w:cs="仿宋_GB2312"/>
          <w:i w:val="0"/>
          <w:iCs w:val="0"/>
          <w:caps w:val="0"/>
          <w:color w:val="333333"/>
          <w:spacing w:val="0"/>
          <w:sz w:val="32"/>
          <w:szCs w:val="32"/>
          <w:bdr w:val="none" w:color="auto" w:sz="0" w:space="0"/>
          <w:shd w:val="clear" w:fill="FFFFFF"/>
        </w:rPr>
        <w:t>10</w:t>
      </w:r>
      <w:r>
        <w:rPr>
          <w:rFonts w:hint="default" w:ascii="仿宋_GB2312" w:hAnsi="Times New Roman" w:eastAsia="仿宋_GB2312" w:cs="仿宋_GB2312"/>
          <w:i w:val="0"/>
          <w:iCs w:val="0"/>
          <w:caps w:val="0"/>
          <w:color w:val="333333"/>
          <w:spacing w:val="0"/>
          <w:sz w:val="32"/>
          <w:szCs w:val="32"/>
          <w:bdr w:val="none" w:color="auto" w:sz="0" w:space="0"/>
          <w:shd w:val="clear" w:fill="FFFFFF"/>
        </w:rPr>
        <w:t>日</w:t>
      </w:r>
    </w:p>
    <w:p w14:paraId="34270504">
      <w:pPr>
        <w:keepNext w:val="0"/>
        <w:keepLines w:val="0"/>
        <w:pageBreakBefore w:val="0"/>
        <w:widowControl w:val="0"/>
        <w:kinsoku/>
        <w:wordWrap/>
        <w:overflowPunct/>
        <w:topLinePunct w:val="0"/>
        <w:autoSpaceDE/>
        <w:autoSpaceDN/>
        <w:bidi w:val="0"/>
        <w:adjustRightInd/>
        <w:snapToGrid/>
        <w:spacing w:line="560" w:lineRule="exact"/>
        <w:textAlignment w:val="auto"/>
        <w:rPr>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2163D0"/>
    <w:rsid w:val="4D037E68"/>
    <w:rsid w:val="5256161C"/>
    <w:rsid w:val="63C811DC"/>
    <w:rsid w:val="68A648CC"/>
    <w:rsid w:val="6EB24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2025-04-23T00:12:08Z</dcterms:created>
  <dc:creator>Administrator</dc:creator>
  <cp:lastModifiedBy>Administrator</cp:lastModifiedBy>
  <dcterms:modified xsi:type="dcterms:W3CDTF">2025-04-23T00:15:38Z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eyJoZGlkIjoiYWMxNmUwYWI2OGE3MTEzMThjNThiNGZhYjAwZDgyOGIifQ==</vt:lpwstr>
  </property>
  <property fmtid="{D5CDD505-2E9C-101B-9397-08002B2CF9AE}" pid="4" name="ICV">
    <vt:lpwstr>431AD4900F2944709DD9D252FE49F186_12</vt:lpwstr>
  </property>
</Properties>
</file>