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8C17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石家庄市藁城区城市管理综合行政执法局部门</w:t>
      </w:r>
    </w:p>
    <w:p w14:paraId="4075B2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 w14:paraId="5986C8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C1C0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则，对石家庄市藁城区城市管理综合行政执法局部门202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55E5F7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382DE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7B7675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部门职能：主要负责市政管理、环境管理、交通管理、应急管理和城市规划实施管理等。具体实施范围包括：城市道路、桥梁、照明、供水、排水、燃气、供热、污水和垃圾处理等市政公用设施运行管理、城市容貌和环境卫生管理、城市园林绿化管理等方面的全部工作；区政府依法确定的与城市管理密切相关、需要纳入统一管理的公共空间秩序管理、违法建设治理、环境保护管理、交通管理、应急管理等方面的部分工作。</w:t>
      </w:r>
    </w:p>
    <w:p w14:paraId="3CA9AA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）组织机构及人员基本情况：</w:t>
      </w:r>
    </w:p>
    <w:tbl>
      <w:tblPr>
        <w:tblStyle w:val="7"/>
        <w:tblpPr w:leftFromText="180" w:rightFromText="180" w:vertAnchor="text" w:horzAnchor="page" w:tblpXSpec="center" w:tblpY="10"/>
        <w:tblOverlap w:val="never"/>
        <w:tblW w:w="94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6676"/>
        <w:gridCol w:w="1740"/>
      </w:tblGrid>
      <w:tr w14:paraId="6B5D9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85" w:type="dxa"/>
            <w:vAlign w:val="center"/>
          </w:tcPr>
          <w:p w14:paraId="77290AAB"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6676" w:type="dxa"/>
            <w:vAlign w:val="center"/>
          </w:tcPr>
          <w:p w14:paraId="4D729CD9"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单位名称</w:t>
            </w:r>
          </w:p>
        </w:tc>
        <w:tc>
          <w:tcPr>
            <w:tcW w:w="1740" w:type="dxa"/>
            <w:vAlign w:val="center"/>
          </w:tcPr>
          <w:p w14:paraId="015F50CF"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人员数量</w:t>
            </w:r>
          </w:p>
        </w:tc>
      </w:tr>
      <w:tr w14:paraId="15837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 w14:paraId="1FF88C6E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676" w:type="dxa"/>
          </w:tcPr>
          <w:p w14:paraId="76E79654">
            <w:pPr>
              <w:spacing w:line="560" w:lineRule="exact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石家庄市藁城区城市管理综合执法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局</w:t>
            </w:r>
          </w:p>
        </w:tc>
        <w:tc>
          <w:tcPr>
            <w:tcW w:w="1740" w:type="dxa"/>
          </w:tcPr>
          <w:p w14:paraId="75B514F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166</w:t>
            </w:r>
          </w:p>
        </w:tc>
      </w:tr>
      <w:tr w14:paraId="5CDED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top"/>
          </w:tcPr>
          <w:p w14:paraId="71A5F626">
            <w:pPr>
              <w:spacing w:line="56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676" w:type="dxa"/>
            <w:vAlign w:val="top"/>
          </w:tcPr>
          <w:p w14:paraId="29D83ED7">
            <w:pPr>
              <w:spacing w:line="560" w:lineRule="exact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石家庄市藁城区城市管理综合执法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局（本级）</w:t>
            </w:r>
          </w:p>
        </w:tc>
        <w:tc>
          <w:tcPr>
            <w:tcW w:w="1740" w:type="dxa"/>
          </w:tcPr>
          <w:p w14:paraId="763BE9D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166</w:t>
            </w:r>
          </w:p>
        </w:tc>
      </w:tr>
    </w:tbl>
    <w:p w14:paraId="35313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 w14:paraId="73B9E0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）资产等基本情况：</w:t>
      </w:r>
    </w:p>
    <w:p w14:paraId="18817B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石家庄市藁城区城市管理综合行政执法局本级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固定资产金额为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7308.08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元（详见下表）</w:t>
      </w:r>
    </w:p>
    <w:tbl>
      <w:tblPr>
        <w:tblStyle w:val="7"/>
        <w:tblpPr w:leftFromText="180" w:rightFromText="180" w:vertAnchor="text" w:horzAnchor="page" w:tblpXSpec="center" w:tblpY="10"/>
        <w:tblOverlap w:val="never"/>
        <w:tblW w:w="88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9"/>
        <w:gridCol w:w="2725"/>
        <w:gridCol w:w="3403"/>
      </w:tblGrid>
      <w:tr w14:paraId="1D5F5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769" w:type="dxa"/>
            <w:vAlign w:val="center"/>
          </w:tcPr>
          <w:p w14:paraId="49C5381F"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资产分类</w:t>
            </w:r>
          </w:p>
        </w:tc>
        <w:tc>
          <w:tcPr>
            <w:tcW w:w="2725" w:type="dxa"/>
            <w:vAlign w:val="center"/>
          </w:tcPr>
          <w:p w14:paraId="11C16D9F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数量</w:t>
            </w:r>
          </w:p>
        </w:tc>
        <w:tc>
          <w:tcPr>
            <w:tcW w:w="3403" w:type="dxa"/>
            <w:vAlign w:val="center"/>
          </w:tcPr>
          <w:p w14:paraId="2C63E7D4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资产价值（万元）</w:t>
            </w:r>
          </w:p>
        </w:tc>
      </w:tr>
      <w:tr w14:paraId="312DF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</w:tcPr>
          <w:p w14:paraId="05AF7D34">
            <w:pPr>
              <w:spacing w:line="560" w:lineRule="exact"/>
              <w:jc w:val="left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1、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房屋（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平方米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725" w:type="dxa"/>
          </w:tcPr>
          <w:p w14:paraId="2EBEFFE6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10208.46</w:t>
            </w:r>
          </w:p>
        </w:tc>
        <w:tc>
          <w:tcPr>
            <w:tcW w:w="3403" w:type="dxa"/>
          </w:tcPr>
          <w:p w14:paraId="366F8E50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2422.16</w:t>
            </w:r>
          </w:p>
        </w:tc>
      </w:tr>
      <w:tr w14:paraId="4C8E9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  <w:vAlign w:val="top"/>
          </w:tcPr>
          <w:p w14:paraId="2B63E0F8">
            <w:pPr>
              <w:spacing w:line="560" w:lineRule="exact"/>
              <w:jc w:val="left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2、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设备（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个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725" w:type="dxa"/>
            <w:vAlign w:val="top"/>
          </w:tcPr>
          <w:p w14:paraId="2ACEF8BA">
            <w:pPr>
              <w:spacing w:line="560" w:lineRule="exact"/>
              <w:jc w:val="center"/>
              <w:rPr>
                <w:rFonts w:hint="default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1846</w:t>
            </w:r>
          </w:p>
        </w:tc>
        <w:tc>
          <w:tcPr>
            <w:tcW w:w="3403" w:type="dxa"/>
          </w:tcPr>
          <w:p w14:paraId="62E5C7BE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4570.91</w:t>
            </w:r>
          </w:p>
        </w:tc>
      </w:tr>
      <w:tr w14:paraId="14400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  <w:vAlign w:val="top"/>
          </w:tcPr>
          <w:p w14:paraId="591B8BE8">
            <w:pPr>
              <w:spacing w:line="560" w:lineRule="exact"/>
              <w:jc w:val="left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3、其他固定资产</w:t>
            </w:r>
          </w:p>
        </w:tc>
        <w:tc>
          <w:tcPr>
            <w:tcW w:w="2725" w:type="dxa"/>
            <w:vAlign w:val="top"/>
          </w:tcPr>
          <w:p w14:paraId="4A71220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3429</w:t>
            </w:r>
          </w:p>
        </w:tc>
        <w:tc>
          <w:tcPr>
            <w:tcW w:w="3403" w:type="dxa"/>
          </w:tcPr>
          <w:p w14:paraId="388834D5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315.01</w:t>
            </w:r>
          </w:p>
        </w:tc>
      </w:tr>
    </w:tbl>
    <w:p w14:paraId="77CDF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5B6036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全年收入为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40961.53万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元，其中：财政拨款收入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40961.53万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元，非财政补助收入0元。</w:t>
      </w:r>
    </w:p>
    <w:p w14:paraId="5108E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2.全年支出为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40961.53万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元。其中：基本支出：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3127.5万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37834.03万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</w:t>
      </w:r>
    </w:p>
    <w:p w14:paraId="541951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1DEC2E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石家庄市藁城区城市管理综合行政执法局为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贯彻落实党中央和省委、市委及区委关于城市管理工作的方针政策和决策部署，坚持和加强城市管理工作的集中统一领导，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2024年城管局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整体绩效如下：</w:t>
      </w:r>
    </w:p>
    <w:p w14:paraId="17CD7D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负责主城区市容管理、监察并对各乡镇、开发区城市管理综合行政执法工作监督指导，机动执法。保障数字城管系统正常运行，提高城市智能化管理水平。组织开展市容维护行动，依法拆除各类违建，规范牌匾，切实提升市貌。做好地下水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周围空气和渗滤液处理水质监测工作。便民市场规范化运行和日常监督管理。做好渣土管理、收费管理、行政处罚等工作。维护市政设施正常运转，对城区雨污水管道和雨污水泵站运行维护管理。积极组织宣传垃圾分类，深入群众调查研究，通过建设示范单位等，提高居民参与率和投放准确率。维护公园设施保障居民娱乐健身需求。完成园林绿化年度工作计划的制定，对城区进行绿化和日常养护，提升城市形象。认真落实垃圾处理相关政策，完成生活垃圾的减量化、无害化、资源化处理。建设停车场，解决停车难的问题。负责城区、廉州镇城中村街道及国、省、县级道路清扫保洁工作及洒水降尘工作，维护环境卫生，维护垃圾中转站、公厕等正常运转，落实国家级卫生城市创建工作。规范燃气热力市场，维护燃气热力市场秩序。对主城区内建筑施工噪声污染、扬尘污染等进行行政处罚。维护污水处理正常运行并对污水处理厂水质、水量进行监督管理。深化改革创新，加强作风建设，积极进取、奋发有为，努力开创新时代城管工作新局面。</w:t>
      </w:r>
    </w:p>
    <w:p w14:paraId="3A38D3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参照部门预算绩效文本中绩效目标、指标。</w:t>
      </w:r>
    </w:p>
    <w:p w14:paraId="3CAA464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3DF50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3069A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加强财政支出管理，提高财政资金使用效益，根据《藁城区区级部门预算绩效管理工作考核办法（试行）》（藁财字〔2020〕25号）、《藁城区区级部门预算绩效目标设定规范》（藁财字〔2020〕24号）、《全面推进预算绩效管理工作实施方案》（藁财字〔2020〕29号）等文件精神，结合实际，我单位遵循“科学性、规范性、客观性和公正性”的原则，组织成立了绩效评价工作小组。</w:t>
      </w:r>
    </w:p>
    <w:p w14:paraId="162A50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联系相关项目科室负责人召开专门工作会议，分发给各科室需填报项目资料，包括需填报项目清单、财政预算项目库绩效目标表、项目支出绩效评价共性指标体系框架、省住建厅绩效指标规范、绩效共性指标规范等。在会议中明确了绩效自评的工作要求，由各科室负责本科室的需绩效自评项目填报内容，保证填报效果。各科室按要求时间报送项目绩效自评报告、自评表及相关资料。。</w:t>
      </w:r>
    </w:p>
    <w:p w14:paraId="7F85C6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29930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评价小组采取座谈等方式听取情况，检查项目支出有关账目，收集整理支出相关资料，并根据各部门报送的绩效自评材料进行分析、总结，开展绩效评价工作。</w:t>
      </w:r>
    </w:p>
    <w:p w14:paraId="310EB4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项目从产出指标、预算执行率指标、效益指标、满意度指标进行重点评估并针对评价内容提出分析和合理性建议。</w:t>
      </w:r>
    </w:p>
    <w:p w14:paraId="6C63E5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5E99D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19CC40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年度本部门共有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个项目，其中债券项目共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个，优秀项目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个；其他项目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个，优秀项目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。绩效目标设定为产出指标、预算执行率指标、效益指标和满意度指标。产出指标设置为质量指标、时效指标、数量指标、成本指标；预算执行率指标主要反映的是资金下达数与资金执行数的情况；效益指标一般分为社会效益指标或者生态效益指标，社会效益指标主要体现的是该项目对城区建设、人民生活质量、农村环境治理、城市形象等方面的影响，生态效益指标一般体现的是该项目在保护生态环境、改善环境质量方面的作用；满意度指标主要体现的是服务对象对该项目的满意程度。</w:t>
      </w:r>
    </w:p>
    <w:p w14:paraId="0CF037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38034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设定为产出指标、预算执行率指标、效益指标和满意度指标。产出指标设置为质量指标、时效指标、数量指标、成本指标；预算执行率指标主要反映的是资金下达数与资金执行数的情况；效益指标一般分为社会效益指标或者生态效益指标，社会效益指标主要体现的是该项目对城区建设、人民生活质量、农村环境治理、城市形象等方面的影响，生态效益指标一般体现的是该项目在保护生态环境、改善环境质量方面的作用；满意度指标主要体现的是服务对象对该项目的满意程度。</w:t>
      </w:r>
    </w:p>
    <w:p w14:paraId="42BFC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356E9E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，满分100分，得出综合绩效评价等级为优秀。</w:t>
      </w:r>
    </w:p>
    <w:p w14:paraId="31225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）</w:t>
      </w:r>
    </w:p>
    <w:p w14:paraId="5708BB5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3C82F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793F6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无。</w:t>
      </w:r>
    </w:p>
    <w:p w14:paraId="51103E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7833F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无。</w:t>
      </w:r>
    </w:p>
    <w:p w14:paraId="7838CC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6A797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="640" w:firstLineChars="200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 w14:paraId="18559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Align w:val="center"/>
          </w:tcPr>
          <w:p w14:paraId="05C99A7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  <w:vAlign w:val="center"/>
          </w:tcPr>
          <w:p w14:paraId="07306B4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  <w:vAlign w:val="center"/>
          </w:tcPr>
          <w:p w14:paraId="4EA0B1D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51A11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  <w:vAlign w:val="center"/>
          </w:tcPr>
          <w:p w14:paraId="079123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石家庄市藁城区城市管理综合行政执法局</w:t>
            </w:r>
          </w:p>
        </w:tc>
        <w:tc>
          <w:tcPr>
            <w:tcW w:w="2265" w:type="dxa"/>
            <w:tcBorders>
              <w:left w:val="single" w:color="auto" w:sz="4" w:space="0"/>
            </w:tcBorders>
            <w:vAlign w:val="center"/>
          </w:tcPr>
          <w:p w14:paraId="0541DB8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  <w:vAlign w:val="center"/>
          </w:tcPr>
          <w:p w14:paraId="182BF66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216C8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  <w:vAlign w:val="center"/>
          </w:tcPr>
          <w:p w14:paraId="7E55D473">
            <w:pPr>
              <w:jc w:val="center"/>
            </w:pPr>
          </w:p>
        </w:tc>
        <w:tc>
          <w:tcPr>
            <w:tcW w:w="2265" w:type="dxa"/>
            <w:tcBorders>
              <w:left w:val="single" w:color="auto" w:sz="4" w:space="0"/>
            </w:tcBorders>
            <w:vAlign w:val="center"/>
          </w:tcPr>
          <w:p w14:paraId="4135DB6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  <w:vAlign w:val="center"/>
          </w:tcPr>
          <w:p w14:paraId="50E062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0710F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  <w:vAlign w:val="center"/>
          </w:tcPr>
          <w:p w14:paraId="649EDB4C">
            <w:pPr>
              <w:jc w:val="center"/>
            </w:pPr>
          </w:p>
        </w:tc>
        <w:tc>
          <w:tcPr>
            <w:tcW w:w="2265" w:type="dxa"/>
            <w:tcBorders>
              <w:left w:val="single" w:color="auto" w:sz="4" w:space="0"/>
            </w:tcBorders>
            <w:vAlign w:val="center"/>
          </w:tcPr>
          <w:p w14:paraId="65CAD6B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  <w:tc>
          <w:tcPr>
            <w:tcW w:w="2867" w:type="dxa"/>
            <w:tcBorders>
              <w:left w:val="single" w:color="auto" w:sz="4" w:space="0"/>
            </w:tcBorders>
            <w:vAlign w:val="center"/>
          </w:tcPr>
          <w:p w14:paraId="20BF72C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</w:tbl>
    <w:p w14:paraId="7E5B7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CAAD82E-87CF-4D2E-866A-277C60334FA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77D5A0F-A7F5-4639-BD7C-3316AB70264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061004FC-756D-433C-AE0F-AE163208ED4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64514F14-0BBB-4062-A56C-6BEEC1F1E386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88EA52A5-E000-41A4-8102-F9A5A1E3494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04CCEDFE-6FE9-439D-B3F3-9B0B0746BB1B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4D8AE74A-361B-4CB4-8FC6-D86D3552BE1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97620A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7927DDF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7927DDF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EC5F2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zQ5NDk1Mzc5YWZiYjA3YjMxZTg3N2YzMWFiZDc0MzcifQ=="/>
  </w:docVars>
  <w:rsids>
    <w:rsidRoot w:val="00000000"/>
    <w:rsid w:val="02B1196D"/>
    <w:rsid w:val="0C4C19FC"/>
    <w:rsid w:val="134F6B82"/>
    <w:rsid w:val="13955CCA"/>
    <w:rsid w:val="3DDE37D0"/>
    <w:rsid w:val="45E447C0"/>
    <w:rsid w:val="4ECF5D56"/>
    <w:rsid w:val="58B8456C"/>
    <w:rsid w:val="59E300C8"/>
    <w:rsid w:val="69206851"/>
    <w:rsid w:val="6A6F694A"/>
    <w:rsid w:val="778A0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6</Pages>
  <Words>2518</Words>
  <Characters>2643</Characters>
  <Lines>0</Lines>
  <Paragraphs>31</Paragraphs>
  <TotalTime>299</TotalTime>
  <ScaleCrop>false</ScaleCrop>
  <LinksUpToDate>false</LinksUpToDate>
  <CharactersWithSpaces>2644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2025-07-17T01:33:37Z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eyJoZGlkIjoiZWFiZDA5ODMyMjczYmM0MDUyYjk1NDhmMzg4ZjdmODkiLCJ1c2VySWQiOiIxNTUwMjQwMDk2In0=</vt:lpwstr>
  </property>
</Properties>
</file>