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61E323">
      <w:pPr>
        <w:adjustRightInd w:val="0"/>
        <w:snapToGrid w:val="0"/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7981EAAD">
      <w:pPr>
        <w:adjustRightInd w:val="0"/>
        <w:snapToGrid w:val="0"/>
        <w:spacing w:line="560" w:lineRule="exact"/>
        <w:rPr>
          <w:rFonts w:ascii="黑体" w:hAnsi="黑体" w:eastAsia="黑体" w:cs="黑体"/>
          <w:sz w:val="32"/>
          <w:szCs w:val="32"/>
        </w:rPr>
      </w:pPr>
    </w:p>
    <w:p w14:paraId="04C7221B">
      <w:pPr>
        <w:snapToGrid w:val="0"/>
        <w:spacing w:beforeLines="100" w:afterLines="50" w:line="560" w:lineRule="exact"/>
        <w:jc w:val="center"/>
        <w:rPr>
          <w:rFonts w:cs="方正小标宋简体" w:asciiTheme="majorEastAsia" w:hAnsiTheme="majorEastAsia" w:eastAsiaTheme="majorEastAsia"/>
          <w:sz w:val="44"/>
          <w:szCs w:val="44"/>
        </w:rPr>
      </w:pPr>
      <w:r>
        <w:rPr>
          <w:rFonts w:hint="eastAsia" w:cs="方正小标宋简体" w:asciiTheme="majorEastAsia" w:hAnsiTheme="majorEastAsia" w:eastAsiaTheme="majorEastAsia"/>
          <w:sz w:val="44"/>
          <w:szCs w:val="44"/>
        </w:rPr>
        <w:t>石家庄市藁城区融媒体中心</w:t>
      </w:r>
    </w:p>
    <w:p w14:paraId="7BED4ADB">
      <w:pPr>
        <w:snapToGrid w:val="0"/>
        <w:spacing w:line="560" w:lineRule="exact"/>
        <w:jc w:val="center"/>
        <w:rPr>
          <w:rFonts w:cs="方正小标宋_GBK" w:asciiTheme="majorEastAsia" w:hAnsiTheme="majorEastAsia" w:eastAsiaTheme="majorEastAsia"/>
          <w:b/>
          <w:bCs/>
          <w:sz w:val="44"/>
          <w:szCs w:val="44"/>
        </w:rPr>
      </w:pPr>
      <w:r>
        <w:rPr>
          <w:rFonts w:hint="eastAsia" w:cs="方正小标宋简体" w:asciiTheme="majorEastAsia" w:hAnsiTheme="majorEastAsia" w:eastAsiaTheme="majorEastAsia"/>
          <w:sz w:val="44"/>
          <w:szCs w:val="44"/>
        </w:rPr>
        <w:t>2024年度整体支出绩效自评报告</w:t>
      </w:r>
    </w:p>
    <w:p w14:paraId="73D0512F">
      <w:pPr>
        <w:snapToGrid w:val="0"/>
        <w:spacing w:line="56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400E41C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贯彻落实区委区政府《关于全面落实预算绩效管理的实施意见》（藁发〔2019〕9号）文件精神，遵循“科学性、规范性、客观性和公正性”的原则，对藁城区融媒体中心部门202</w:t>
      </w:r>
      <w:r>
        <w:rPr>
          <w:rFonts w:ascii="仿宋" w:hAnsi="仿宋" w:eastAsia="仿宋" w:cs="仿宋_GB2312"/>
          <w:sz w:val="32"/>
          <w:szCs w:val="32"/>
        </w:rPr>
        <w:t>4</w:t>
      </w:r>
      <w:r>
        <w:rPr>
          <w:rFonts w:hint="eastAsia" w:ascii="仿宋" w:hAnsi="仿宋" w:eastAsia="仿宋" w:cs="仿宋_GB2312"/>
          <w:sz w:val="32"/>
          <w:szCs w:val="32"/>
        </w:rPr>
        <w:t>年度整体支出情况实施了财政支出绩效自评价，形成本评价报告。</w:t>
      </w:r>
    </w:p>
    <w:p w14:paraId="473ABD84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一、部门基本情况</w:t>
      </w:r>
    </w:p>
    <w:p w14:paraId="1E9BBCEF">
      <w:pPr>
        <w:adjustRightInd w:val="0"/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7C726F98">
      <w:pPr>
        <w:numPr>
          <w:ilvl w:val="0"/>
          <w:numId w:val="1"/>
        </w:numPr>
        <w:snapToGrid w:val="0"/>
        <w:spacing w:line="56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基本情况</w:t>
      </w:r>
    </w:p>
    <w:p w14:paraId="7B6FFAA3">
      <w:pPr>
        <w:pStyle w:val="5"/>
        <w:tabs>
          <w:tab w:val="left" w:pos="523"/>
        </w:tabs>
        <w:spacing w:line="60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2019年，根据中共藁城区委机构编制委员会下发了《关于设立藁城区融媒体中心的通知》（藁编〔2019〕15号）,整合藁城广播电视台与藁城报社两家单位，设立藁城区融媒体中心,为区委直属事业单位，公益二类，规格正科级，经费形式为财政性资金基本保障，核定事业编制49个,编制来源为原藁城区广播电视台全额事业编制36名和原藁城报社全额事业编制13名，设主任1名(正科级),副主任3名(其中一名副主任兼任总编，副科级)，内设新闻采编部、新媒体部、平媒部、专题部、策划运营部、发射播出部、办公室、总编室8个部室。</w:t>
      </w:r>
    </w:p>
    <w:p w14:paraId="0337DDC3">
      <w:pPr>
        <w:numPr>
          <w:ilvl w:val="0"/>
          <w:numId w:val="1"/>
        </w:numPr>
        <w:snapToGrid w:val="0"/>
        <w:spacing w:line="56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部门职责</w:t>
      </w:r>
    </w:p>
    <w:p w14:paraId="04D13D03">
      <w:pPr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（一）负责区域内各类新闻资讯的采集和编辑;宣传上级党委的决策部署,中心工作及重点工作,宣传本地党委和政府工作安排,传播本地政经资讯;向基层干部群众提供政务服务、生活服务、社会传播、教育培训等综合服务。</w:t>
      </w:r>
    </w:p>
    <w:p w14:paraId="3EE26B21">
      <w:pPr>
        <w:pStyle w:val="14"/>
        <w:rPr>
          <w:rFonts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ascii="仿宋" w:hAnsi="仿宋" w:eastAsia="仿宋" w:cs="仿宋"/>
          <w:kern w:val="2"/>
          <w:sz w:val="32"/>
          <w:szCs w:val="32"/>
          <w:lang w:eastAsia="zh-CN"/>
        </w:rPr>
        <w:t>（二）加快推进藁城区原有纸媒、广电媒体和新媒体的全面融合。</w:t>
      </w:r>
    </w:p>
    <w:p w14:paraId="45052659">
      <w:pPr>
        <w:pStyle w:val="14"/>
        <w:rPr>
          <w:rFonts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ascii="仿宋" w:hAnsi="仿宋" w:eastAsia="仿宋" w:cs="仿宋"/>
          <w:kern w:val="2"/>
          <w:sz w:val="32"/>
          <w:szCs w:val="32"/>
          <w:lang w:eastAsia="zh-CN"/>
        </w:rPr>
        <w:t>（三）将融媒体中心打造成“资源通融、内容兼容、宣传互融、利益共融”的新型媒体平台，做大做强主流媒体，从而聚集起海量用户。</w:t>
      </w:r>
    </w:p>
    <w:p w14:paraId="340DD4B9">
      <w:pPr>
        <w:pStyle w:val="14"/>
        <w:rPr>
          <w:rFonts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ascii="仿宋" w:hAnsi="仿宋" w:eastAsia="仿宋" w:cs="仿宋"/>
          <w:kern w:val="2"/>
          <w:sz w:val="32"/>
          <w:szCs w:val="32"/>
          <w:lang w:eastAsia="zh-CN"/>
        </w:rPr>
        <w:t>（四）为现代传播体系的形成打下良好基础，不断提高藁城融媒体中心新闻舆论的传播力、引导力、影响力、公信力；通过讲好藁城故事，进一步提升藁城对外的知名度和美誉度。</w:t>
      </w:r>
    </w:p>
    <w:p w14:paraId="091D2F32">
      <w:pPr>
        <w:pStyle w:val="14"/>
        <w:rPr>
          <w:rFonts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ascii="仿宋" w:hAnsi="仿宋" w:eastAsia="仿宋" w:cs="仿宋"/>
          <w:kern w:val="2"/>
          <w:sz w:val="32"/>
          <w:szCs w:val="32"/>
          <w:lang w:eastAsia="zh-CN"/>
        </w:rPr>
        <w:t>（五）贯彻落实党的宣传、创作方针政策，加强本区报纸、电视、网络新媒体阵地管理，把握正确的舆论导向和创作导向。</w:t>
      </w:r>
    </w:p>
    <w:p w14:paraId="482ABAA1">
      <w:pPr>
        <w:pStyle w:val="14"/>
        <w:rPr>
          <w:rFonts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ascii="仿宋" w:hAnsi="仿宋" w:eastAsia="仿宋" w:cs="仿宋"/>
          <w:kern w:val="2"/>
          <w:sz w:val="32"/>
          <w:szCs w:val="32"/>
          <w:lang w:eastAsia="zh-CN"/>
        </w:rPr>
        <w:t>（六）完成区委、区政府交办的其他任务。</w:t>
      </w:r>
    </w:p>
    <w:p w14:paraId="5792D242">
      <w:pPr>
        <w:snapToGri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3、内设股室及人员数量</w:t>
      </w:r>
    </w:p>
    <w:p w14:paraId="29F69F93">
      <w:pPr>
        <w:pStyle w:val="14"/>
        <w:rPr>
          <w:rFonts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eastAsia="zh-CN"/>
        </w:rPr>
        <w:t>经区委编委会研究，藁城区融媒体中心设有办公室、总编室、新闻采编部、发射播出部、策划运营部、新媒体部、平媒部8个内设股室。截止2024年年底我单位在职人数为41人，其中中层人员9人，劳务派遣人员7人，截止年底临聘人员9名，有线电视台19名自收自支人员作为下属单位人员，也挂靠在融媒体中心。</w:t>
      </w:r>
    </w:p>
    <w:p w14:paraId="197C013C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4、部门整体支出概况</w:t>
      </w:r>
    </w:p>
    <w:p w14:paraId="78879B6C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（1）2024年全年收入为13245664.98元，其中：财政拨款收入为13245664.98元，非财政补助收入0元。</w:t>
      </w:r>
    </w:p>
    <w:p w14:paraId="15142A61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（2）2023年全年支出为13245664.98元，其中：基本支出8116729.29元，项目支出5128935.69元。</w:t>
      </w:r>
    </w:p>
    <w:p w14:paraId="3AB0C7C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</w:t>
      </w:r>
      <w:r>
        <w:rPr>
          <w:rFonts w:hint="eastAsia" w:ascii="仿宋" w:hAnsi="仿宋" w:eastAsia="仿宋" w:cs="楷体_GB2312"/>
          <w:sz w:val="32"/>
          <w:szCs w:val="32"/>
        </w:rPr>
        <w:t>整体支出绩效目标</w:t>
      </w:r>
    </w:p>
    <w:p w14:paraId="2BB94F86">
      <w:pPr>
        <w:snapToGrid w:val="0"/>
        <w:spacing w:line="560" w:lineRule="exact"/>
        <w:ind w:firstLine="640" w:firstLineChars="2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坚持以习近平新时代中国特色社会主义思想为指导，围绕融媒体自身特点，确定“新、智、融、监”职能定位，坚持守正创新，围绕全区工作大局</w:t>
      </w:r>
      <w:r>
        <w:rPr>
          <w:rFonts w:ascii="仿宋" w:hAnsi="仿宋" w:eastAsia="仿宋" w:cs="宋体"/>
          <w:kern w:val="0"/>
          <w:sz w:val="32"/>
          <w:szCs w:val="32"/>
        </w:rPr>
        <w:t>,</w:t>
      </w:r>
      <w:r>
        <w:rPr>
          <w:rFonts w:hint="eastAsia" w:ascii="仿宋" w:hAnsi="仿宋" w:eastAsia="仿宋" w:cs="宋体"/>
          <w:kern w:val="0"/>
          <w:sz w:val="32"/>
          <w:szCs w:val="32"/>
        </w:rPr>
        <w:t>统筹广播、新媒体、电视宣传工作，切实加强意识形态管理；做优“智慧融媒体”，构建全媒体传播格局，着力推进各媒体深度融合发展；做强“法治融媒体”，做好“综合融媒体”，繁荣广播电视和网络视听节目精品创作生产；加快优化升级，加快推进藁城区原有纸媒、广电媒体和新媒体的全面融合，加快优化升级，提升融媒体中心公共服务能力和水平。积极履职尽责，勇于担当作为、锐意改革创新，向基层干部群众提供政务服务、生活服务、社会传播、教育培训等综合服务，不断提高藁城融媒体中心新闻舆论的传播力、引导力、影响力、公信力；通过讲好藁城故事，进一步提升藁城对外的知名度和美誉度。</w:t>
      </w:r>
    </w:p>
    <w:p w14:paraId="3F614F6C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6.</w:t>
      </w:r>
      <w:r>
        <w:rPr>
          <w:rFonts w:hint="eastAsia" w:ascii="仿宋" w:hAnsi="仿宋" w:eastAsia="仿宋" w:cs="仿宋_GB2312"/>
          <w:sz w:val="32"/>
          <w:szCs w:val="32"/>
        </w:rPr>
        <w:t>预决算公开：</w:t>
      </w:r>
    </w:p>
    <w:p w14:paraId="24EF8356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2024年按上级要求我单位在政府网站进行预决算公开。</w:t>
      </w:r>
    </w:p>
    <w:p w14:paraId="229E67F8">
      <w:pPr>
        <w:numPr>
          <w:ilvl w:val="0"/>
          <w:numId w:val="2"/>
        </w:num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自评工作开展情况</w:t>
      </w:r>
    </w:p>
    <w:p w14:paraId="43C36765">
      <w:pPr>
        <w:pStyle w:val="15"/>
        <w:numPr>
          <w:ilvl w:val="0"/>
          <w:numId w:val="3"/>
        </w:numPr>
        <w:adjustRightInd w:val="0"/>
        <w:snapToGrid w:val="0"/>
        <w:spacing w:line="560" w:lineRule="exact"/>
        <w:ind w:firstLineChars="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绩效评价目的</w:t>
      </w:r>
    </w:p>
    <w:p w14:paraId="450692D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贯彻落实《预算法》，严格执行省、市、区绩效管理工作有关规定，进一步规范财政资金管理，强化财政支出绩效理念，提升部门责任意识，提高资金使用效益，促进</w:t>
      </w:r>
      <w:r>
        <w:rPr>
          <w:rFonts w:hint="eastAsia" w:ascii="仿宋" w:hAnsi="仿宋" w:eastAsia="仿宋"/>
          <w:sz w:val="32"/>
          <w:szCs w:val="32"/>
        </w:rPr>
        <w:t>中心</w:t>
      </w:r>
      <w:r>
        <w:rPr>
          <w:rFonts w:hint="eastAsia" w:ascii="仿宋" w:hAnsi="仿宋" w:eastAsia="仿宋" w:cs="仿宋_GB2312"/>
          <w:sz w:val="32"/>
          <w:szCs w:val="32"/>
        </w:rPr>
        <w:t>发展。</w:t>
      </w:r>
    </w:p>
    <w:p w14:paraId="77BEB96E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（二）绩效评价的主要过程</w:t>
      </w:r>
    </w:p>
    <w:p w14:paraId="70F44AB7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根据绩效评价的要求，成立了自评工作领导小组，对照自评方案进行研究布署，党组成员及各股室全程参与，按照自评方案的要求，对照各实施项目的内容逐条逐项自评，及时发现问题，查找原因，纠正偏差，为下一步工作夯实基础。</w:t>
      </w:r>
    </w:p>
    <w:p w14:paraId="1525B362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三、部门整体支出绩效目标实现情况及指标分析</w:t>
      </w:r>
    </w:p>
    <w:p w14:paraId="6C4D93B8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（一）总体工作开展</w:t>
      </w:r>
    </w:p>
    <w:p w14:paraId="16B67C2E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2024年我单位较高效率的使用了各项资金，基本完成了项目的绩效目标，基本完成了一事一议，会计监督检查、评审中心评审等工作，项目综合评价为优秀。</w:t>
      </w:r>
    </w:p>
    <w:p w14:paraId="73429262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（二）专项资金和具体预算支出项目的完成情况</w:t>
      </w:r>
    </w:p>
    <w:p w14:paraId="455D1D1F">
      <w:pPr>
        <w:snapToGrid w:val="0"/>
        <w:spacing w:line="560" w:lineRule="exact"/>
        <w:ind w:firstLine="643" w:firstLineChars="2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已支出项目：</w:t>
      </w:r>
    </w:p>
    <w:p w14:paraId="392D5DDF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1.2024年省级公共文化服务体系建设补助资金，2024年该项目预算6.02万元，预算执行率100%，资金到位率100%</w:t>
      </w:r>
    </w:p>
    <w:p w14:paraId="759BF11D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2024-2025年度取暖费，2024年该项目预算15.5万元，预算执行率100%，资金到位率100%。</w:t>
      </w:r>
    </w:p>
    <w:p w14:paraId="36434163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补发退休人员尹东风各项资金，2024年该项目预算8.5277万元，预算执行率100%，资金到位率100%。</w:t>
      </w:r>
    </w:p>
    <w:p w14:paraId="143D9AFB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4.劳务派遣人员经费，2024年该项目预算36.282835万元，预算执行率94.28%，资金到位率100%。</w:t>
      </w:r>
    </w:p>
    <w:p w14:paraId="256F8FF4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5.电视台运行费，2024年该项目预算30万元，预算执行率99.93%，资金到位率100%。</w:t>
      </w:r>
    </w:p>
    <w:p w14:paraId="3C0CD381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6.融媒体中心办公经费，2024年该项目预算40万元，预算执行率94.59%，资金到位率100%。</w:t>
      </w:r>
    </w:p>
    <w:p w14:paraId="1A240B06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7.电视台自收自支人员经费，2024年该项目预算297.884458万元，预算执行率100%，资金到位率100%。</w:t>
      </w:r>
    </w:p>
    <w:p w14:paraId="463536B2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8.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电视塔机房电费，2024年该项目预算8.7226万元，预算执行率100%，资金到位率100%。</w:t>
      </w:r>
    </w:p>
    <w:p w14:paraId="528F5018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9.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广电大楼办理不动产登记手续相关费用，2024年该项目预算47.697334万元，预算执行率100%，资金到位率100%。</w:t>
      </w:r>
    </w:p>
    <w:p w14:paraId="2BDE06B2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修缮广电大楼房顶资金，2024年该项目预算9.92万元，预算执行率100%，资金到位率100%。</w:t>
      </w:r>
    </w:p>
    <w:p w14:paraId="5968A377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11.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演播大厅钢结构防火涂料和消防安全资金，2024年该项目预算16.5971万元，预算执行率100%，资金到位率100%。</w:t>
      </w:r>
    </w:p>
    <w:p w14:paraId="42FB98A4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四、评价结论和评价等级</w:t>
      </w:r>
    </w:p>
    <w:p w14:paraId="6808F560">
      <w:pPr>
        <w:pStyle w:val="16"/>
        <w:ind w:firstLine="640"/>
        <w:rPr>
          <w:rFonts w:ascii="仿宋" w:hAnsi="仿宋" w:eastAsia="仿宋"/>
        </w:rPr>
      </w:pPr>
      <w:r>
        <w:rPr>
          <w:rFonts w:hint="eastAsia" w:ascii="仿宋" w:hAnsi="仿宋" w:eastAsia="仿宋" w:cs="仿宋_GB2312"/>
          <w:sz w:val="32"/>
          <w:szCs w:val="32"/>
        </w:rPr>
        <w:t>通过2024年绩效自评，2024年年初绩效目标设定质量较好，绩效目标设定比较清晰准确，绩效指标比较全面完整、科学合理，绩效标准比较恰当适宜、易于评价。</w:t>
      </w:r>
      <w:r>
        <w:rPr>
          <w:rFonts w:hint="eastAsia" w:ascii="仿宋" w:hAnsi="仿宋" w:eastAsia="仿宋" w:cs="仿宋"/>
          <w:sz w:val="32"/>
          <w:szCs w:val="32"/>
        </w:rPr>
        <w:t>我部门专项资金到位率和支出率达到90%以上，各项目的预期绩效目标完成率在85%以上，评价结果为优秀。</w:t>
      </w:r>
    </w:p>
    <w:p w14:paraId="46EFB50F">
      <w:pPr>
        <w:numPr>
          <w:ilvl w:val="0"/>
          <w:numId w:val="4"/>
        </w:numPr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6DADA201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2024年，我单位严格按照预算项目绩效自评管理办法，及时开展项目落实，为全年工作的开展提供了保障，但还是存在绩效制度不健全、绩效管理质量不高的问题，以后将从几个方面加强绩效管理：</w:t>
      </w:r>
    </w:p>
    <w:p w14:paraId="1C894F9C">
      <w:pPr>
        <w:numPr>
          <w:ilvl w:val="0"/>
          <w:numId w:val="5"/>
        </w:num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加强绩效制度建设。完善绩效管理和评价管理，加强预算编制的前瞻性。</w:t>
      </w:r>
    </w:p>
    <w:p w14:paraId="65783C7B">
      <w:pPr>
        <w:numPr>
          <w:ilvl w:val="0"/>
          <w:numId w:val="5"/>
        </w:num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强化绩效目标管理。</w:t>
      </w:r>
    </w:p>
    <w:p w14:paraId="01F9CB41">
      <w:pPr>
        <w:numPr>
          <w:ilvl w:val="0"/>
          <w:numId w:val="5"/>
        </w:num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加强绩效运行监管。</w:t>
      </w:r>
    </w:p>
    <w:p w14:paraId="766CF8AB">
      <w:pPr>
        <w:numPr>
          <w:ilvl w:val="0"/>
          <w:numId w:val="5"/>
        </w:num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根据中心实际情况制定收费项目下年度预算数。</w:t>
      </w:r>
    </w:p>
    <w:p w14:paraId="29A733F4">
      <w:pPr>
        <w:numPr>
          <w:ilvl w:val="0"/>
          <w:numId w:val="5"/>
        </w:numPr>
        <w:adjustRightInd w:val="0"/>
        <w:snapToGrid w:val="0"/>
        <w:spacing w:line="560" w:lineRule="exac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精准编制预算，严格按照政策标准，优化支出结构，加快工作进度，提高预算编制的科学化精细化水平，根据中心实际情况严格制定下年度年初预算。</w:t>
      </w:r>
    </w:p>
    <w:p w14:paraId="09B800BB">
      <w:pPr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5B90CFFD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6"/>
        <w:gridCol w:w="2410"/>
        <w:gridCol w:w="1833"/>
        <w:gridCol w:w="2268"/>
      </w:tblGrid>
      <w:tr w14:paraId="41B35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36" w:type="dxa"/>
          </w:tcPr>
          <w:p w14:paraId="09B88A87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2410" w:type="dxa"/>
          </w:tcPr>
          <w:p w14:paraId="53717493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职务/职称</w:t>
            </w:r>
          </w:p>
        </w:tc>
        <w:tc>
          <w:tcPr>
            <w:tcW w:w="1833" w:type="dxa"/>
          </w:tcPr>
          <w:p w14:paraId="00F9F56D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姓名</w:t>
            </w:r>
          </w:p>
        </w:tc>
        <w:tc>
          <w:tcPr>
            <w:tcW w:w="2268" w:type="dxa"/>
          </w:tcPr>
          <w:p w14:paraId="14DC6BE0">
            <w:pPr>
              <w:spacing w:line="560" w:lineRule="exact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签名</w:t>
            </w:r>
          </w:p>
        </w:tc>
      </w:tr>
      <w:tr w14:paraId="46EE4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36" w:type="dxa"/>
            <w:vMerge w:val="restart"/>
          </w:tcPr>
          <w:p w14:paraId="1A2268F4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藁城区融媒体中心</w:t>
            </w:r>
          </w:p>
        </w:tc>
        <w:tc>
          <w:tcPr>
            <w:tcW w:w="2410" w:type="dxa"/>
            <w:tcBorders>
              <w:left w:val="single" w:color="auto" w:sz="4" w:space="0"/>
            </w:tcBorders>
          </w:tcPr>
          <w:p w14:paraId="35A1E373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区融媒体中心主任</w:t>
            </w:r>
          </w:p>
        </w:tc>
        <w:tc>
          <w:tcPr>
            <w:tcW w:w="1833" w:type="dxa"/>
            <w:tcBorders>
              <w:left w:val="single" w:color="auto" w:sz="4" w:space="0"/>
            </w:tcBorders>
          </w:tcPr>
          <w:p w14:paraId="3BA63BC8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赵华彬</w:t>
            </w:r>
          </w:p>
        </w:tc>
        <w:tc>
          <w:tcPr>
            <w:tcW w:w="2268" w:type="dxa"/>
            <w:tcBorders>
              <w:left w:val="single" w:color="auto" w:sz="4" w:space="0"/>
            </w:tcBorders>
          </w:tcPr>
          <w:p w14:paraId="4F84840C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  <w:tr w14:paraId="6F52D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36" w:type="dxa"/>
            <w:vMerge w:val="continue"/>
          </w:tcPr>
          <w:p w14:paraId="3DC33110"/>
        </w:tc>
        <w:tc>
          <w:tcPr>
            <w:tcW w:w="2410" w:type="dxa"/>
            <w:tcBorders>
              <w:left w:val="single" w:color="auto" w:sz="4" w:space="0"/>
            </w:tcBorders>
          </w:tcPr>
          <w:p w14:paraId="6448348E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区融媒体中心副主任</w:t>
            </w:r>
          </w:p>
        </w:tc>
        <w:tc>
          <w:tcPr>
            <w:tcW w:w="1833" w:type="dxa"/>
            <w:tcBorders>
              <w:left w:val="single" w:color="auto" w:sz="4" w:space="0"/>
            </w:tcBorders>
          </w:tcPr>
          <w:p w14:paraId="273D5965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李立松</w:t>
            </w:r>
          </w:p>
        </w:tc>
        <w:tc>
          <w:tcPr>
            <w:tcW w:w="2268" w:type="dxa"/>
            <w:tcBorders>
              <w:left w:val="single" w:color="auto" w:sz="4" w:space="0"/>
            </w:tcBorders>
          </w:tcPr>
          <w:p w14:paraId="038D9BE6">
            <w:pPr>
              <w:spacing w:line="56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  <w:tr w14:paraId="1171D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36" w:type="dxa"/>
            <w:vMerge w:val="continue"/>
          </w:tcPr>
          <w:p w14:paraId="19758D11">
            <w:pPr>
              <w:spacing w:line="400" w:lineRule="exact"/>
            </w:pPr>
          </w:p>
        </w:tc>
        <w:tc>
          <w:tcPr>
            <w:tcW w:w="2410" w:type="dxa"/>
            <w:tcBorders>
              <w:left w:val="single" w:color="auto" w:sz="4" w:space="0"/>
            </w:tcBorders>
          </w:tcPr>
          <w:p w14:paraId="37410525">
            <w:pPr>
              <w:spacing w:line="40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区融媒体中心办公室主任</w:t>
            </w:r>
          </w:p>
        </w:tc>
        <w:tc>
          <w:tcPr>
            <w:tcW w:w="1833" w:type="dxa"/>
            <w:tcBorders>
              <w:left w:val="single" w:color="auto" w:sz="4" w:space="0"/>
            </w:tcBorders>
          </w:tcPr>
          <w:p w14:paraId="4282C377">
            <w:pPr>
              <w:spacing w:line="40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王景</w:t>
            </w:r>
          </w:p>
        </w:tc>
        <w:tc>
          <w:tcPr>
            <w:tcW w:w="2268" w:type="dxa"/>
            <w:tcBorders>
              <w:left w:val="single" w:color="auto" w:sz="4" w:space="0"/>
            </w:tcBorders>
          </w:tcPr>
          <w:p w14:paraId="33709C1A">
            <w:pPr>
              <w:spacing w:line="400" w:lineRule="exact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</w:tbl>
    <w:p w14:paraId="67DA8A63">
      <w:pPr>
        <w:snapToGrid w:val="0"/>
        <w:spacing w:line="400" w:lineRule="exact"/>
        <w:rPr>
          <w:rFonts w:ascii="仿宋_GB2312" w:hAnsi="仿宋_GB2312" w:eastAsia="仿宋_GB2312" w:cs="仿宋_GB2312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A3214EC-8405-4EDF-983C-90A39F2EB2A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2" w:fontKey="{EF56896F-74AF-4558-A38F-639EE58E6410}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3" w:fontKey="{6FC90C34-3BBC-4DE7-82EF-B0CC98E4CD41}"/>
  </w:font>
  <w:font w:name="hakuyoxingshu700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82016" w:usb3="00000000" w:csb0="00040001" w:csb1="00000000"/>
    <w:embedRegular r:id="rId4" w:fontKey="{90A3B980-59BD-4163-B9FE-5529DA5F7758}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5" w:fontKey="{27BFAA62-43C6-40AD-896D-C301BE774A6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BE214D65-6B4E-4F2D-A1ED-42723756C538}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7" w:fontKey="{B4DFAA80-3E3D-4164-A0B2-A1EA6E39A295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C81617">
    <w:r>
      <w:pict>
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<v:path/>
          <v:fill on="f" focussize="0,0"/>
          <v:stroke on="f" joinstyle="round"/>
          <v:imagedata o:title=""/>
          <o:lock v:ext="edit"/>
          <v:textbox inset="0mm,0mm,0mm,0mm" style="mso-fit-shape-to-text:t;">
            <w:txbxContent>
              <w:p w14:paraId="3AD87BC7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- 4 -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rect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3E02C6">
    <w:pPr>
      <w:pStyle w:val="7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DD7F831"/>
    <w:multiLevelType w:val="singleLevel"/>
    <w:tmpl w:val="0DD7F831"/>
    <w:lvl w:ilvl="0" w:tentative="0">
      <w:start w:val="1"/>
      <w:numFmt w:val="decimal"/>
      <w:suff w:val="nothing"/>
      <w:lvlText w:val="%1、"/>
      <w:lvlJc w:val="left"/>
      <w:pPr>
        <w:ind w:left="-10"/>
      </w:pPr>
    </w:lvl>
  </w:abstractNum>
  <w:abstractNum w:abstractNumId="2">
    <w:nsid w:val="28EB73C1"/>
    <w:multiLevelType w:val="multilevel"/>
    <w:tmpl w:val="28EB73C1"/>
    <w:lvl w:ilvl="0" w:tentative="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2F52105F"/>
    <w:multiLevelType w:val="multilevel"/>
    <w:tmpl w:val="2F52105F"/>
    <w:lvl w:ilvl="0" w:tentative="0">
      <w:start w:val="1"/>
      <w:numFmt w:val="japaneseCounting"/>
      <w:lvlText w:val="（%1）"/>
      <w:lvlJc w:val="left"/>
      <w:pPr>
        <w:ind w:left="1080" w:hanging="10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GE2ZDVhYjFkNzNmZjA0ZTExM2M2ODcxZGVjNWRjNGEifQ=="/>
  </w:docVars>
  <w:rsids>
    <w:rsidRoot w:val="00514E21"/>
    <w:rsid w:val="000E1A56"/>
    <w:rsid w:val="00196DA0"/>
    <w:rsid w:val="00240F21"/>
    <w:rsid w:val="003744AF"/>
    <w:rsid w:val="003D4D49"/>
    <w:rsid w:val="00414632"/>
    <w:rsid w:val="00514E21"/>
    <w:rsid w:val="005578EB"/>
    <w:rsid w:val="006657F6"/>
    <w:rsid w:val="006B36C9"/>
    <w:rsid w:val="00750148"/>
    <w:rsid w:val="00BE77DF"/>
    <w:rsid w:val="00C031AA"/>
    <w:rsid w:val="00DD33EE"/>
    <w:rsid w:val="02B1196D"/>
    <w:rsid w:val="12AB63C6"/>
    <w:rsid w:val="134F6B82"/>
    <w:rsid w:val="13955CCA"/>
    <w:rsid w:val="3DDE37D0"/>
    <w:rsid w:val="58B8456C"/>
    <w:rsid w:val="6920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1"/>
    </w:pPr>
    <w:rPr>
      <w:rFonts w:eastAsia="黑体"/>
      <w:b/>
      <w:bCs/>
      <w:sz w:val="32"/>
      <w:szCs w:val="32"/>
    </w:rPr>
  </w:style>
  <w:style w:type="paragraph" w:styleId="4">
    <w:name w:val="heading 3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 Indent"/>
    <w:basedOn w:val="1"/>
    <w:link w:val="13"/>
    <w:autoRedefine/>
    <w:qFormat/>
    <w:uiPriority w:val="0"/>
    <w:pPr>
      <w:ind w:firstLine="480" w:firstLineChars="200"/>
    </w:pPr>
    <w:rPr>
      <w:sz w:val="24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标题 1 Char"/>
    <w:basedOn w:val="9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1">
    <w:name w:val="标题 2 Char"/>
    <w:basedOn w:val="9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2">
    <w:name w:val="标题 3 Char"/>
    <w:basedOn w:val="9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3">
    <w:name w:val="正文文本缩进 Char"/>
    <w:basedOn w:val="9"/>
    <w:link w:val="5"/>
    <w:qFormat/>
    <w:uiPriority w:val="0"/>
    <w:rPr>
      <w:rFonts w:cs="Times New Roman"/>
      <w:kern w:val="2"/>
      <w:sz w:val="24"/>
      <w:szCs w:val="24"/>
    </w:rPr>
  </w:style>
  <w:style w:type="paragraph" w:customStyle="1" w:styleId="14">
    <w:name w:val="插入文本样式-插入部门职责文件"/>
    <w:basedOn w:val="1"/>
    <w:autoRedefine/>
    <w:qFormat/>
    <w:uiPriority w:val="0"/>
    <w:pPr>
      <w:widowControl/>
      <w:spacing w:line="500" w:lineRule="exact"/>
      <w:ind w:firstLine="560"/>
      <w:jc w:val="left"/>
    </w:pPr>
    <w:rPr>
      <w:rFonts w:eastAsia="方正仿宋_GBK"/>
      <w:kern w:val="0"/>
      <w:sz w:val="28"/>
      <w:lang w:eastAsia="uk-UA"/>
    </w:rPr>
  </w:style>
  <w:style w:type="paragraph" w:styleId="15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16">
    <w:name w:val="Body Text First Indent 21"/>
    <w:basedOn w:val="1"/>
    <w:qFormat/>
    <w:uiPriority w:val="0"/>
    <w:pPr>
      <w:spacing w:line="360" w:lineRule="auto"/>
      <w:ind w:firstLine="420" w:firstLineChars="200"/>
      <w:textAlignment w:val="baseline"/>
    </w:pPr>
    <w:rPr>
      <w:rFonts w:ascii="Calibri" w:hAnsi="Calibri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2882</Words>
  <Characters>3202</Characters>
  <Lines>23</Lines>
  <Paragraphs>6</Paragraphs>
  <TotalTime>1163</TotalTime>
  <ScaleCrop>false</ScaleCrop>
  <LinksUpToDate>false</LinksUpToDate>
  <CharactersWithSpaces>3209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温立婵</cp:lastModifiedBy>
  <cp:lastPrinted>2021-02-24T05:43:00Z</cp:lastPrinted>
  <dcterms:modified xsi:type="dcterms:W3CDTF">2025-06-16T09:15:34Z</dcterms:modified>
  <dc:title>附件2： 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eyJoZGlkIjoiZTRiMmEyMjhjZjE3OGE3NTJlYWM0N2ZhZTRjY2MwZWMiLCJ1c2VySWQiOiIxNjcxOTYxODE0In0=</vt:lpwstr>
  </property>
</Properties>
</file>