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10.odttf" ContentType="application/vnd.openxmlformats-officedocument.obfuscatedFont"/>
  <Override PartName="/word/fonts/font1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5F69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 w14:paraId="3A7361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200DF4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藁城区文化广电体育和旅游局</w:t>
      </w:r>
    </w:p>
    <w:p w14:paraId="41D5C7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部门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2024年度整体支出绩效自评报告</w:t>
      </w:r>
    </w:p>
    <w:p w14:paraId="5DBEE3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B69A4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则，对藁城区文化广电体育和旅游局部门202</w:t>
      </w:r>
      <w:r>
        <w:rPr>
          <w:rFonts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年度整体支出情况实施了财政支出绩效自评价，形成本评价报告。</w:t>
      </w:r>
    </w:p>
    <w:p w14:paraId="0A8B40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 w14:paraId="0BF24C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 w14:paraId="429EC7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640" w:firstLineChars="200"/>
        <w:textAlignment w:val="auto"/>
        <w:rPr>
          <w:rFonts w:hint="eastAsia" w:ascii="仿宋_GB2312" w:hAnsi="Calibri" w:eastAsia="仿宋_GB2312" w:cs="ArialUnicodeMS"/>
          <w:kern w:val="0"/>
          <w:sz w:val="32"/>
          <w:szCs w:val="32"/>
        </w:rPr>
      </w:pP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根据《藁城区文化体育部门职能配置、内设机构和人员编制方案》规定，藁城区文化体育部门的主要职责是：</w:t>
      </w:r>
    </w:p>
    <w:p w14:paraId="7C4902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640" w:firstLineChars="200"/>
        <w:textAlignment w:val="auto"/>
        <w:rPr>
          <w:rFonts w:hint="eastAsia" w:ascii="仿宋_GB2312" w:hAnsi="Calibri" w:eastAsia="仿宋_GB2312" w:cs="ArialUnicodeMS"/>
          <w:kern w:val="0"/>
          <w:sz w:val="32"/>
          <w:szCs w:val="32"/>
        </w:rPr>
      </w:pP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1、贯彻执行党和国家关于文化</w:t>
      </w: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、宣传、创作、广播电视、</w:t>
      </w: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体育</w:t>
      </w: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和旅游</w:t>
      </w: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方针政策</w:t>
      </w: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和决策部署</w:t>
      </w: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。</w:t>
      </w:r>
    </w:p>
    <w:p w14:paraId="1D19A0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640" w:firstLineChars="200"/>
        <w:textAlignment w:val="auto"/>
        <w:rPr>
          <w:rFonts w:hint="eastAsia" w:ascii="仿宋_GB2312" w:hAnsi="Calibri" w:eastAsia="仿宋_GB2312" w:cs="ArialUnicodeMS"/>
          <w:kern w:val="0"/>
          <w:sz w:val="32"/>
          <w:szCs w:val="32"/>
        </w:rPr>
      </w:pP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2、结合实际，制定我区文化体育、新闻出版音像图书、文化市场和电子网络工作发展规划和方案，并监督执行。</w:t>
      </w:r>
    </w:p>
    <w:p w14:paraId="2944EE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640" w:firstLineChars="200"/>
        <w:textAlignment w:val="auto"/>
        <w:rPr>
          <w:rFonts w:hint="eastAsia" w:ascii="仿宋_GB2312" w:hAnsi="Calibri" w:eastAsia="仿宋_GB2312" w:cs="ArialUnicodeMS"/>
          <w:kern w:val="0"/>
          <w:sz w:val="32"/>
          <w:szCs w:val="32"/>
        </w:rPr>
      </w:pP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3、负责</w:t>
      </w: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全区非物质文化遗产保护，推动非物质文化遗产的保护、传承、普及、弘扬和振兴</w:t>
      </w: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。</w:t>
      </w:r>
    </w:p>
    <w:p w14:paraId="384CC9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640" w:firstLineChars="200"/>
        <w:textAlignment w:val="auto"/>
        <w:rPr>
          <w:rFonts w:hint="eastAsia" w:ascii="仿宋_GB2312" w:hAnsi="Calibri" w:eastAsia="仿宋_GB2312" w:cs="ArialUnicodeMS"/>
          <w:kern w:val="0"/>
          <w:sz w:val="32"/>
          <w:szCs w:val="32"/>
        </w:rPr>
      </w:pP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4、培养和造就我区优秀的文化艺术人才和艺术团体，创作出大量为群众喜闻乐见、生动活泼的文化艺术作品。</w:t>
      </w:r>
    </w:p>
    <w:p w14:paraId="6F691B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640" w:firstLineChars="200"/>
        <w:textAlignment w:val="auto"/>
        <w:rPr>
          <w:rFonts w:hint="eastAsia" w:ascii="仿宋_GB2312" w:hAnsi="Calibri" w:eastAsia="仿宋_GB2312" w:cs="ArialUnicodeMS"/>
          <w:kern w:val="0"/>
          <w:sz w:val="32"/>
          <w:szCs w:val="32"/>
        </w:rPr>
      </w:pP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5、</w:t>
      </w: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负责文化、文物、新闻出版（版权）、广播电视、电影、旅游等市场综合执法；负责督查督办全区性跨区域性大案要案，维护市场秩序</w:t>
      </w: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。</w:t>
      </w:r>
    </w:p>
    <w:p w14:paraId="08B5AF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</w:pP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6、负责统筹规划全区竞技体育发展，确定全区青少年体育项目的设置和布局，指导全区青少年业余训练机构开展业余训练，建设区级青少年竞赛体系，组织协调由区级承办的重要竞技体育赛事，组织开展全区青少年反兴奋剂工作。</w:t>
      </w:r>
    </w:p>
    <w:p w14:paraId="46DA65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640" w:firstLineChars="200"/>
        <w:textAlignment w:val="auto"/>
        <w:rPr>
          <w:rFonts w:hint="eastAsia" w:ascii="仿宋_GB2312" w:hAnsi="Calibri" w:eastAsia="仿宋_GB2312" w:cs="ArialUnicodeMS"/>
          <w:kern w:val="0"/>
          <w:sz w:val="32"/>
          <w:szCs w:val="32"/>
          <w:lang w:eastAsia="zh-CN"/>
        </w:rPr>
      </w:pP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7、负责</w:t>
      </w: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文化遗产的管理和保护</w:t>
      </w: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。</w:t>
      </w: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指导和管理文物、博物馆事业，组织指导文物的保护抢救、考古发掘和开发利用工作。</w:t>
      </w:r>
    </w:p>
    <w:p w14:paraId="193779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640" w:firstLineChars="200"/>
        <w:textAlignment w:val="auto"/>
        <w:rPr>
          <w:rFonts w:hint="eastAsia" w:ascii="仿宋_GB2312" w:hAnsi="Calibri" w:eastAsia="仿宋_GB2312" w:cs="ArialUnicodeMS"/>
          <w:kern w:val="0"/>
          <w:sz w:val="32"/>
          <w:szCs w:val="32"/>
          <w:lang w:val="en-US" w:eastAsia="zh-CN"/>
        </w:rPr>
      </w:pPr>
      <w:r>
        <w:rPr>
          <w:rFonts w:hint="eastAsia" w:ascii="仿宋_GB2312" w:eastAsia="仿宋_GB2312" w:cs="ArialUnicodeMS"/>
          <w:kern w:val="0"/>
          <w:sz w:val="32"/>
          <w:szCs w:val="32"/>
          <w:lang w:val="en-US" w:eastAsia="zh-CN"/>
        </w:rPr>
        <w:t>8、负责统筹规划全区群众体育发展，推行全民健身计划，开展群众性体育活动，实施国家体育锻炼标准，开展国民体质监测，负责公共体育设施建设及监督管理工作。</w:t>
      </w:r>
    </w:p>
    <w:p w14:paraId="2C0357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640" w:firstLineChars="200"/>
        <w:textAlignment w:val="auto"/>
        <w:rPr>
          <w:rFonts w:hint="eastAsia" w:ascii="仿宋_GB2312" w:hAnsi="Calibri" w:eastAsia="仿宋_GB2312" w:cs="ArialUnicodeMS"/>
          <w:kern w:val="0"/>
          <w:sz w:val="32"/>
          <w:szCs w:val="32"/>
        </w:rPr>
      </w:pPr>
      <w:r>
        <w:rPr>
          <w:rFonts w:hint="eastAsia" w:ascii="仿宋_GB2312" w:eastAsia="仿宋_GB2312" w:cs="ArialUnicodeMS"/>
          <w:kern w:val="0"/>
          <w:sz w:val="32"/>
          <w:szCs w:val="32"/>
          <w:lang w:val="en-US" w:eastAsia="zh-CN"/>
        </w:rPr>
        <w:t>9</w:t>
      </w: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、</w:t>
      </w: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完成区委、区政府交办的其他任务</w:t>
      </w:r>
      <w:r>
        <w:rPr>
          <w:rFonts w:hint="eastAsia" w:ascii="仿宋_GB2312" w:hAnsi="Calibri" w:eastAsia="仿宋_GB2312" w:cs="ArialUnicodeMS"/>
          <w:kern w:val="0"/>
          <w:sz w:val="32"/>
          <w:szCs w:val="32"/>
        </w:rPr>
        <w:t>。</w:t>
      </w:r>
    </w:p>
    <w:p w14:paraId="35E1BB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藁城区文化广电体育和旅游局共四个内设科室分别为办公室、公共服务股、文化旅游和产业发展股和广电媒体和市场监管股。</w:t>
      </w:r>
      <w:r>
        <w:rPr>
          <w:rFonts w:hint="eastAsia" w:ascii="仿宋_GB2312" w:eastAsia="仿宋_GB2312" w:cs="ArialUnicodeMS"/>
          <w:kern w:val="0"/>
          <w:sz w:val="32"/>
          <w:szCs w:val="32"/>
          <w:lang w:val="en-US" w:eastAsia="zh-CN"/>
        </w:rPr>
        <w:t>5个下属单位，图书馆、文化馆、文物保管所为全额事业单位，评剧艺术团为差额事业单位，旅游业管理中心为自收自支事业单位。</w:t>
      </w:r>
    </w:p>
    <w:p w14:paraId="7EE0584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部门收支预决算情况</w:t>
      </w:r>
    </w:p>
    <w:p w14:paraId="57DAD1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640" w:firstLineChars="200"/>
        <w:jc w:val="both"/>
        <w:textAlignment w:val="auto"/>
        <w:rPr>
          <w:rFonts w:hint="eastAsia"/>
        </w:rPr>
      </w:pP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本部门</w:t>
      </w:r>
      <w:r>
        <w:rPr>
          <w:rFonts w:hint="eastAsia" w:ascii="仿宋_GB2312" w:eastAsia="仿宋_GB2312" w:cs="ArialUnicodeMS"/>
          <w:kern w:val="0"/>
          <w:sz w:val="32"/>
          <w:szCs w:val="32"/>
          <w:lang w:val="en-US" w:eastAsia="zh-CN"/>
        </w:rPr>
        <w:t>2024年度全年预算收入10002.21万元，其中一般公共预算财政拨款收入1705.54万元，政府性基金预算财政拨款收入1244.2万元，其他来源收入7319.29万元。</w:t>
      </w:r>
      <w:r>
        <w:rPr>
          <w:rFonts w:hint="eastAsia" w:ascii="仿宋_GB2312" w:eastAsia="仿宋_GB2312" w:cs="ArialUnicodeMS"/>
          <w:kern w:val="0"/>
          <w:sz w:val="32"/>
          <w:szCs w:val="32"/>
          <w:highlight w:val="none"/>
          <w:lang w:val="en-US" w:eastAsia="zh-CN"/>
        </w:rPr>
        <w:t>2024年度全年支出3468.85万元，其中基本支出1213.51万元，项目支出2255.34万元。</w:t>
      </w:r>
    </w:p>
    <w:p w14:paraId="3FF6F5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 w14:paraId="1ACFCC7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坚持以习近平新时代中国特色社会主义思想为指导，深入贯彻落实中央《体育强国建设纲要》以及《“十四五”文化和旅游发展规划》。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积极谋划和推动项目建设，促进文旅产业融合发展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，扩大影响力，带动经济发展。完善公共文化服务体系建设，增强基层服务供给，提升文旅公共服务功能。</w:t>
      </w:r>
      <w:r>
        <w:rPr>
          <w:rFonts w:hint="eastAsia" w:ascii="仿宋" w:hAnsi="仿宋" w:eastAsia="仿宋" w:cs="仿宋"/>
          <w:bCs/>
          <w:sz w:val="32"/>
          <w:szCs w:val="32"/>
        </w:rPr>
        <w:t>广泛开展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基层</w:t>
      </w:r>
      <w:r>
        <w:rPr>
          <w:rFonts w:hint="eastAsia" w:ascii="仿宋" w:hAnsi="仿宋" w:eastAsia="仿宋" w:cs="仿宋"/>
          <w:bCs/>
          <w:sz w:val="32"/>
          <w:szCs w:val="32"/>
        </w:rPr>
        <w:t>文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体</w:t>
      </w:r>
      <w:r>
        <w:rPr>
          <w:rFonts w:hint="eastAsia" w:ascii="仿宋" w:hAnsi="仿宋" w:eastAsia="仿宋" w:cs="仿宋"/>
          <w:bCs/>
          <w:sz w:val="32"/>
          <w:szCs w:val="32"/>
        </w:rPr>
        <w:t>活动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组织开展文化惠民活动，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满足群众精神文化需求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。加强文艺精品创作与生产，组织优秀剧目展演。做好文化遗产保护利用、传承和文物保护，提升文化传承影响力。统筹重点区域发展，积极推广冰雪运动。毫不放松加强执法监管，落实安全生产和防控责任。</w:t>
      </w:r>
    </w:p>
    <w:p w14:paraId="69152F03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  <w:t>1、完善公共文化服务体系建设</w:t>
      </w:r>
    </w:p>
    <w:p w14:paraId="1E3924CA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/>
        </w:rPr>
        <w:t>绩效目标：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加强管理和指导全区的文化建设，提供公共文化服务，丰富文化艺术资源，公共文化服务和文艺生产水平不断提高，文化影响力日益扩大。</w:t>
      </w:r>
    </w:p>
    <w:p w14:paraId="1A2551A9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jc w:val="both"/>
        <w:textAlignment w:val="auto"/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/>
        </w:rPr>
        <w:t>绩效指标：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保证全区文化设施达标，文化机构和队伍健全，按照国家标准要求履行公共图书馆、文化馆功能。图书馆、文化馆、文化站全年免费开放，推广图书馆数字化建设，完善全民阅读体系。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组织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文体培训、“七进”演出等公益性文化活动不少于20场。</w:t>
      </w:r>
    </w:p>
    <w:p w14:paraId="20D3753E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  <w:t>2、促进非物质文化遗产传承发展</w:t>
      </w:r>
    </w:p>
    <w:p w14:paraId="2A711125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jc w:val="both"/>
        <w:textAlignment w:val="auto"/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/>
        </w:rPr>
        <w:t>绩效目标：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支持非物质文化遗产保护和传承，使非遗项目得到有效保护，非遗代表性传承人结构更加合理。</w:t>
      </w:r>
    </w:p>
    <w:p w14:paraId="701B0924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jc w:val="both"/>
        <w:textAlignment w:val="auto"/>
        <w:rPr>
          <w:rFonts w:ascii="Times New Roman" w:hAnsi="Times New Roman" w:eastAsia="方正仿宋_GBK"/>
          <w:b/>
          <w:bCs/>
          <w:sz w:val="32"/>
          <w:szCs w:val="32"/>
        </w:rPr>
      </w:pPr>
      <w:r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/>
        </w:rPr>
        <w:t>绩效指标：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参加非遗宣传展示活动的人数持续增加。</w:t>
      </w:r>
      <w:r>
        <w:rPr>
          <w:rStyle w:val="13"/>
          <w:rFonts w:hint="eastAsia" w:ascii="仿宋_GB2312" w:hAnsi="仿宋_GB2312" w:eastAsia="仿宋_GB2312"/>
          <w:bCs/>
          <w:sz w:val="32"/>
          <w:szCs w:val="32"/>
          <w:lang w:eastAsia="zh-CN"/>
        </w:rPr>
        <w:t>积极申报区级非遗项目，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对省、市级非遗代表性项目进行补助，给予省、市级非遗传承人补助资金，鼓励传承人发挥自我所长开展传承传播活动。</w:t>
      </w:r>
    </w:p>
    <w:p w14:paraId="72F5442A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3" w:firstLineChars="200"/>
        <w:textAlignment w:val="auto"/>
        <w:rPr>
          <w:rFonts w:ascii="Times New Roman" w:hAnsi="Times New Roman" w:eastAsia="方正仿宋_GBK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  <w:t>3、加强文物保护</w:t>
      </w:r>
    </w:p>
    <w:p w14:paraId="68F4C853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jc w:val="both"/>
        <w:textAlignment w:val="auto"/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/>
        </w:rPr>
        <w:t>绩效目标：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加大对文物的保护力度，规范文物保护资金的使用。完善文物本体及周边的维修和保护工作。对文物进行普查，制定科学的文物保护规划。</w:t>
      </w:r>
    </w:p>
    <w:p w14:paraId="49EF6A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/>
        </w:rPr>
        <w:t>绩效指标：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定期对文物点进行安全巡查，文物安全巡查不少于60次。文物保护资金使用规范，及时发放文物看护费用，定期进行文物知识的宣传工作，进一步提高群众文物保护意识，弘扬优秀的传统文化。</w:t>
      </w:r>
    </w:p>
    <w:p w14:paraId="001199FB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3" w:firstLineChars="200"/>
        <w:textAlignment w:val="auto"/>
        <w:rPr>
          <w:rFonts w:ascii="Times New Roman" w:hAnsi="Times New Roman" w:eastAsia="方正仿宋_GBK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  <w:t>4、完善文化市场监管</w:t>
      </w:r>
    </w:p>
    <w:p w14:paraId="47FE6C92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jc w:val="both"/>
        <w:textAlignment w:val="auto"/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/>
        </w:rPr>
        <w:t>绩效目标：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加强文化市场管理，查处文化市场违法违规经营行为。开展法律培训及宣传活动，及时有效的核查群众举报，确保文化市场健康有序。</w:t>
      </w:r>
    </w:p>
    <w:p w14:paraId="35F44A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/>
        </w:rPr>
        <w:t>绩效指标：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能够长期较好的进行文化市场检查，全年监督检查次数达到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500家次以上，文化市场全面检查全年达到4次以上。接到群众举报及时高效的进行检查，执法检查行为要得到广大群众的高度认可。法律宣传普及活动可以达到一个季度一次，全面提高群众法律意识。</w:t>
      </w:r>
    </w:p>
    <w:p w14:paraId="3819B164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  <w:t>5、大力发展体育事业及体育产业</w:t>
      </w:r>
    </w:p>
    <w:p w14:paraId="114FB55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/>
        </w:rPr>
        <w:t>绩效目标</w:t>
      </w: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：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协调区域性体育发展，促进体育事业全面协调可持续发展。完善全民健身服务体系，满足群众健身需求，举办多样化的体育活动。承办竞技比赛，提高全区竞技体育水平。指导和加强体育场馆等体育设施建设。</w:t>
      </w:r>
    </w:p>
    <w:p w14:paraId="74DD4BA5">
      <w:pPr>
        <w:pStyle w:val="1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 w:bidi="ar-SA"/>
        </w:rPr>
        <w:t>绩效指标：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按照上级要求建好全民健身工程，指导组织开展大型全民健身活动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5次以上。推广冰雪运动，开展冰雪运动的指导和体验活动5场以上，开展大型体育赛事活动3次以上，完善体育场等公共体育设施，举办丰富的体育项目培训，满足群众对于体育健身的需求。</w:t>
      </w:r>
    </w:p>
    <w:p w14:paraId="009F436D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3" w:firstLineChars="200"/>
        <w:textAlignment w:val="auto"/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  <w:t>6、政务管理方式方法进一步完善</w:t>
      </w:r>
    </w:p>
    <w:p w14:paraId="38558BC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 w:bidi="ar-SA"/>
        </w:rPr>
        <w:t>绩效目标：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加强机关自身建设和综合管理水平，确保各项业务工作谋划到位、顺利开展。保障机关工作正常高效运转。</w:t>
      </w:r>
    </w:p>
    <w:p w14:paraId="648D87E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3" w:firstLineChars="200"/>
        <w:jc w:val="both"/>
        <w:textAlignment w:val="auto"/>
        <w:rPr>
          <w:rFonts w:hint="eastAsia"/>
        </w:rPr>
      </w:pPr>
      <w:r>
        <w:rPr>
          <w:rFonts w:hint="eastAsia" w:ascii="楷体" w:hAnsi="楷体" w:eastAsia="楷体" w:cs="楷体"/>
          <w:b/>
          <w:bCs w:val="0"/>
          <w:kern w:val="0"/>
          <w:sz w:val="32"/>
          <w:szCs w:val="32"/>
          <w:lang w:val="en-US" w:eastAsia="zh-CN" w:bidi="ar-SA"/>
        </w:rPr>
        <w:t>绩效指标：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积极开展党建工作和人才队伍建设，努力提高机关工作人员的政治和业务素质，开展2次以上干部培训。管理、指导、协调关于文化、体育、文物、广播电视、旅游事业的发展规划，专项业务组织管理目标达标率达到80%以上。</w:t>
      </w:r>
    </w:p>
    <w:p w14:paraId="6428DC04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 w14:paraId="424941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 w14:paraId="71AFBE2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bookmarkStart w:id="0" w:name="_GoBack"/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据《藁城区区级部门预算项目绩效自评管理办法》（藁财字[2020]23号），遵循“科学性、规范性、客观性和公正性”的原则，组织项目实施科室对项目支出和完成情况进行评价，资金使用的具体情况以及活动举办的情况，由资金使用科室</w:t>
      </w:r>
      <w:bookmarkEnd w:id="0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和活动举办科室进行评价打分。</w:t>
      </w:r>
    </w:p>
    <w:p w14:paraId="416C2E9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（二）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 w14:paraId="4295801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由具体业务科室对项目实施完成情况进行打分评价，由主管领导对评价内容和结果进行审核。主要从产出指标、绩效指标和满意度指标、预算执行率指标等四大方面进行自评。</w:t>
      </w:r>
    </w:p>
    <w:p w14:paraId="0280E8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 w14:paraId="30911F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总体绩效目标实现情况</w:t>
      </w:r>
    </w:p>
    <w:p w14:paraId="4DAF25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eastAsia="仿宋_GB2312" w:cs="ArialUnicodeMS"/>
          <w:kern w:val="0"/>
          <w:sz w:val="32"/>
          <w:szCs w:val="32"/>
          <w:lang w:val="en-US" w:eastAsia="zh-CN"/>
        </w:rPr>
        <w:t>2024年</w:t>
      </w: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积极谋划和推动项目建设，促进文旅产业融合发展</w:t>
      </w:r>
      <w:r>
        <w:rPr>
          <w:rFonts w:hint="eastAsia" w:ascii="仿宋_GB2312" w:eastAsia="仿宋_GB2312" w:cs="ArialUnicodeMS"/>
          <w:kern w:val="0"/>
          <w:sz w:val="32"/>
          <w:szCs w:val="32"/>
          <w:lang w:val="en-US" w:eastAsia="zh-CN"/>
        </w:rPr>
        <w:t>，扩大影响力，带动经济发展。举办丰富多样的文化体育活动有效完善了公共文化服务体系建设，增强了基层服务供给，提升文旅公共服务功能。</w:t>
      </w: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广泛开展了基层文体活动，</w:t>
      </w:r>
      <w:r>
        <w:rPr>
          <w:rFonts w:hint="eastAsia" w:ascii="仿宋_GB2312" w:eastAsia="仿宋_GB2312" w:cs="ArialUnicodeMS"/>
          <w:kern w:val="0"/>
          <w:sz w:val="32"/>
          <w:szCs w:val="32"/>
          <w:lang w:val="en-US" w:eastAsia="zh-CN"/>
        </w:rPr>
        <w:t>组织开展文化惠民活动，有效</w:t>
      </w:r>
      <w:r>
        <w:rPr>
          <w:rFonts w:hint="eastAsia" w:ascii="仿宋_GB2312" w:eastAsia="仿宋_GB2312" w:cs="ArialUnicodeMS"/>
          <w:kern w:val="0"/>
          <w:sz w:val="32"/>
          <w:szCs w:val="32"/>
          <w:lang w:eastAsia="zh-CN"/>
        </w:rPr>
        <w:t>满足了群众精神文化需求</w:t>
      </w:r>
      <w:r>
        <w:rPr>
          <w:rFonts w:hint="eastAsia" w:ascii="仿宋_GB2312" w:eastAsia="仿宋_GB2312" w:cs="ArialUnicodeMS"/>
          <w:kern w:val="0"/>
          <w:sz w:val="32"/>
          <w:szCs w:val="32"/>
          <w:lang w:val="en-US" w:eastAsia="zh-CN"/>
        </w:rPr>
        <w:t>。加大了文化遗产保护利用、传承和文物保护，提升文化传承影响力。积极推广冰雪运动。加强了执法监管，有效防范安全生产风险。</w:t>
      </w:r>
    </w:p>
    <w:p w14:paraId="2F6663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 w14:paraId="6BFFB9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eastAsia="仿宋_GB2312" w:cs="ArialUnicodeMS"/>
          <w:kern w:val="0"/>
          <w:sz w:val="32"/>
          <w:szCs w:val="32"/>
          <w:lang w:val="en-US" w:eastAsia="zh-CN"/>
        </w:rPr>
      </w:pPr>
      <w:r>
        <w:rPr>
          <w:rFonts w:hint="eastAsia" w:ascii="仿宋_GB2312" w:eastAsia="仿宋_GB2312" w:cs="ArialUnicodeMS"/>
          <w:kern w:val="0"/>
          <w:sz w:val="32"/>
          <w:szCs w:val="32"/>
          <w:lang w:val="en-US" w:eastAsia="zh-CN"/>
        </w:rPr>
        <w:t>公共文化服务水平持续提升，举办多种文化体育活动及培训，文化下乡及三进演出活动按时完成。加强了非物质文化遗产的宣传保护和开发利用，各级非遗项目补助发放到位。强化了对全区文保单位的日常保养和维护，重点针对各文物点开展安全隐患大排查，确保文物安全无损毁、无破坏、无遗失、无被盗。文旅产业转型加快升级，坚持优化环境、项目带动、融合发展，文化产业发展进一步提速，推动文旅产业项目建设，打造文旅产业精品。全域旅游创建稳步推进，文旅市场整治规范有序。坚持以扫黑除恶专项斗争为切入点，坚持规范和繁荣两手抓，切实加强文化旅游市场管理，各类违法违规经营行为得到有效遏制，文旅市场活力得到彰显。年度支出合理，收支平衡，绩效目标完成率高，效果明显，整体支出得分93分，评价等级为优秀。</w:t>
      </w:r>
    </w:p>
    <w:p w14:paraId="3A8504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 w14:paraId="54F79A2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2024年我部门高效率地使用了各项资金，基本完成了各项目的绩效目标，根据各项目执行情况、项目绩效情况和指标体系，项目评分93分，评价等级为优秀。</w:t>
      </w:r>
    </w:p>
    <w:p w14:paraId="37744A88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 w14:paraId="4CE669E1"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存在的主要问题</w:t>
      </w:r>
    </w:p>
    <w:p w14:paraId="48A14111">
      <w:pPr>
        <w:pStyle w:val="1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部门</w:t>
      </w:r>
      <w:r>
        <w:rPr>
          <w:rFonts w:hint="eastAsia" w:ascii="仿宋_GB2312" w:hAnsi="仿宋_GB2312" w:eastAsia="仿宋_GB2312" w:cs="仿宋_GB2312"/>
          <w:sz w:val="32"/>
          <w:szCs w:val="32"/>
        </w:rPr>
        <w:t>严格按照预算项目绩效自评管理办法，及时开展项目落实，为全年工作的开展提供了保障，但还是存在绩效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制</w:t>
      </w:r>
      <w:r>
        <w:rPr>
          <w:rFonts w:hint="eastAsia" w:ascii="仿宋_GB2312" w:hAnsi="仿宋_GB2312" w:eastAsia="仿宋_GB2312" w:cs="仿宋_GB2312"/>
          <w:sz w:val="32"/>
          <w:szCs w:val="32"/>
        </w:rPr>
        <w:t>度不健全、绩效管理质量不高、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部分项目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年初预算偏差过大的问题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6E19DF33"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针对问题提出具体的改进措施或建议</w:t>
      </w:r>
    </w:p>
    <w:p w14:paraId="79ED2D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是细化预算编制工作。进一步强化单位预算管理意识，严格按照预算编制的相关制度和要求，公用经费根据单位的年度工作重点和项目专项工作规划，本着“勤俭节约、保障运转”的原则进行预算的编制。编制范围尽可能的全面、完整，进一步提高预算编制的科学性、合理性、严谨性和可控性，尽最大可能减少预决算执行差异。</w:t>
      </w:r>
    </w:p>
    <w:p w14:paraId="39FFA0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二是强化绩效管理意识。进一步强化绩效理念，将绩效管理理念贯穿于资金分配到资金使用全过程，加大资金整合力度，强化专项资金管理，把有限的资金用在刀刃上，提高财政资金使用效益。同时，抓好内控制度建设，进一步降低行政成本，确保资金安全。</w:t>
      </w:r>
    </w:p>
    <w:p w14:paraId="03212F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三</w:t>
      </w:r>
      <w:r>
        <w:rPr>
          <w:rFonts w:hint="eastAsia" w:ascii="仿宋_GB2312" w:hAnsi="仿宋_GB2312" w:eastAsia="仿宋_GB2312" w:cs="仿宋_GB2312"/>
          <w:sz w:val="32"/>
          <w:szCs w:val="32"/>
        </w:rPr>
        <w:t>是加强绩效制度建设。完善绩效管理和评价制度，加强预算编制的前瞻性。编制预算时充分考虑本部门的发展规划，结合上一年度预算执行情况和本年度预算收支变化因素，科学、合理地编制预算草案。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项目绩效评价指标设置多样化，易于实施评价。</w:t>
      </w:r>
    </w:p>
    <w:p w14:paraId="75A98B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四</w:t>
      </w:r>
      <w:r>
        <w:rPr>
          <w:rFonts w:hint="eastAsia" w:ascii="仿宋_GB2312" w:hAnsi="仿宋_GB2312" w:eastAsia="仿宋_GB2312" w:cs="仿宋_GB2312"/>
          <w:sz w:val="32"/>
          <w:szCs w:val="32"/>
        </w:rPr>
        <w:t>是强化绩效目标管理。把绩效目标作为项目实施的前置条件，提高资金使用的合理性和科学性。严格按各项法律、法规、规章制度执行财务核算，尽可能地做到决算与预算相互街接。</w:t>
      </w:r>
    </w:p>
    <w:p w14:paraId="23E10F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五</w:t>
      </w:r>
      <w:r>
        <w:rPr>
          <w:rFonts w:hint="eastAsia" w:ascii="仿宋_GB2312" w:hAnsi="仿宋_GB2312" w:eastAsia="仿宋_GB2312" w:cs="仿宋_GB2312"/>
          <w:sz w:val="32"/>
          <w:szCs w:val="32"/>
        </w:rPr>
        <w:t>是加强绩效运行监管。加强重大项目的事前、事中、事后监督管理，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加强项目实施各部门沟通联系，</w:t>
      </w:r>
      <w:r>
        <w:rPr>
          <w:rFonts w:hint="eastAsia" w:ascii="仿宋_GB2312" w:hAnsi="仿宋_GB2312" w:eastAsia="仿宋_GB2312" w:cs="仿宋_GB2312"/>
          <w:sz w:val="32"/>
          <w:szCs w:val="32"/>
        </w:rPr>
        <w:t>将资金同项目实施质量挂钩，提升资金的使用效能。</w:t>
      </w:r>
    </w:p>
    <w:p w14:paraId="1F0E87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89"/>
        <w:gridCol w:w="2265"/>
        <w:gridCol w:w="2867"/>
      </w:tblGrid>
      <w:tr w14:paraId="6EB7EE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89" w:type="dxa"/>
          </w:tcPr>
          <w:p w14:paraId="633AC17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工作单位</w:t>
            </w:r>
          </w:p>
        </w:tc>
        <w:tc>
          <w:tcPr>
            <w:tcW w:w="2265" w:type="dxa"/>
          </w:tcPr>
          <w:p w14:paraId="68A7055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职务</w:t>
            </w:r>
            <w:r>
              <w:rPr>
                <w:rFonts w:hint="eastAsia" w:ascii="仿宋_GB2312" w:hAnsi="仿宋" w:eastAsia="仿宋_GB2312" w:cs="仿宋_GB2312"/>
                <w:sz w:val="32"/>
                <w:szCs w:val="32"/>
                <w:lang w:val="en-US" w:eastAsia="zh-CN"/>
              </w:rPr>
              <w:t>/职称</w:t>
            </w:r>
          </w:p>
        </w:tc>
        <w:tc>
          <w:tcPr>
            <w:tcW w:w="2867" w:type="dxa"/>
          </w:tcPr>
          <w:p w14:paraId="346C86F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姓名</w:t>
            </w:r>
          </w:p>
        </w:tc>
      </w:tr>
      <w:tr w14:paraId="5023CC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89" w:type="dxa"/>
            <w:vMerge w:val="restart"/>
            <w:shd w:val="clear" w:color="auto" w:fill="auto"/>
            <w:vAlign w:val="center"/>
          </w:tcPr>
          <w:p w14:paraId="6B03F8F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 w:leftChars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  <w:lang w:eastAsia="zh-CN"/>
              </w:rPr>
              <w:t>藁城区文化广电体育和旅游局</w:t>
            </w:r>
          </w:p>
        </w:tc>
        <w:tc>
          <w:tcPr>
            <w:tcW w:w="2265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 w14:paraId="46E1533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 w:leftChars="0"/>
              <w:jc w:val="center"/>
              <w:rPr>
                <w:rFonts w:hint="eastAsia" w:ascii="仿宋_GB2312" w:hAnsi="仿宋" w:eastAsia="仿宋_GB2312" w:cs="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  <w:lang w:eastAsia="zh-CN"/>
              </w:rPr>
              <w:t>党组书记</w:t>
            </w:r>
          </w:p>
        </w:tc>
        <w:tc>
          <w:tcPr>
            <w:tcW w:w="2867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 w14:paraId="4620EE2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 w:leftChars="0"/>
              <w:jc w:val="center"/>
              <w:rPr>
                <w:rFonts w:hint="eastAsia" w:ascii="仿宋_GB2312" w:hAnsi="仿宋" w:eastAsia="仿宋_GB2312" w:cs="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  <w:lang w:eastAsia="zh-CN"/>
              </w:rPr>
              <w:t>江崇磊</w:t>
            </w:r>
          </w:p>
        </w:tc>
      </w:tr>
      <w:tr w14:paraId="7DA6B8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89" w:type="dxa"/>
            <w:vMerge w:val="continue"/>
            <w:vAlign w:val="center"/>
          </w:tcPr>
          <w:p w14:paraId="2508684D">
            <w:pPr>
              <w:jc w:val="center"/>
            </w:pPr>
          </w:p>
        </w:tc>
        <w:tc>
          <w:tcPr>
            <w:tcW w:w="2265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 w14:paraId="1329A5A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 w:leftChars="0"/>
              <w:jc w:val="center"/>
              <w:rPr>
                <w:rFonts w:hint="eastAsia" w:ascii="仿宋_GB2312" w:hAnsi="仿宋" w:eastAsia="仿宋_GB2312" w:cs="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  <w:lang w:eastAsia="zh-CN"/>
              </w:rPr>
              <w:t>局长</w:t>
            </w:r>
          </w:p>
        </w:tc>
        <w:tc>
          <w:tcPr>
            <w:tcW w:w="2867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 w14:paraId="70BBC39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 w:leftChars="0"/>
              <w:jc w:val="center"/>
              <w:rPr>
                <w:rFonts w:hint="eastAsia" w:ascii="仿宋_GB2312" w:hAnsi="仿宋" w:eastAsia="仿宋_GB2312" w:cs="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  <w:lang w:eastAsia="zh-CN"/>
              </w:rPr>
              <w:t>李世芳</w:t>
            </w:r>
          </w:p>
        </w:tc>
      </w:tr>
      <w:tr w14:paraId="4AAD49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89" w:type="dxa"/>
            <w:vMerge w:val="continue"/>
            <w:vAlign w:val="center"/>
          </w:tcPr>
          <w:p w14:paraId="113D24BD">
            <w:pPr>
              <w:jc w:val="center"/>
            </w:pPr>
          </w:p>
        </w:tc>
        <w:tc>
          <w:tcPr>
            <w:tcW w:w="2265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 w14:paraId="72E7682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 w:leftChars="0"/>
              <w:jc w:val="center"/>
              <w:rPr>
                <w:rFonts w:hint="eastAsia" w:ascii="仿宋_GB2312" w:hAnsi="仿宋" w:eastAsia="仿宋_GB2312" w:cs="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  <w:lang w:eastAsia="zh-CN"/>
              </w:rPr>
              <w:t>党组成员</w:t>
            </w:r>
          </w:p>
        </w:tc>
        <w:tc>
          <w:tcPr>
            <w:tcW w:w="2867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 w14:paraId="12D67A5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 w:leftChars="0"/>
              <w:jc w:val="center"/>
              <w:rPr>
                <w:rFonts w:hint="default" w:ascii="仿宋_GB2312" w:hAnsi="仿宋" w:eastAsia="仿宋_GB2312" w:cs="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  <w:lang w:eastAsia="zh-CN"/>
              </w:rPr>
              <w:t>靳志军</w:t>
            </w:r>
          </w:p>
        </w:tc>
      </w:tr>
    </w:tbl>
    <w:p w14:paraId="3CEC49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3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  <w:embedRegular r:id="rId1" w:fontKey="{1F7E9F9C-7BBB-455C-A44C-281822E2D2B4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8018DE86-290D-4CCC-A2DC-9CD9FD50F6FE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3" w:fontKey="{FDE37471-7768-43E4-A041-ABD2DB2EA26D}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4" w:fontKey="{9D3777F2-664B-486E-8954-AE3BC7D245C0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5" w:fontKey="{41F66657-B139-4910-9440-4F0A52731F48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6" w:fontKey="{40FEEF98-C26F-42E2-9B0E-D12F3C3F821C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7" w:fontKey="{21B8B59A-D503-42CB-8547-5E43180AA70A}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  <w:embedRegular r:id="rId8" w:fontKey="{E0A6BDCB-DADC-420E-8849-97A747388A4A}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9" w:fontKey="{97C3D4CF-2187-4EB6-A898-30D44497B978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10" w:fontKey="{C85F3CA6-4621-4D76-BA0F-569E928F6E94}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  <w:embedRegular r:id="rId11" w:fontKey="{9D1645AB-D202-4D1D-A4D4-1950C07B0691}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940F4C"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22250" cy="153035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2163" cy="153339"/>
                      </a:xfrm>
                      <a:prstGeom prst="rect">
                        <a:avLst/>
                      </a:prstGeom>
                      <a:noFill/>
                      <a:ln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 w14:paraId="538B406F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0pt;height:12.05pt;width:17.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9hets9EAAAADAQAADwAAAAAAAAABACAAAAAiAAAAZHJzL2Rvd25yZXYueG1sUEsBAhQAFAAAAAgA&#10;h07iQCh/6hzzAQAA7wMAAA4AAAAAAAAAAQAgAAAAIAEAAGRycy9lMm9Eb2MueG1sUEsFBgAAAAAG&#10;AAYAWQEAAIUFAAAAAA==&#10;">
              <v:fill on="f" focussize="0,0"/>
              <v:stroke on="f" joinstyle="round"/>
              <v:imagedata o:title=""/>
              <o:lock v:ext="edit" aspectratio="f"/>
              <v:textbox inset="0mm,0mm,0mm,0mm" style="mso-fit-shape-to-text:t;">
                <w:txbxContent>
                  <w:p w14:paraId="538B406F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797871">
    <w:pPr>
      <w:pStyle w:val="6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BA0EC3D"/>
    <w:multiLevelType w:val="singleLevel"/>
    <w:tmpl w:val="EBA0EC3D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6F1DDC89"/>
    <w:multiLevelType w:val="singleLevel"/>
    <w:tmpl w:val="6F1DDC89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docVars>
    <w:docVar w:name="commondata" w:val="eyJoZGlkIjoiNGE2ZDVhYjFkNzNmZjA0ZTExM2M2ODcxZGVjNWRjNGEifQ=="/>
  </w:docVars>
  <w:rsids>
    <w:rsidRoot w:val="00000000"/>
    <w:rsid w:val="02B1196D"/>
    <w:rsid w:val="134F6B82"/>
    <w:rsid w:val="13955CCA"/>
    <w:rsid w:val="1E292038"/>
    <w:rsid w:val="3DDE37D0"/>
    <w:rsid w:val="3E22457C"/>
    <w:rsid w:val="58B8456C"/>
    <w:rsid w:val="5EFF3F37"/>
    <w:rsid w:val="69206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0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heading 1 Char"/>
    <w:basedOn w:val="8"/>
    <w:link w:val="2"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  <w:lang w:val="en-US" w:eastAsia="zh-CN" w:bidi="ar-SA"/>
    </w:rPr>
  </w:style>
  <w:style w:type="character" w:customStyle="1" w:styleId="10">
    <w:name w:val="heading 2 Char"/>
    <w:basedOn w:val="8"/>
    <w:link w:val="3"/>
    <w:qFormat/>
    <w:uiPriority w:val="0"/>
    <w:rPr>
      <w:rFonts w:ascii="Times New Roman" w:hAnsi="Times New Roman" w:eastAsia="黑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11">
    <w:name w:val="heading 3 Char"/>
    <w:basedOn w:val="8"/>
    <w:link w:val="4"/>
    <w:qFormat/>
    <w:uiPriority w:val="0"/>
    <w:rPr>
      <w:rFonts w:ascii="Times New Roman" w:hAnsi="Times New Roman" w:eastAsia="宋体" w:cs="Times New Roman"/>
      <w:b/>
      <w:bCs/>
      <w:kern w:val="2"/>
      <w:sz w:val="32"/>
      <w:szCs w:val="32"/>
      <w:lang w:val="en-US" w:eastAsia="zh-CN" w:bidi="ar-SA"/>
    </w:rPr>
  </w:style>
  <w:style w:type="paragraph" w:customStyle="1" w:styleId="12">
    <w:name w:val="Normal Indent1"/>
    <w:basedOn w:val="1"/>
    <w:qFormat/>
    <w:uiPriority w:val="0"/>
    <w:pPr>
      <w:ind w:firstLine="420" w:firstLineChars="200"/>
    </w:pPr>
  </w:style>
  <w:style w:type="character" w:customStyle="1" w:styleId="13">
    <w:name w:val="content_text1"/>
    <w:basedOn w:val="8"/>
    <w:qFormat/>
    <w:uiPriority w:val="0"/>
    <w:rPr>
      <w:rFonts w:hint="default" w:ascii="ˎ̥" w:hAnsi="ˎ̥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9" Type="http://schemas.openxmlformats.org/officeDocument/2006/relationships/font" Target="fonts/font9.odttf"/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1" Type="http://schemas.openxmlformats.org/officeDocument/2006/relationships/font" Target="fonts/font11.odttf"/><Relationship Id="rId10" Type="http://schemas.openxmlformats.org/officeDocument/2006/relationships/font" Target="fonts/font10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 主题​​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​​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​​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ap="flat" cmpd="sng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ap="flat" cmpd="sng">
          <a:solidFill>
            <a:schemeClr val="phClr"/>
          </a:solidFill>
          <a:prstDash val="solid"/>
          <a:round/>
        </a:ln>
        <a:ln w="38100" cap="flat" cmpd="sng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blurRad="40000" dist="20000" dir="5400000" rotWithShape="0">
              <a:srgbClr val="000000">
                <a:alpha val="37647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50000" r="50000" b="5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Lenovo</Company>
  <Pages>9</Pages>
  <Words>1190</Words>
  <Characters>1247</Characters>
  <Lines>0</Lines>
  <Paragraphs>31</Paragraphs>
  <TotalTime>21</TotalTime>
  <ScaleCrop>false</ScaleCrop>
  <LinksUpToDate>false</LinksUpToDate>
  <CharactersWithSpaces>1247</CharactersWithSpaces>
  <Application>WPS Office_12.1.0.20784_F1E327BC-269C-435d-A152-05C5408002CA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Administrator</cp:lastModifiedBy>
  <cp:lastPrinted>2021-02-24T05:43:00Z</cp:lastPrinted>
  <dcterms:modified xsi:type="dcterms:W3CDTF">2025-04-28T06:31:30Z</dcterms:modified>
  <dc:title>附件2： 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730A4EB4158C46F384DDE791321FBF7A_13</vt:lpwstr>
  </property>
  <property fmtid="{D5CDD505-2E9C-101B-9397-08002B2CF9AE}" pid="4" name="KSOTemplateDocerSaveRecord">
    <vt:lpwstr>eyJoZGlkIjoiOTgwY2ZhMzM5NGQ0ZjY1NTc0MGQzYjM2Y2QyYjcwYzYifQ==</vt:lpwstr>
  </property>
</Properties>
</file>