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BF85B47">
      <w:pPr>
        <w:keepNext w:val="0"/>
        <w:keepLines w:val="0"/>
        <w:pageBreakBefore w:val="0"/>
        <w:widowControl w:val="0"/>
        <w:shd w:val="solid" w:color="FFFFFF" w:fill="auto"/>
        <w:kinsoku/>
        <w:wordWrap/>
        <w:overflowPunct/>
        <w:topLinePunct w:val="0"/>
        <w:autoSpaceDE/>
        <w:autoSpaceDN w:val="0"/>
        <w:bidi w:val="0"/>
        <w:adjustRightInd/>
        <w:snapToGrid/>
        <w:spacing w:line="560" w:lineRule="exact"/>
        <w:ind w:lef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shd w:val="clear" w:color="auto" w:fill="FFFFFF"/>
          <w:lang w:val="en-US" w:eastAsia="zh-CN"/>
        </w:rPr>
        <w:t>石家庄市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shd w:val="clear" w:color="auto" w:fill="FFFFFF"/>
        </w:rPr>
        <w:t>藁城区</w:t>
      </w:r>
    </w:p>
    <w:p w14:paraId="0B11839B">
      <w:pPr>
        <w:keepNext w:val="0"/>
        <w:keepLines w:val="0"/>
        <w:pageBreakBefore w:val="0"/>
        <w:widowControl w:val="0"/>
        <w:shd w:val="solid" w:color="FFFFFF" w:fill="auto"/>
        <w:kinsoku/>
        <w:wordWrap/>
        <w:overflowPunct/>
        <w:topLinePunct w:val="0"/>
        <w:autoSpaceDE/>
        <w:autoSpaceDN w:val="0"/>
        <w:bidi w:val="0"/>
        <w:adjustRightInd/>
        <w:snapToGrid/>
        <w:spacing w:line="560" w:lineRule="exact"/>
        <w:ind w:lef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shd w:val="clear" w:color="auto" w:fill="FFFFFF"/>
        </w:rPr>
        <w:t>20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shd w:val="clear" w:color="auto" w:fill="FFFFFF"/>
          <w:lang w:val="en-US" w:eastAsia="zh-CN"/>
        </w:rPr>
        <w:t>24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shd w:val="clear" w:color="auto" w:fill="FFFFFF"/>
        </w:rPr>
        <w:t>年国民经济和社会发展统计公报</w:t>
      </w:r>
    </w:p>
    <w:p w14:paraId="696B952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640" w:firstLineChars="200"/>
        <w:jc w:val="both"/>
        <w:textAlignment w:val="auto"/>
        <w:rPr>
          <w:rFonts w:hint="eastAsia" w:ascii="仿宋" w:hAnsi="仿宋" w:eastAsia="仿宋" w:cs="仿宋"/>
          <w:kern w:val="0"/>
          <w:sz w:val="32"/>
          <w:szCs w:val="32"/>
          <w:shd w:val="clear" w:color="auto" w:fill="auto"/>
          <w:lang w:val="en-US" w:eastAsia="zh-CN"/>
        </w:rPr>
      </w:pPr>
    </w:p>
    <w:p w14:paraId="79706F0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/>
        </w:rPr>
        <w:t>2024年，全区上下坚持以习近平新时代中国特色社会主义思想为指导，全面学习贯彻党的二十大和二十届二中、三中全会精神，认真落实省、市部署要求，紧紧围绕“四区一城”建设目标，实干攻坚，加压奋进，扎实推进高质量发展。2024年全区经济运行呈现总体平稳向好态势。</w:t>
      </w:r>
    </w:p>
    <w:p w14:paraId="7554761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0" w:firstLineChars="0"/>
        <w:jc w:val="center"/>
        <w:textAlignment w:val="auto"/>
        <w:rPr>
          <w:rFonts w:hint="eastAsia" w:ascii="黑体" w:hAnsi="黑体" w:eastAsia="黑体" w:cs="黑体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shd w:val="clear" w:color="auto" w:fill="auto"/>
        </w:rPr>
        <w:t>一、综 合</w:t>
      </w:r>
    </w:p>
    <w:p w14:paraId="52E3DDD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/>
        </w:rPr>
        <w:t>2024年，全区地区生产总值完成255.94亿元，按可比价格计算，同比增长5.6%。其中，第一产业增加值完成44.64亿元，同比增长-0.1%；第二产业增加值完成64.80亿元，同比增长13.6%；第三产业增加值完成146.50亿元，同比增长4.5%，三次产业之比大致为17.44：25.32：57.24。</w:t>
      </w:r>
    </w:p>
    <w:p w14:paraId="697FD47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640" w:firstLineChars="200"/>
        <w:jc w:val="both"/>
        <w:textAlignment w:val="auto"/>
        <w:rPr>
          <w:rFonts w:hint="eastAsia" w:ascii="仿宋" w:hAnsi="仿宋" w:eastAsia="仿宋" w:cs="仿宋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/>
        </w:rPr>
        <w:t>全年民营经济实现增加值186.27亿元，按可比价计算，同比增长6.0%，占地区生产总值的比重为72.8%。</w:t>
      </w:r>
    </w:p>
    <w:p w14:paraId="7147EC4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0" w:firstLineChars="0"/>
        <w:jc w:val="center"/>
        <w:textAlignment w:val="auto"/>
        <w:rPr>
          <w:rFonts w:hint="eastAsia" w:ascii="黑体" w:hAnsi="黑体" w:eastAsia="黑体" w:cs="黑体"/>
          <w:sz w:val="32"/>
          <w:szCs w:val="32"/>
          <w:shd w:val="clear" w:color="auto" w:fill="auto"/>
        </w:rPr>
      </w:pPr>
      <w:r>
        <w:rPr>
          <w:rFonts w:hint="eastAsia" w:ascii="黑体" w:hAnsi="黑体" w:eastAsia="黑体" w:cs="黑体"/>
          <w:sz w:val="32"/>
          <w:szCs w:val="32"/>
          <w:shd w:val="clear" w:color="auto" w:fill="auto"/>
        </w:rPr>
        <w:t>二、农</w:t>
      </w:r>
      <w:r>
        <w:rPr>
          <w:rFonts w:hint="eastAsia" w:ascii="黑体" w:hAnsi="黑体" w:eastAsia="黑体" w:cs="黑体"/>
          <w:sz w:val="32"/>
          <w:szCs w:val="32"/>
          <w:shd w:val="clear" w:color="auto" w:fill="auto"/>
          <w:lang w:val="en-US" w:eastAsia="zh-CN"/>
        </w:rPr>
        <w:t xml:space="preserve"> </w:t>
      </w:r>
      <w:r>
        <w:rPr>
          <w:rFonts w:hint="eastAsia" w:ascii="黑体" w:hAnsi="黑体" w:eastAsia="黑体" w:cs="黑体"/>
          <w:sz w:val="32"/>
          <w:szCs w:val="32"/>
          <w:shd w:val="clear" w:color="auto" w:fill="auto"/>
        </w:rPr>
        <w:t>业</w:t>
      </w:r>
    </w:p>
    <w:p w14:paraId="086042C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/>
        </w:rPr>
        <w:t>全年粮食播种面积68817.85公顷，粮食总产量47.78万吨。蔬菜播种面积9004.86公顷，总产量62.67万吨。</w:t>
      </w:r>
    </w:p>
    <w:p w14:paraId="162A3D5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/>
        </w:rPr>
        <w:t>肉类总产量6.38万吨，蛋类总产量10.58万吨，奶类总产量4.4万吨。</w:t>
      </w:r>
    </w:p>
    <w:p w14:paraId="2340D70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640" w:firstLineChars="200"/>
        <w:jc w:val="both"/>
        <w:textAlignment w:val="auto"/>
        <w:rPr>
          <w:rFonts w:hint="eastAsia" w:ascii="仿宋" w:hAnsi="仿宋" w:eastAsia="仿宋" w:cs="仿宋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/>
        </w:rPr>
        <w:t>农林牧渔业总产值82.18亿元。（农业数据均含经开区）</w:t>
      </w:r>
    </w:p>
    <w:p w14:paraId="3559597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0" w:firstLineChars="0"/>
        <w:jc w:val="center"/>
        <w:textAlignment w:val="auto"/>
        <w:rPr>
          <w:rFonts w:hint="eastAsia" w:ascii="黑体" w:hAnsi="黑体" w:eastAsia="黑体" w:cs="黑体"/>
          <w:sz w:val="32"/>
          <w:szCs w:val="32"/>
          <w:shd w:val="clear" w:color="auto" w:fill="auto"/>
        </w:rPr>
      </w:pPr>
      <w:r>
        <w:rPr>
          <w:rFonts w:hint="eastAsia" w:ascii="黑体" w:hAnsi="黑体" w:eastAsia="黑体" w:cs="黑体"/>
          <w:sz w:val="32"/>
          <w:szCs w:val="32"/>
          <w:shd w:val="clear" w:color="auto" w:fill="auto"/>
          <w:lang w:val="en-US" w:eastAsia="zh-CN"/>
        </w:rPr>
        <w:t>三、</w:t>
      </w:r>
      <w:r>
        <w:rPr>
          <w:rFonts w:hint="eastAsia" w:ascii="黑体" w:hAnsi="黑体" w:eastAsia="黑体" w:cs="黑体"/>
          <w:sz w:val="32"/>
          <w:szCs w:val="32"/>
          <w:shd w:val="clear" w:color="auto" w:fill="auto"/>
        </w:rPr>
        <w:t>工</w:t>
      </w:r>
      <w:r>
        <w:rPr>
          <w:rFonts w:hint="eastAsia" w:ascii="黑体" w:hAnsi="黑体" w:eastAsia="黑体" w:cs="黑体"/>
          <w:sz w:val="32"/>
          <w:szCs w:val="32"/>
          <w:shd w:val="clear" w:color="auto" w:fill="auto"/>
          <w:lang w:val="en-US" w:eastAsia="zh-CN"/>
        </w:rPr>
        <w:t xml:space="preserve"> </w:t>
      </w:r>
      <w:r>
        <w:rPr>
          <w:rFonts w:hint="eastAsia" w:ascii="黑体" w:hAnsi="黑体" w:eastAsia="黑体" w:cs="黑体"/>
          <w:sz w:val="32"/>
          <w:szCs w:val="32"/>
          <w:shd w:val="clear" w:color="auto" w:fill="auto"/>
        </w:rPr>
        <w:t>业</w:t>
      </w:r>
    </w:p>
    <w:p w14:paraId="1840B03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/>
        </w:rPr>
        <w:t>全区规模以上工业企业145个，规上工业增加值同比增长9.6%，其中，高新技术行业增加值同比增长14.8%。</w:t>
      </w:r>
    </w:p>
    <w:p w14:paraId="7905DBA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/>
        </w:rPr>
        <w:t>从控股情况看，国有企业增长5.5%，民营企业增长9.7%。从两大门类看，制造业增长10.4%，电力、热力、燃气及水生产和供应业下降0.1%。</w:t>
      </w:r>
    </w:p>
    <w:p w14:paraId="0EEF30B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640" w:firstLineChars="200"/>
        <w:jc w:val="both"/>
        <w:textAlignment w:val="auto"/>
        <w:rPr>
          <w:rFonts w:hint="default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/>
        </w:rPr>
        <w:t>全区规模以上工业中，装备制造业增加值增长3.3%，现代食品业增加值增长11.0%。</w:t>
      </w:r>
    </w:p>
    <w:p w14:paraId="440B566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640" w:firstLineChars="200"/>
        <w:jc w:val="both"/>
        <w:textAlignment w:val="auto"/>
        <w:rPr>
          <w:rFonts w:hint="default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/>
        </w:rPr>
        <w:t>两大主导产业营业收入同比增长0.8%，其中，装备制造业营业收入同比增长8.9%；现代食品业营业收入同比下降5.6%。</w:t>
      </w:r>
    </w:p>
    <w:p w14:paraId="5274496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0" w:firstLineChars="0"/>
        <w:jc w:val="center"/>
        <w:textAlignment w:val="auto"/>
        <w:rPr>
          <w:rFonts w:hint="eastAsia" w:ascii="黑体" w:hAnsi="黑体" w:eastAsia="黑体" w:cs="黑体"/>
          <w:sz w:val="32"/>
          <w:szCs w:val="32"/>
          <w:shd w:val="clear" w:color="auto" w:fill="auto"/>
        </w:rPr>
      </w:pPr>
      <w:r>
        <w:rPr>
          <w:rFonts w:hint="eastAsia" w:ascii="黑体" w:hAnsi="黑体" w:eastAsia="黑体" w:cs="黑体"/>
          <w:sz w:val="32"/>
          <w:szCs w:val="32"/>
          <w:shd w:val="clear" w:color="auto" w:fill="auto"/>
        </w:rPr>
        <w:t>四、固定资产投资</w:t>
      </w:r>
    </w:p>
    <w:p w14:paraId="33CC26E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640" w:firstLineChars="200"/>
        <w:jc w:val="both"/>
        <w:textAlignment w:val="auto"/>
        <w:rPr>
          <w:rFonts w:hint="default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/>
        </w:rPr>
      </w:pPr>
      <w:r>
        <w:rPr>
          <w:rFonts w:hint="default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/>
        </w:rPr>
        <w:t>全年固定资产投资完成47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/>
        </w:rPr>
        <w:t>.</w:t>
      </w:r>
      <w:r>
        <w:rPr>
          <w:rFonts w:hint="default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/>
        </w:rPr>
        <w:t>7</w:t>
      </w:r>
      <w:r>
        <w:rPr>
          <w:rFonts w:hint="default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/>
        </w:rPr>
        <w:t>亿元，同比增长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/>
        </w:rPr>
        <w:t>10.3</w:t>
      </w:r>
      <w:r>
        <w:rPr>
          <w:rFonts w:hint="default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/>
        </w:rPr>
        <w:t>%。</w:t>
      </w:r>
    </w:p>
    <w:p w14:paraId="6F9EF11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640" w:firstLineChars="200"/>
        <w:jc w:val="both"/>
        <w:textAlignment w:val="auto"/>
        <w:rPr>
          <w:rFonts w:hint="default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/>
        </w:rPr>
      </w:pPr>
      <w:r>
        <w:rPr>
          <w:rFonts w:hint="default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/>
        </w:rPr>
        <w:t>在固定资产投资（不含农户）中，第一产业投资同比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/>
        </w:rPr>
        <w:t>增长148.0%</w:t>
      </w:r>
      <w:r>
        <w:rPr>
          <w:rFonts w:hint="default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/>
        </w:rPr>
        <w:t>；第二产业投资同比增长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/>
        </w:rPr>
        <w:t>119.5</w:t>
      </w:r>
      <w:r>
        <w:rPr>
          <w:rFonts w:hint="default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/>
        </w:rPr>
        <w:t>%，其中，工业技改投资同比增长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/>
        </w:rPr>
        <w:t>27.5</w:t>
      </w:r>
      <w:r>
        <w:rPr>
          <w:rFonts w:hint="default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/>
        </w:rPr>
        <w:t>%；第三产业投资同比增长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/>
        </w:rPr>
        <w:t>1.1</w:t>
      </w:r>
      <w:r>
        <w:rPr>
          <w:rFonts w:hint="default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/>
        </w:rPr>
        <w:t>%。</w:t>
      </w:r>
    </w:p>
    <w:p w14:paraId="13C1FAB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0" w:firstLineChars="0"/>
        <w:jc w:val="center"/>
        <w:textAlignment w:val="auto"/>
        <w:rPr>
          <w:rFonts w:hint="eastAsia" w:ascii="黑体" w:hAnsi="黑体" w:eastAsia="黑体" w:cs="黑体"/>
          <w:sz w:val="32"/>
          <w:szCs w:val="32"/>
          <w:shd w:val="clear" w:color="auto" w:fill="auto"/>
        </w:rPr>
      </w:pPr>
      <w:r>
        <w:rPr>
          <w:rFonts w:hint="eastAsia" w:ascii="黑体" w:hAnsi="黑体" w:eastAsia="黑体" w:cs="黑体"/>
          <w:sz w:val="32"/>
          <w:szCs w:val="32"/>
          <w:shd w:val="clear" w:color="auto" w:fill="auto"/>
        </w:rPr>
        <w:t>五、国内贸易</w:t>
      </w:r>
    </w:p>
    <w:p w14:paraId="1928C81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640" w:firstLineChars="200"/>
        <w:jc w:val="both"/>
        <w:textAlignment w:val="auto"/>
        <w:rPr>
          <w:rFonts w:hint="default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/>
        </w:rPr>
      </w:pPr>
      <w:r>
        <w:rPr>
          <w:rFonts w:hint="default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/>
        </w:rPr>
        <w:t>全年社会消费品零售总额完成100.89亿元，同比增长 1.0%。在限额以上批发和零售企业(单位)商品零售额中，粮油食品类同比增长6.1%，饮料类同比增长8.9%，烟酒类同比增长38.9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/>
        </w:rPr>
        <w:t>%</w:t>
      </w:r>
      <w:r>
        <w:rPr>
          <w:rFonts w:hint="default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/>
        </w:rPr>
        <w:t>，金银珠宝类同比增长20.5%，家用电器及音像器材类同比增长15.5%，文化办公用品类同比增长21.7%。</w:t>
      </w:r>
    </w:p>
    <w:p w14:paraId="4A7C074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0" w:firstLineChars="0"/>
        <w:jc w:val="center"/>
        <w:textAlignment w:val="auto"/>
        <w:rPr>
          <w:rFonts w:hint="eastAsia" w:ascii="黑体" w:hAnsi="黑体" w:eastAsia="黑体" w:cs="黑体"/>
          <w:sz w:val="32"/>
          <w:szCs w:val="32"/>
          <w:shd w:val="clear" w:color="auto" w:fill="auto"/>
          <w:lang w:eastAsia="zh-CN"/>
        </w:rPr>
      </w:pPr>
    </w:p>
    <w:p w14:paraId="232B8F5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0" w:firstLineChars="0"/>
        <w:jc w:val="center"/>
        <w:textAlignment w:val="auto"/>
        <w:rPr>
          <w:rFonts w:hint="eastAsia" w:ascii="黑体" w:hAnsi="黑体" w:eastAsia="黑体" w:cs="黑体"/>
          <w:sz w:val="32"/>
          <w:szCs w:val="32"/>
          <w:shd w:val="clear" w:color="auto" w:fill="auto"/>
        </w:rPr>
      </w:pPr>
      <w:r>
        <w:rPr>
          <w:rFonts w:hint="eastAsia" w:ascii="黑体" w:hAnsi="黑体" w:eastAsia="黑体" w:cs="黑体"/>
          <w:sz w:val="32"/>
          <w:szCs w:val="32"/>
          <w:shd w:val="clear" w:color="auto" w:fill="auto"/>
          <w:lang w:eastAsia="zh-CN"/>
        </w:rPr>
        <w:t>六</w:t>
      </w:r>
      <w:r>
        <w:rPr>
          <w:rFonts w:hint="eastAsia" w:ascii="黑体" w:hAnsi="黑体" w:eastAsia="黑体" w:cs="黑体"/>
          <w:sz w:val="32"/>
          <w:szCs w:val="32"/>
          <w:shd w:val="clear" w:color="auto" w:fill="auto"/>
        </w:rPr>
        <w:t>、财</w:t>
      </w:r>
      <w:r>
        <w:rPr>
          <w:rFonts w:hint="eastAsia" w:ascii="黑体" w:hAnsi="黑体" w:eastAsia="黑体" w:cs="黑体"/>
          <w:sz w:val="32"/>
          <w:szCs w:val="32"/>
          <w:shd w:val="clear" w:color="auto" w:fill="auto"/>
          <w:lang w:val="en-US" w:eastAsia="zh-CN"/>
        </w:rPr>
        <w:t xml:space="preserve"> </w:t>
      </w:r>
      <w:r>
        <w:rPr>
          <w:rFonts w:hint="eastAsia" w:ascii="黑体" w:hAnsi="黑体" w:eastAsia="黑体" w:cs="黑体"/>
          <w:sz w:val="32"/>
          <w:szCs w:val="32"/>
          <w:shd w:val="clear" w:color="auto" w:fill="auto"/>
        </w:rPr>
        <w:t>政</w:t>
      </w:r>
    </w:p>
    <w:p w14:paraId="7110397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/>
        </w:rPr>
        <w:t>全年一般公共预算收入19.7亿元，同比增长1.6%。一般公共预算支出44.6亿元，同比下降15.2%。</w:t>
      </w:r>
    </w:p>
    <w:p w14:paraId="48A125C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0" w:firstLineChars="0"/>
        <w:jc w:val="center"/>
        <w:textAlignment w:val="auto"/>
        <w:rPr>
          <w:rFonts w:hint="eastAsia" w:ascii="黑体" w:hAnsi="黑体" w:eastAsia="黑体" w:cs="黑体"/>
          <w:sz w:val="32"/>
          <w:szCs w:val="32"/>
          <w:shd w:val="clear" w:color="auto" w:fill="auto"/>
        </w:rPr>
      </w:pPr>
      <w:r>
        <w:rPr>
          <w:rFonts w:hint="eastAsia" w:ascii="黑体" w:hAnsi="黑体" w:eastAsia="黑体" w:cs="黑体"/>
          <w:sz w:val="32"/>
          <w:szCs w:val="32"/>
          <w:shd w:val="clear" w:color="auto" w:fill="auto"/>
          <w:lang w:eastAsia="zh-CN"/>
        </w:rPr>
        <w:t>七</w:t>
      </w:r>
      <w:r>
        <w:rPr>
          <w:rFonts w:hint="eastAsia" w:ascii="黑体" w:hAnsi="黑体" w:eastAsia="黑体" w:cs="黑体"/>
          <w:sz w:val="32"/>
          <w:szCs w:val="32"/>
          <w:shd w:val="clear" w:color="auto" w:fill="auto"/>
        </w:rPr>
        <w:t>、教</w:t>
      </w:r>
      <w:r>
        <w:rPr>
          <w:rFonts w:hint="eastAsia" w:ascii="黑体" w:hAnsi="黑体" w:eastAsia="黑体" w:cs="黑体"/>
          <w:sz w:val="32"/>
          <w:szCs w:val="32"/>
          <w:shd w:val="clear" w:color="auto" w:fill="auto"/>
          <w:lang w:val="en-US" w:eastAsia="zh-CN"/>
        </w:rPr>
        <w:t xml:space="preserve"> </w:t>
      </w:r>
      <w:r>
        <w:rPr>
          <w:rFonts w:hint="eastAsia" w:ascii="黑体" w:hAnsi="黑体" w:eastAsia="黑体" w:cs="黑体"/>
          <w:sz w:val="32"/>
          <w:szCs w:val="32"/>
          <w:shd w:val="clear" w:color="auto" w:fill="auto"/>
        </w:rPr>
        <w:t>育</w:t>
      </w:r>
    </w:p>
    <w:p w14:paraId="12351C9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/>
        </w:rPr>
        <w:t>全区有幼儿园 79所，小学111所，初级中学25所，普通高中6所，特教学校1所，职业中学4所，其他教育机构14个。在校生137288人，教职工9135人。（含经开区）</w:t>
      </w:r>
    </w:p>
    <w:p w14:paraId="1DE4D83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0" w:firstLineChars="0"/>
        <w:jc w:val="center"/>
        <w:textAlignment w:val="auto"/>
        <w:rPr>
          <w:rFonts w:hint="eastAsia" w:ascii="黑体" w:hAnsi="黑体" w:eastAsia="黑体" w:cs="黑体"/>
          <w:sz w:val="32"/>
          <w:szCs w:val="32"/>
          <w:shd w:val="clear" w:color="auto" w:fill="auto"/>
        </w:rPr>
      </w:pPr>
      <w:r>
        <w:rPr>
          <w:rFonts w:hint="eastAsia" w:ascii="黑体" w:hAnsi="黑体" w:eastAsia="黑体" w:cs="黑体"/>
          <w:sz w:val="32"/>
          <w:szCs w:val="32"/>
          <w:shd w:val="clear" w:color="auto" w:fill="auto"/>
          <w:lang w:eastAsia="zh-CN"/>
        </w:rPr>
        <w:t>八</w:t>
      </w:r>
      <w:r>
        <w:rPr>
          <w:rFonts w:hint="eastAsia" w:ascii="黑体" w:hAnsi="黑体" w:eastAsia="黑体" w:cs="黑体"/>
          <w:sz w:val="32"/>
          <w:szCs w:val="32"/>
          <w:shd w:val="clear" w:color="auto" w:fill="auto"/>
        </w:rPr>
        <w:t>、卫</w:t>
      </w:r>
      <w:r>
        <w:rPr>
          <w:rFonts w:hint="eastAsia" w:ascii="黑体" w:hAnsi="黑体" w:eastAsia="黑体" w:cs="黑体"/>
          <w:sz w:val="32"/>
          <w:szCs w:val="32"/>
          <w:shd w:val="clear" w:color="auto" w:fill="auto"/>
          <w:lang w:val="en-US" w:eastAsia="zh-CN"/>
        </w:rPr>
        <w:t xml:space="preserve"> </w:t>
      </w:r>
      <w:r>
        <w:rPr>
          <w:rFonts w:hint="eastAsia" w:ascii="黑体" w:hAnsi="黑体" w:eastAsia="黑体" w:cs="黑体"/>
          <w:sz w:val="32"/>
          <w:szCs w:val="32"/>
          <w:shd w:val="clear" w:color="auto" w:fill="auto"/>
        </w:rPr>
        <w:t>生</w:t>
      </w:r>
    </w:p>
    <w:p w14:paraId="0C9FC8D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/>
        </w:rPr>
        <w:t>年末全区共有医疗卫生机构22个。其中，医院9个，妇幼保健院1个，卫生院12个。实有床位2821张。在岗职工2397人，其中卫生技术人员2030人，执业（助理）医师 854人，注册护士921人。</w:t>
      </w:r>
    </w:p>
    <w:p w14:paraId="7B99FB1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0" w:firstLineChars="0"/>
        <w:jc w:val="center"/>
        <w:textAlignment w:val="auto"/>
        <w:rPr>
          <w:rFonts w:hint="eastAsia" w:ascii="黑体" w:hAnsi="黑体" w:eastAsia="黑体" w:cs="黑体"/>
          <w:sz w:val="32"/>
          <w:szCs w:val="32"/>
          <w:shd w:val="clear" w:color="auto" w:fill="auto"/>
        </w:rPr>
      </w:pPr>
      <w:r>
        <w:rPr>
          <w:rFonts w:hint="eastAsia" w:ascii="黑体" w:hAnsi="黑体" w:eastAsia="黑体" w:cs="黑体"/>
          <w:sz w:val="32"/>
          <w:szCs w:val="32"/>
          <w:shd w:val="clear" w:color="auto" w:fill="auto"/>
          <w:lang w:eastAsia="zh-CN"/>
        </w:rPr>
        <w:t>九</w:t>
      </w:r>
      <w:r>
        <w:rPr>
          <w:rFonts w:hint="eastAsia" w:ascii="黑体" w:hAnsi="黑体" w:eastAsia="黑体" w:cs="黑体"/>
          <w:sz w:val="32"/>
          <w:szCs w:val="32"/>
          <w:shd w:val="clear" w:color="auto" w:fill="auto"/>
        </w:rPr>
        <w:t>、人口、人民生活</w:t>
      </w:r>
    </w:p>
    <w:p w14:paraId="0C6FB94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/>
        </w:rPr>
        <w:t>年末全区常住总人口741184人,比上年末增加800人。其中，城镇常住人口443706人，比上年末增加3619人；常住人口城镇化率为59.86%，比上年末提高0.4个百分点。（含经开区）</w:t>
      </w:r>
    </w:p>
    <w:p w14:paraId="3D6809C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/>
        </w:rPr>
        <w:t>人民生活水平进一步提高，城镇居民人均可支配收入49440元，同比增长4.8%；农村居民人均可支配收入29721元，同比增长6.6%。（含经开区）</w:t>
      </w:r>
    </w:p>
    <w:p w14:paraId="788C5CA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643" w:firstLineChars="200"/>
        <w:textAlignment w:val="auto"/>
        <w:rPr>
          <w:rFonts w:hint="eastAsia" w:ascii="仿宋" w:hAnsi="仿宋" w:eastAsia="仿宋" w:cs="仿宋"/>
          <w:b/>
          <w:bCs/>
          <w:sz w:val="32"/>
          <w:szCs w:val="32"/>
          <w:shd w:val="clear" w:color="auto" w:fill="auto"/>
        </w:rPr>
      </w:pPr>
      <w:bookmarkStart w:id="0" w:name="_GoBack"/>
      <w:bookmarkEnd w:id="0"/>
    </w:p>
    <w:p w14:paraId="3E6F4B6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643" w:firstLineChars="200"/>
        <w:jc w:val="both"/>
        <w:textAlignment w:val="auto"/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shd w:val="clear" w:color="auto" w:fill="auto"/>
          <w:lang w:val="en-US" w:eastAsia="zh-CN"/>
        </w:rPr>
        <w:t>注释：</w:t>
      </w:r>
    </w:p>
    <w:p w14:paraId="35BE4B0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/>
        </w:rPr>
        <w:t>1.全区生产总值、三次产业增加值、民营经济增加值绝对值按现行价格计算，增长速度按不变价格计算。</w:t>
      </w:r>
    </w:p>
    <w:p w14:paraId="6027D56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/>
        </w:rPr>
        <w:t>2.本公报中数据主要为初步统计数。由于单位换算、四舍五入等原因产生的计算误差，均未作机械调整，存在总计与分项合计不等的情况。</w:t>
      </w:r>
    </w:p>
    <w:p w14:paraId="1A6FD06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/>
        </w:rPr>
        <w:t>3.本公报中一般公共预算收入、一般公共预算支出数据来自区财政局，普通中学、小学、幼儿园等教育数据来自区教育局，医疗卫生机构数据来自区卫生健康局。</w:t>
      </w:r>
    </w:p>
    <w:p w14:paraId="2539F72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/>
        </w:rPr>
        <w:t>4.公报中部分数据含经开区，已在文中备注。</w:t>
      </w:r>
    </w:p>
    <w:p w14:paraId="18B6C86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/>
        </w:rPr>
      </w:pPr>
    </w:p>
    <w:p w14:paraId="6C142FD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/>
        </w:rPr>
      </w:pPr>
    </w:p>
    <w:p w14:paraId="37BABEE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/>
        </w:rPr>
      </w:pPr>
    </w:p>
    <w:p w14:paraId="3D05C3D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640" w:firstLineChars="200"/>
        <w:jc w:val="right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/>
        </w:rPr>
        <w:t>石家庄市藁城区统计局</w:t>
      </w:r>
    </w:p>
    <w:p w14:paraId="7F73A6B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640" w:firstLineChars="200"/>
        <w:jc w:val="right"/>
        <w:textAlignment w:val="auto"/>
        <w:rPr>
          <w:rFonts w:hint="default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auto"/>
          <w:lang w:val="en-US" w:eastAsia="zh-CN"/>
        </w:rPr>
        <w:t xml:space="preserve">2025年5月14日  </w:t>
      </w:r>
    </w:p>
    <w:sectPr>
      <w:footerReference r:id="rId3" w:type="default"/>
      <w:pgSz w:w="11906" w:h="16838"/>
      <w:pgMar w:top="2098" w:right="1474" w:bottom="1984" w:left="1587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经典标宋简">
    <w:panose1 w:val="02010609000101010101"/>
    <w:charset w:val="86"/>
    <w:family w:val="auto"/>
    <w:pitch w:val="default"/>
    <w:sig w:usb0="A1007AEF" w:usb1="F9DF7CFB" w:usb2="0000001E" w:usb3="00000000" w:csb0="20040000" w:csb1="00000000"/>
  </w:font>
  <w:font w:name="华文细黑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5871E10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4FA32E5">
                          <w:pPr>
                            <w:pStyle w:val="3"/>
                            <w:rPr>
                              <w:rFonts w:hint="eastAsia" w:ascii="宋体" w:hAnsi="宋体" w:eastAsia="宋体" w:cs="宋体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4"/>
                              <w:szCs w:val="24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4"/>
                              <w:szCs w:val="24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4"/>
                              <w:szCs w:val="24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4"/>
                              <w:szCs w:val="24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44FA32E5">
                    <w:pPr>
                      <w:pStyle w:val="3"/>
                      <w:rPr>
                        <w:rFonts w:hint="eastAsia" w:ascii="宋体" w:hAnsi="宋体" w:eastAsia="宋体" w:cs="宋体"/>
                        <w:sz w:val="24"/>
                        <w:szCs w:val="24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4"/>
                        <w:szCs w:val="24"/>
                      </w:rP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4"/>
                        <w:szCs w:val="24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4"/>
                        <w:szCs w:val="24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4"/>
                        <w:szCs w:val="24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2A27"/>
    <w:rsid w:val="00303234"/>
    <w:rsid w:val="004B3CAF"/>
    <w:rsid w:val="004F464D"/>
    <w:rsid w:val="005F572E"/>
    <w:rsid w:val="0063108A"/>
    <w:rsid w:val="006B40FF"/>
    <w:rsid w:val="007A51B4"/>
    <w:rsid w:val="008A6A7E"/>
    <w:rsid w:val="009F4C1B"/>
    <w:rsid w:val="00B50E2D"/>
    <w:rsid w:val="00D77F4E"/>
    <w:rsid w:val="012C6A0F"/>
    <w:rsid w:val="015C7B05"/>
    <w:rsid w:val="017C6D0A"/>
    <w:rsid w:val="01A249C3"/>
    <w:rsid w:val="01B91D0C"/>
    <w:rsid w:val="02536B39"/>
    <w:rsid w:val="02832A46"/>
    <w:rsid w:val="02930EEB"/>
    <w:rsid w:val="02F715C2"/>
    <w:rsid w:val="03237D85"/>
    <w:rsid w:val="03256034"/>
    <w:rsid w:val="03372A1A"/>
    <w:rsid w:val="034621CC"/>
    <w:rsid w:val="03C20AEB"/>
    <w:rsid w:val="03D8080E"/>
    <w:rsid w:val="03DC3F73"/>
    <w:rsid w:val="03E6038A"/>
    <w:rsid w:val="03EB52F4"/>
    <w:rsid w:val="03EE0B14"/>
    <w:rsid w:val="046F1A02"/>
    <w:rsid w:val="0478502B"/>
    <w:rsid w:val="04854B2D"/>
    <w:rsid w:val="04965210"/>
    <w:rsid w:val="04A57EE6"/>
    <w:rsid w:val="04C81C36"/>
    <w:rsid w:val="04F83610"/>
    <w:rsid w:val="05170348"/>
    <w:rsid w:val="051C0687"/>
    <w:rsid w:val="05393C64"/>
    <w:rsid w:val="058C3828"/>
    <w:rsid w:val="059D3D80"/>
    <w:rsid w:val="05B7080A"/>
    <w:rsid w:val="05C0098E"/>
    <w:rsid w:val="05DC15D5"/>
    <w:rsid w:val="060D1A19"/>
    <w:rsid w:val="06236BE4"/>
    <w:rsid w:val="062E3F74"/>
    <w:rsid w:val="064424ED"/>
    <w:rsid w:val="0680104B"/>
    <w:rsid w:val="068D60C4"/>
    <w:rsid w:val="0692347E"/>
    <w:rsid w:val="06E37B55"/>
    <w:rsid w:val="06E93094"/>
    <w:rsid w:val="07035F04"/>
    <w:rsid w:val="078A0FCA"/>
    <w:rsid w:val="07ED3D4B"/>
    <w:rsid w:val="07EF442B"/>
    <w:rsid w:val="08035593"/>
    <w:rsid w:val="08061A11"/>
    <w:rsid w:val="082F080C"/>
    <w:rsid w:val="083206B8"/>
    <w:rsid w:val="085C6570"/>
    <w:rsid w:val="08C440A4"/>
    <w:rsid w:val="09126C1C"/>
    <w:rsid w:val="09301B99"/>
    <w:rsid w:val="095F13EB"/>
    <w:rsid w:val="09C367C7"/>
    <w:rsid w:val="09D854D1"/>
    <w:rsid w:val="09E33B74"/>
    <w:rsid w:val="0A386995"/>
    <w:rsid w:val="0A5847B8"/>
    <w:rsid w:val="0A682522"/>
    <w:rsid w:val="0A774671"/>
    <w:rsid w:val="0ACD066A"/>
    <w:rsid w:val="0B150EE9"/>
    <w:rsid w:val="0B1C708F"/>
    <w:rsid w:val="0B3A5C6C"/>
    <w:rsid w:val="0B42315D"/>
    <w:rsid w:val="0B573C13"/>
    <w:rsid w:val="0BBA4FFF"/>
    <w:rsid w:val="0BE0021A"/>
    <w:rsid w:val="0C101474"/>
    <w:rsid w:val="0C53457F"/>
    <w:rsid w:val="0C6D15C5"/>
    <w:rsid w:val="0CC003F3"/>
    <w:rsid w:val="0CD20ED5"/>
    <w:rsid w:val="0CEF7596"/>
    <w:rsid w:val="0D3A064E"/>
    <w:rsid w:val="0D5343F5"/>
    <w:rsid w:val="0E424CB6"/>
    <w:rsid w:val="0E6F3E7F"/>
    <w:rsid w:val="0E942BF0"/>
    <w:rsid w:val="0EA33D39"/>
    <w:rsid w:val="0EAA5D36"/>
    <w:rsid w:val="0EDD6EB9"/>
    <w:rsid w:val="0EE83C31"/>
    <w:rsid w:val="0F086EF5"/>
    <w:rsid w:val="0F1F3AF7"/>
    <w:rsid w:val="0F2227F4"/>
    <w:rsid w:val="0F262586"/>
    <w:rsid w:val="0F432912"/>
    <w:rsid w:val="0F555CCC"/>
    <w:rsid w:val="0F561B3D"/>
    <w:rsid w:val="0F735E39"/>
    <w:rsid w:val="0F766A41"/>
    <w:rsid w:val="0FA12444"/>
    <w:rsid w:val="0FCA7ED1"/>
    <w:rsid w:val="0FE12B5A"/>
    <w:rsid w:val="10390254"/>
    <w:rsid w:val="103F1C69"/>
    <w:rsid w:val="1069465B"/>
    <w:rsid w:val="10725EA8"/>
    <w:rsid w:val="107A6B0B"/>
    <w:rsid w:val="107C0AD5"/>
    <w:rsid w:val="108103F5"/>
    <w:rsid w:val="10C36704"/>
    <w:rsid w:val="10CE6FF0"/>
    <w:rsid w:val="10D23B88"/>
    <w:rsid w:val="10FB3E1F"/>
    <w:rsid w:val="117143B2"/>
    <w:rsid w:val="117D1169"/>
    <w:rsid w:val="11EA3653"/>
    <w:rsid w:val="125F0564"/>
    <w:rsid w:val="127159EE"/>
    <w:rsid w:val="12762DC3"/>
    <w:rsid w:val="128D5274"/>
    <w:rsid w:val="1297283D"/>
    <w:rsid w:val="12B13A75"/>
    <w:rsid w:val="1311742E"/>
    <w:rsid w:val="132A784B"/>
    <w:rsid w:val="133950D7"/>
    <w:rsid w:val="134164ED"/>
    <w:rsid w:val="13497394"/>
    <w:rsid w:val="1363409C"/>
    <w:rsid w:val="136A2E67"/>
    <w:rsid w:val="13AF4C51"/>
    <w:rsid w:val="13DA06C3"/>
    <w:rsid w:val="13DC5B85"/>
    <w:rsid w:val="140C2170"/>
    <w:rsid w:val="140D688B"/>
    <w:rsid w:val="14131750"/>
    <w:rsid w:val="144A08B6"/>
    <w:rsid w:val="146124BC"/>
    <w:rsid w:val="147C1C5D"/>
    <w:rsid w:val="147F016F"/>
    <w:rsid w:val="14D56A06"/>
    <w:rsid w:val="14D87726"/>
    <w:rsid w:val="150815E6"/>
    <w:rsid w:val="15331C45"/>
    <w:rsid w:val="156E030E"/>
    <w:rsid w:val="15950D8B"/>
    <w:rsid w:val="15BF75FB"/>
    <w:rsid w:val="15D8055B"/>
    <w:rsid w:val="161A5018"/>
    <w:rsid w:val="162B211D"/>
    <w:rsid w:val="16421925"/>
    <w:rsid w:val="16661542"/>
    <w:rsid w:val="1674236C"/>
    <w:rsid w:val="16767069"/>
    <w:rsid w:val="167C538B"/>
    <w:rsid w:val="16805C66"/>
    <w:rsid w:val="16CC57B9"/>
    <w:rsid w:val="16E03379"/>
    <w:rsid w:val="16E178E4"/>
    <w:rsid w:val="170E00A8"/>
    <w:rsid w:val="17231CAA"/>
    <w:rsid w:val="1734696F"/>
    <w:rsid w:val="174015E6"/>
    <w:rsid w:val="176B7E58"/>
    <w:rsid w:val="177C1A3B"/>
    <w:rsid w:val="17FF6273"/>
    <w:rsid w:val="1845159B"/>
    <w:rsid w:val="18D9340D"/>
    <w:rsid w:val="18ED1A73"/>
    <w:rsid w:val="190A14E7"/>
    <w:rsid w:val="193A5CB8"/>
    <w:rsid w:val="1969398C"/>
    <w:rsid w:val="197920F8"/>
    <w:rsid w:val="198A278B"/>
    <w:rsid w:val="19963E39"/>
    <w:rsid w:val="19E716B5"/>
    <w:rsid w:val="1A1A13C4"/>
    <w:rsid w:val="1A200723"/>
    <w:rsid w:val="1A240213"/>
    <w:rsid w:val="1A7B7613"/>
    <w:rsid w:val="1A807414"/>
    <w:rsid w:val="1A983DBA"/>
    <w:rsid w:val="1AED668E"/>
    <w:rsid w:val="1B171B26"/>
    <w:rsid w:val="1B547B0D"/>
    <w:rsid w:val="1BD133E7"/>
    <w:rsid w:val="1BD810C3"/>
    <w:rsid w:val="1C1B62A4"/>
    <w:rsid w:val="1C3838F2"/>
    <w:rsid w:val="1C5559C3"/>
    <w:rsid w:val="1C7E6871"/>
    <w:rsid w:val="1D0E51AB"/>
    <w:rsid w:val="1D2955F8"/>
    <w:rsid w:val="1D2A2BCC"/>
    <w:rsid w:val="1D373B4B"/>
    <w:rsid w:val="1DC55869"/>
    <w:rsid w:val="1DFC3255"/>
    <w:rsid w:val="1E041EF6"/>
    <w:rsid w:val="1E221DF5"/>
    <w:rsid w:val="1E354848"/>
    <w:rsid w:val="1E4718F7"/>
    <w:rsid w:val="1E547365"/>
    <w:rsid w:val="1E7905C2"/>
    <w:rsid w:val="1E935967"/>
    <w:rsid w:val="1ED805F3"/>
    <w:rsid w:val="1EDF00B1"/>
    <w:rsid w:val="1F1B222B"/>
    <w:rsid w:val="1F556C4C"/>
    <w:rsid w:val="1F9C7825"/>
    <w:rsid w:val="1FB578C7"/>
    <w:rsid w:val="1FC973B1"/>
    <w:rsid w:val="1FDC4DC4"/>
    <w:rsid w:val="20344F28"/>
    <w:rsid w:val="203F6487"/>
    <w:rsid w:val="20932922"/>
    <w:rsid w:val="209E328C"/>
    <w:rsid w:val="20E836DA"/>
    <w:rsid w:val="211B495E"/>
    <w:rsid w:val="212C3301"/>
    <w:rsid w:val="215E6AB0"/>
    <w:rsid w:val="216A1A3C"/>
    <w:rsid w:val="217705CD"/>
    <w:rsid w:val="21887CC9"/>
    <w:rsid w:val="219155B4"/>
    <w:rsid w:val="21C6524A"/>
    <w:rsid w:val="22112D80"/>
    <w:rsid w:val="222F2203"/>
    <w:rsid w:val="224C689B"/>
    <w:rsid w:val="226C09A9"/>
    <w:rsid w:val="229E0D7F"/>
    <w:rsid w:val="22CC1448"/>
    <w:rsid w:val="22F761BF"/>
    <w:rsid w:val="23036C04"/>
    <w:rsid w:val="232A43C0"/>
    <w:rsid w:val="23323744"/>
    <w:rsid w:val="23623DD0"/>
    <w:rsid w:val="23732CC0"/>
    <w:rsid w:val="23F503FE"/>
    <w:rsid w:val="240A3892"/>
    <w:rsid w:val="242E07FB"/>
    <w:rsid w:val="243D5CB1"/>
    <w:rsid w:val="24900CFF"/>
    <w:rsid w:val="24D16DA1"/>
    <w:rsid w:val="24D42DE8"/>
    <w:rsid w:val="2508039B"/>
    <w:rsid w:val="253B17D2"/>
    <w:rsid w:val="2591594E"/>
    <w:rsid w:val="259E1B0B"/>
    <w:rsid w:val="25EA485F"/>
    <w:rsid w:val="260E501B"/>
    <w:rsid w:val="26662D86"/>
    <w:rsid w:val="268A58A2"/>
    <w:rsid w:val="26995AE5"/>
    <w:rsid w:val="26BE554B"/>
    <w:rsid w:val="26F66E12"/>
    <w:rsid w:val="27894A51"/>
    <w:rsid w:val="27DD162B"/>
    <w:rsid w:val="282835C4"/>
    <w:rsid w:val="28333D17"/>
    <w:rsid w:val="28484857"/>
    <w:rsid w:val="28591925"/>
    <w:rsid w:val="28722FF0"/>
    <w:rsid w:val="2916066A"/>
    <w:rsid w:val="298365D8"/>
    <w:rsid w:val="29A01BCF"/>
    <w:rsid w:val="29DA41EF"/>
    <w:rsid w:val="29ED4FA1"/>
    <w:rsid w:val="2A045579"/>
    <w:rsid w:val="2A293624"/>
    <w:rsid w:val="2A3A70B2"/>
    <w:rsid w:val="2A3E7AA3"/>
    <w:rsid w:val="2A895E70"/>
    <w:rsid w:val="2A9F6D76"/>
    <w:rsid w:val="2AB53BAD"/>
    <w:rsid w:val="2B252A5C"/>
    <w:rsid w:val="2B365074"/>
    <w:rsid w:val="2B5E7613"/>
    <w:rsid w:val="2B967E93"/>
    <w:rsid w:val="2BCC4267"/>
    <w:rsid w:val="2BCF311F"/>
    <w:rsid w:val="2CAB05B1"/>
    <w:rsid w:val="2CCB1508"/>
    <w:rsid w:val="2CD67E2A"/>
    <w:rsid w:val="2CFA5BE2"/>
    <w:rsid w:val="2D19172E"/>
    <w:rsid w:val="2D2950D2"/>
    <w:rsid w:val="2D5C610D"/>
    <w:rsid w:val="2D643E16"/>
    <w:rsid w:val="2DB651CE"/>
    <w:rsid w:val="2DC03A80"/>
    <w:rsid w:val="2DD37B2E"/>
    <w:rsid w:val="2DD90EBD"/>
    <w:rsid w:val="2DEF25CE"/>
    <w:rsid w:val="2E156399"/>
    <w:rsid w:val="2E687D29"/>
    <w:rsid w:val="2E6C50C4"/>
    <w:rsid w:val="2F10090E"/>
    <w:rsid w:val="2F1A353B"/>
    <w:rsid w:val="2F373E72"/>
    <w:rsid w:val="2F8A73B2"/>
    <w:rsid w:val="2F9148BF"/>
    <w:rsid w:val="2FB709A2"/>
    <w:rsid w:val="300E03F3"/>
    <w:rsid w:val="303A40FF"/>
    <w:rsid w:val="30852D35"/>
    <w:rsid w:val="30C0776F"/>
    <w:rsid w:val="30C714A1"/>
    <w:rsid w:val="31031BB2"/>
    <w:rsid w:val="315E757C"/>
    <w:rsid w:val="31682C84"/>
    <w:rsid w:val="31C758D3"/>
    <w:rsid w:val="31D1437E"/>
    <w:rsid w:val="31DC0F7C"/>
    <w:rsid w:val="31F86345"/>
    <w:rsid w:val="321B5F48"/>
    <w:rsid w:val="324E7D12"/>
    <w:rsid w:val="326A2A2B"/>
    <w:rsid w:val="32747406"/>
    <w:rsid w:val="32814114"/>
    <w:rsid w:val="328238D1"/>
    <w:rsid w:val="32904193"/>
    <w:rsid w:val="32BD3639"/>
    <w:rsid w:val="32C3691E"/>
    <w:rsid w:val="32FB6020"/>
    <w:rsid w:val="3311602C"/>
    <w:rsid w:val="331D1AB6"/>
    <w:rsid w:val="335F1E64"/>
    <w:rsid w:val="33887787"/>
    <w:rsid w:val="33A74B31"/>
    <w:rsid w:val="33B3690A"/>
    <w:rsid w:val="33C95BB1"/>
    <w:rsid w:val="341219A3"/>
    <w:rsid w:val="34160300"/>
    <w:rsid w:val="343179CE"/>
    <w:rsid w:val="349C6A40"/>
    <w:rsid w:val="34E645EB"/>
    <w:rsid w:val="34F86066"/>
    <w:rsid w:val="35057FA1"/>
    <w:rsid w:val="351A799A"/>
    <w:rsid w:val="359978AF"/>
    <w:rsid w:val="35F71D7D"/>
    <w:rsid w:val="364315C9"/>
    <w:rsid w:val="36592B9B"/>
    <w:rsid w:val="36767BF1"/>
    <w:rsid w:val="367A4A1F"/>
    <w:rsid w:val="36A020DA"/>
    <w:rsid w:val="36BB3AD4"/>
    <w:rsid w:val="36EF34FF"/>
    <w:rsid w:val="37037AC7"/>
    <w:rsid w:val="372908EE"/>
    <w:rsid w:val="375822E8"/>
    <w:rsid w:val="375D618E"/>
    <w:rsid w:val="378421E6"/>
    <w:rsid w:val="37C44847"/>
    <w:rsid w:val="37CC31AE"/>
    <w:rsid w:val="380E433A"/>
    <w:rsid w:val="38422827"/>
    <w:rsid w:val="385C61C7"/>
    <w:rsid w:val="38611E2B"/>
    <w:rsid w:val="389C231E"/>
    <w:rsid w:val="38E56968"/>
    <w:rsid w:val="391122C2"/>
    <w:rsid w:val="39333B77"/>
    <w:rsid w:val="39355462"/>
    <w:rsid w:val="39363667"/>
    <w:rsid w:val="39374E49"/>
    <w:rsid w:val="395F604C"/>
    <w:rsid w:val="398C3287"/>
    <w:rsid w:val="39A95BE7"/>
    <w:rsid w:val="39BE0AB4"/>
    <w:rsid w:val="3A317817"/>
    <w:rsid w:val="3B6A3135"/>
    <w:rsid w:val="3BDF192A"/>
    <w:rsid w:val="3BEE5B6B"/>
    <w:rsid w:val="3C2A0BE1"/>
    <w:rsid w:val="3C5177E1"/>
    <w:rsid w:val="3CB323D9"/>
    <w:rsid w:val="3CF214B2"/>
    <w:rsid w:val="3D1A4601"/>
    <w:rsid w:val="3D323278"/>
    <w:rsid w:val="3D587DFA"/>
    <w:rsid w:val="3D655322"/>
    <w:rsid w:val="3DA666E7"/>
    <w:rsid w:val="3DAF6478"/>
    <w:rsid w:val="3DCB6A74"/>
    <w:rsid w:val="3DFC3E67"/>
    <w:rsid w:val="3E052801"/>
    <w:rsid w:val="3E320DD5"/>
    <w:rsid w:val="3E52684D"/>
    <w:rsid w:val="3E7542EF"/>
    <w:rsid w:val="3EEB1DD6"/>
    <w:rsid w:val="3F0A02B1"/>
    <w:rsid w:val="3F2F6B8F"/>
    <w:rsid w:val="3F6F1681"/>
    <w:rsid w:val="3F947908"/>
    <w:rsid w:val="3FA55724"/>
    <w:rsid w:val="3FAA39A6"/>
    <w:rsid w:val="3FCC5559"/>
    <w:rsid w:val="3FD15E98"/>
    <w:rsid w:val="3FF451AE"/>
    <w:rsid w:val="407E63A2"/>
    <w:rsid w:val="40D971AA"/>
    <w:rsid w:val="410E74F4"/>
    <w:rsid w:val="411240E2"/>
    <w:rsid w:val="41561A3E"/>
    <w:rsid w:val="41E1381D"/>
    <w:rsid w:val="420B0513"/>
    <w:rsid w:val="424023F2"/>
    <w:rsid w:val="42567E03"/>
    <w:rsid w:val="426E27DD"/>
    <w:rsid w:val="42760546"/>
    <w:rsid w:val="42A113F5"/>
    <w:rsid w:val="42D060E9"/>
    <w:rsid w:val="43282273"/>
    <w:rsid w:val="435117C9"/>
    <w:rsid w:val="439E42E3"/>
    <w:rsid w:val="44126FE7"/>
    <w:rsid w:val="441B64F0"/>
    <w:rsid w:val="44834911"/>
    <w:rsid w:val="44973C2B"/>
    <w:rsid w:val="44C341DA"/>
    <w:rsid w:val="45046AB6"/>
    <w:rsid w:val="453F6DB6"/>
    <w:rsid w:val="454A4DD9"/>
    <w:rsid w:val="454E32CE"/>
    <w:rsid w:val="45B918A8"/>
    <w:rsid w:val="45BB73CE"/>
    <w:rsid w:val="45CF4BC6"/>
    <w:rsid w:val="461125D2"/>
    <w:rsid w:val="462D194E"/>
    <w:rsid w:val="467C099F"/>
    <w:rsid w:val="468E789A"/>
    <w:rsid w:val="46CA126B"/>
    <w:rsid w:val="46D85D5E"/>
    <w:rsid w:val="46D942BD"/>
    <w:rsid w:val="472312CD"/>
    <w:rsid w:val="474E24AF"/>
    <w:rsid w:val="47B565D2"/>
    <w:rsid w:val="47F81E2B"/>
    <w:rsid w:val="482C45B3"/>
    <w:rsid w:val="482E3CA5"/>
    <w:rsid w:val="48316888"/>
    <w:rsid w:val="49093328"/>
    <w:rsid w:val="491C25F9"/>
    <w:rsid w:val="49750E10"/>
    <w:rsid w:val="49923051"/>
    <w:rsid w:val="49A83B17"/>
    <w:rsid w:val="49B74BDF"/>
    <w:rsid w:val="49D97E23"/>
    <w:rsid w:val="49F47A9B"/>
    <w:rsid w:val="4A331423"/>
    <w:rsid w:val="4A4F4589"/>
    <w:rsid w:val="4A9177C4"/>
    <w:rsid w:val="4A9E1D64"/>
    <w:rsid w:val="4ABD14F2"/>
    <w:rsid w:val="4AC406A9"/>
    <w:rsid w:val="4AC76815"/>
    <w:rsid w:val="4B451EAF"/>
    <w:rsid w:val="4B4824B9"/>
    <w:rsid w:val="4B533C05"/>
    <w:rsid w:val="4B6573C5"/>
    <w:rsid w:val="4B8853AE"/>
    <w:rsid w:val="4BCC2384"/>
    <w:rsid w:val="4BDF5276"/>
    <w:rsid w:val="4BE34F89"/>
    <w:rsid w:val="4C215AB1"/>
    <w:rsid w:val="4C7E1155"/>
    <w:rsid w:val="4C801FBD"/>
    <w:rsid w:val="4C9810F6"/>
    <w:rsid w:val="4CA349E3"/>
    <w:rsid w:val="4CAC181F"/>
    <w:rsid w:val="4CE4622F"/>
    <w:rsid w:val="4CFB4554"/>
    <w:rsid w:val="4D072E8E"/>
    <w:rsid w:val="4D1052A2"/>
    <w:rsid w:val="4D2A09FD"/>
    <w:rsid w:val="4D2E0486"/>
    <w:rsid w:val="4D3167F1"/>
    <w:rsid w:val="4D342D48"/>
    <w:rsid w:val="4D69767F"/>
    <w:rsid w:val="4D6E11CA"/>
    <w:rsid w:val="4D7A0454"/>
    <w:rsid w:val="4DA92202"/>
    <w:rsid w:val="4DB975BB"/>
    <w:rsid w:val="4DDD2DB9"/>
    <w:rsid w:val="4DF64477"/>
    <w:rsid w:val="4E3441C2"/>
    <w:rsid w:val="4E8862BB"/>
    <w:rsid w:val="4EC5167C"/>
    <w:rsid w:val="4EF360AC"/>
    <w:rsid w:val="4EFD408F"/>
    <w:rsid w:val="4F035F21"/>
    <w:rsid w:val="4F2F100A"/>
    <w:rsid w:val="4F4437D6"/>
    <w:rsid w:val="4F622668"/>
    <w:rsid w:val="4FC11A85"/>
    <w:rsid w:val="4FC304CF"/>
    <w:rsid w:val="4FC82D6B"/>
    <w:rsid w:val="50697A27"/>
    <w:rsid w:val="507D2D7C"/>
    <w:rsid w:val="50944AD6"/>
    <w:rsid w:val="50A768C9"/>
    <w:rsid w:val="50B45146"/>
    <w:rsid w:val="50C16AEE"/>
    <w:rsid w:val="50EF5136"/>
    <w:rsid w:val="513A6048"/>
    <w:rsid w:val="518C12B7"/>
    <w:rsid w:val="5190741E"/>
    <w:rsid w:val="51A76A58"/>
    <w:rsid w:val="51B06AB8"/>
    <w:rsid w:val="51E15C03"/>
    <w:rsid w:val="52087D5F"/>
    <w:rsid w:val="52157E66"/>
    <w:rsid w:val="523C1537"/>
    <w:rsid w:val="524A3C6C"/>
    <w:rsid w:val="524A488B"/>
    <w:rsid w:val="52ED0DE3"/>
    <w:rsid w:val="52F02059"/>
    <w:rsid w:val="53176435"/>
    <w:rsid w:val="53385F3B"/>
    <w:rsid w:val="534F55FA"/>
    <w:rsid w:val="539A6875"/>
    <w:rsid w:val="53A87DCC"/>
    <w:rsid w:val="53D67502"/>
    <w:rsid w:val="53F14E08"/>
    <w:rsid w:val="540517DD"/>
    <w:rsid w:val="54322F51"/>
    <w:rsid w:val="54641FBC"/>
    <w:rsid w:val="54A94149"/>
    <w:rsid w:val="54D91CDE"/>
    <w:rsid w:val="54DB3869"/>
    <w:rsid w:val="55252E01"/>
    <w:rsid w:val="553729C7"/>
    <w:rsid w:val="553F51C6"/>
    <w:rsid w:val="5540344C"/>
    <w:rsid w:val="55566A45"/>
    <w:rsid w:val="558A10BC"/>
    <w:rsid w:val="55D04571"/>
    <w:rsid w:val="55D04756"/>
    <w:rsid w:val="55D24598"/>
    <w:rsid w:val="560920EC"/>
    <w:rsid w:val="56281837"/>
    <w:rsid w:val="563D74EE"/>
    <w:rsid w:val="565D3B8A"/>
    <w:rsid w:val="56923F1E"/>
    <w:rsid w:val="56B00F05"/>
    <w:rsid w:val="56B10E5B"/>
    <w:rsid w:val="56CD61CA"/>
    <w:rsid w:val="56E21FA9"/>
    <w:rsid w:val="56FE536D"/>
    <w:rsid w:val="5759572B"/>
    <w:rsid w:val="575B18F8"/>
    <w:rsid w:val="57683424"/>
    <w:rsid w:val="57727B09"/>
    <w:rsid w:val="57865564"/>
    <w:rsid w:val="57AE1E18"/>
    <w:rsid w:val="57C808C9"/>
    <w:rsid w:val="585834F8"/>
    <w:rsid w:val="585B1051"/>
    <w:rsid w:val="58737694"/>
    <w:rsid w:val="58913ED2"/>
    <w:rsid w:val="58CD149A"/>
    <w:rsid w:val="58DB0E43"/>
    <w:rsid w:val="5923730C"/>
    <w:rsid w:val="59384B81"/>
    <w:rsid w:val="59527BF2"/>
    <w:rsid w:val="595F33B8"/>
    <w:rsid w:val="596C1C2B"/>
    <w:rsid w:val="59BB5797"/>
    <w:rsid w:val="59BE0DE3"/>
    <w:rsid w:val="59DE3233"/>
    <w:rsid w:val="5A224E69"/>
    <w:rsid w:val="5A276CA5"/>
    <w:rsid w:val="5A2C7CFB"/>
    <w:rsid w:val="5A745905"/>
    <w:rsid w:val="5B09363C"/>
    <w:rsid w:val="5B224AD9"/>
    <w:rsid w:val="5B237EE3"/>
    <w:rsid w:val="5B3366E9"/>
    <w:rsid w:val="5B4466C7"/>
    <w:rsid w:val="5BAC183B"/>
    <w:rsid w:val="5C1B5C3E"/>
    <w:rsid w:val="5C283D88"/>
    <w:rsid w:val="5C294C3A"/>
    <w:rsid w:val="5C2C1EBE"/>
    <w:rsid w:val="5C8400C2"/>
    <w:rsid w:val="5C8A1D85"/>
    <w:rsid w:val="5C942933"/>
    <w:rsid w:val="5CB21E21"/>
    <w:rsid w:val="5CC47E1F"/>
    <w:rsid w:val="5CCA47D6"/>
    <w:rsid w:val="5CD37DBD"/>
    <w:rsid w:val="5CD66444"/>
    <w:rsid w:val="5CE1336C"/>
    <w:rsid w:val="5DC80F34"/>
    <w:rsid w:val="5DD93DBA"/>
    <w:rsid w:val="5DF01608"/>
    <w:rsid w:val="5E421FE3"/>
    <w:rsid w:val="5E60467F"/>
    <w:rsid w:val="5EC46E9C"/>
    <w:rsid w:val="5EC857BB"/>
    <w:rsid w:val="5EF64548"/>
    <w:rsid w:val="5F4E5994"/>
    <w:rsid w:val="5F775E07"/>
    <w:rsid w:val="5F8A0981"/>
    <w:rsid w:val="5FCD15D4"/>
    <w:rsid w:val="5FE976E0"/>
    <w:rsid w:val="60076EEF"/>
    <w:rsid w:val="6030155F"/>
    <w:rsid w:val="6051475F"/>
    <w:rsid w:val="60734B3B"/>
    <w:rsid w:val="60FA49E0"/>
    <w:rsid w:val="610B586D"/>
    <w:rsid w:val="61630BEE"/>
    <w:rsid w:val="61721611"/>
    <w:rsid w:val="617A6B57"/>
    <w:rsid w:val="61B72247"/>
    <w:rsid w:val="620E7E69"/>
    <w:rsid w:val="621E4F9C"/>
    <w:rsid w:val="623340FC"/>
    <w:rsid w:val="62453215"/>
    <w:rsid w:val="62505ED8"/>
    <w:rsid w:val="628117D1"/>
    <w:rsid w:val="62A1656F"/>
    <w:rsid w:val="634341E1"/>
    <w:rsid w:val="634926F0"/>
    <w:rsid w:val="63496036"/>
    <w:rsid w:val="63657EF5"/>
    <w:rsid w:val="63732C3E"/>
    <w:rsid w:val="638A37B2"/>
    <w:rsid w:val="639D5F0D"/>
    <w:rsid w:val="63DF0DEA"/>
    <w:rsid w:val="63F0603D"/>
    <w:rsid w:val="64041E82"/>
    <w:rsid w:val="6407578C"/>
    <w:rsid w:val="64421C00"/>
    <w:rsid w:val="644B5FEA"/>
    <w:rsid w:val="644D1DAC"/>
    <w:rsid w:val="64517073"/>
    <w:rsid w:val="64992B79"/>
    <w:rsid w:val="64E5191A"/>
    <w:rsid w:val="65071DBB"/>
    <w:rsid w:val="652E39B9"/>
    <w:rsid w:val="65AE0BD4"/>
    <w:rsid w:val="65CD2024"/>
    <w:rsid w:val="65D90646"/>
    <w:rsid w:val="65DD6A95"/>
    <w:rsid w:val="65EB164F"/>
    <w:rsid w:val="65FA6D3E"/>
    <w:rsid w:val="66057704"/>
    <w:rsid w:val="663474B9"/>
    <w:rsid w:val="66743467"/>
    <w:rsid w:val="667C5605"/>
    <w:rsid w:val="668B644C"/>
    <w:rsid w:val="66B141AA"/>
    <w:rsid w:val="66BD321A"/>
    <w:rsid w:val="66E75E1D"/>
    <w:rsid w:val="66E9482A"/>
    <w:rsid w:val="67024A05"/>
    <w:rsid w:val="673A7564"/>
    <w:rsid w:val="67601D4C"/>
    <w:rsid w:val="67790332"/>
    <w:rsid w:val="679264F4"/>
    <w:rsid w:val="6796514D"/>
    <w:rsid w:val="679C6E61"/>
    <w:rsid w:val="67A32313"/>
    <w:rsid w:val="67E14CCE"/>
    <w:rsid w:val="681B5144"/>
    <w:rsid w:val="682269E1"/>
    <w:rsid w:val="682E7123"/>
    <w:rsid w:val="684C537E"/>
    <w:rsid w:val="6863255B"/>
    <w:rsid w:val="686F2352"/>
    <w:rsid w:val="6874000C"/>
    <w:rsid w:val="6884295B"/>
    <w:rsid w:val="68942589"/>
    <w:rsid w:val="68C1269E"/>
    <w:rsid w:val="68E51EE8"/>
    <w:rsid w:val="69354286"/>
    <w:rsid w:val="694C40F4"/>
    <w:rsid w:val="6954706E"/>
    <w:rsid w:val="695F17D4"/>
    <w:rsid w:val="69872D64"/>
    <w:rsid w:val="69A94E82"/>
    <w:rsid w:val="69CA58AA"/>
    <w:rsid w:val="6A07742E"/>
    <w:rsid w:val="6A5B6741"/>
    <w:rsid w:val="6A5C317A"/>
    <w:rsid w:val="6A667FCA"/>
    <w:rsid w:val="6A841BD5"/>
    <w:rsid w:val="6AB71D3F"/>
    <w:rsid w:val="6AC20AF8"/>
    <w:rsid w:val="6ACA2174"/>
    <w:rsid w:val="6AD86A24"/>
    <w:rsid w:val="6B0B19AE"/>
    <w:rsid w:val="6B50140B"/>
    <w:rsid w:val="6B69569C"/>
    <w:rsid w:val="6B9B0F84"/>
    <w:rsid w:val="6B9F6CC6"/>
    <w:rsid w:val="6BDB3A77"/>
    <w:rsid w:val="6C046B2A"/>
    <w:rsid w:val="6C2076DB"/>
    <w:rsid w:val="6C680373"/>
    <w:rsid w:val="6C8839AC"/>
    <w:rsid w:val="6C99455E"/>
    <w:rsid w:val="6CA20563"/>
    <w:rsid w:val="6CA2344A"/>
    <w:rsid w:val="6CBE2483"/>
    <w:rsid w:val="6CD729B3"/>
    <w:rsid w:val="6CE64748"/>
    <w:rsid w:val="6D052FD4"/>
    <w:rsid w:val="6D21195D"/>
    <w:rsid w:val="6D512214"/>
    <w:rsid w:val="6D6B2066"/>
    <w:rsid w:val="6D94047D"/>
    <w:rsid w:val="6D9B65A3"/>
    <w:rsid w:val="6DAD6CEF"/>
    <w:rsid w:val="6DD556EA"/>
    <w:rsid w:val="6E34522C"/>
    <w:rsid w:val="6E66587A"/>
    <w:rsid w:val="6E7A0011"/>
    <w:rsid w:val="6E842645"/>
    <w:rsid w:val="6E906D9A"/>
    <w:rsid w:val="6E9B788F"/>
    <w:rsid w:val="6ED053E9"/>
    <w:rsid w:val="6EDA2EA7"/>
    <w:rsid w:val="6F0D03EB"/>
    <w:rsid w:val="6F7C0858"/>
    <w:rsid w:val="6FAD6199"/>
    <w:rsid w:val="6FDA640E"/>
    <w:rsid w:val="6FE34089"/>
    <w:rsid w:val="700532B2"/>
    <w:rsid w:val="700952F2"/>
    <w:rsid w:val="70292B08"/>
    <w:rsid w:val="70680850"/>
    <w:rsid w:val="706B74F7"/>
    <w:rsid w:val="707B5986"/>
    <w:rsid w:val="70A1703D"/>
    <w:rsid w:val="70B52AE8"/>
    <w:rsid w:val="70C36C5B"/>
    <w:rsid w:val="70EA7531"/>
    <w:rsid w:val="715B6936"/>
    <w:rsid w:val="719E55C8"/>
    <w:rsid w:val="72035AD5"/>
    <w:rsid w:val="72053AAD"/>
    <w:rsid w:val="724F4877"/>
    <w:rsid w:val="7253431E"/>
    <w:rsid w:val="72D70AED"/>
    <w:rsid w:val="7338320C"/>
    <w:rsid w:val="733A5821"/>
    <w:rsid w:val="73467A28"/>
    <w:rsid w:val="735754BF"/>
    <w:rsid w:val="735E6986"/>
    <w:rsid w:val="73A01331"/>
    <w:rsid w:val="73D9521F"/>
    <w:rsid w:val="74593F69"/>
    <w:rsid w:val="74C51E51"/>
    <w:rsid w:val="74CA0401"/>
    <w:rsid w:val="74D129A9"/>
    <w:rsid w:val="750F479F"/>
    <w:rsid w:val="757545F4"/>
    <w:rsid w:val="75B704EF"/>
    <w:rsid w:val="763133DA"/>
    <w:rsid w:val="76542EBE"/>
    <w:rsid w:val="766B3A84"/>
    <w:rsid w:val="76805EB9"/>
    <w:rsid w:val="77F6770E"/>
    <w:rsid w:val="780B44D6"/>
    <w:rsid w:val="78120820"/>
    <w:rsid w:val="78212811"/>
    <w:rsid w:val="783A418B"/>
    <w:rsid w:val="78ED5761"/>
    <w:rsid w:val="79641BE9"/>
    <w:rsid w:val="79921F69"/>
    <w:rsid w:val="79A33E26"/>
    <w:rsid w:val="79C809CE"/>
    <w:rsid w:val="79D606B3"/>
    <w:rsid w:val="79DB3AFD"/>
    <w:rsid w:val="79F762AB"/>
    <w:rsid w:val="7A0E0160"/>
    <w:rsid w:val="7A2D56C9"/>
    <w:rsid w:val="7A5B6806"/>
    <w:rsid w:val="7A6F1F5A"/>
    <w:rsid w:val="7A831E2D"/>
    <w:rsid w:val="7A885FA3"/>
    <w:rsid w:val="7A973224"/>
    <w:rsid w:val="7AAA2590"/>
    <w:rsid w:val="7B1E38E6"/>
    <w:rsid w:val="7B2477CE"/>
    <w:rsid w:val="7B542EFE"/>
    <w:rsid w:val="7B5D1F0A"/>
    <w:rsid w:val="7B666480"/>
    <w:rsid w:val="7B7066F4"/>
    <w:rsid w:val="7B7E5E6E"/>
    <w:rsid w:val="7BE95D3C"/>
    <w:rsid w:val="7C075792"/>
    <w:rsid w:val="7C9E4F01"/>
    <w:rsid w:val="7CD97D4E"/>
    <w:rsid w:val="7CF43834"/>
    <w:rsid w:val="7D126BCC"/>
    <w:rsid w:val="7D213022"/>
    <w:rsid w:val="7D2D0F89"/>
    <w:rsid w:val="7D494CE4"/>
    <w:rsid w:val="7DBB0720"/>
    <w:rsid w:val="7E2217ED"/>
    <w:rsid w:val="7E642106"/>
    <w:rsid w:val="7EA146AC"/>
    <w:rsid w:val="7F467382"/>
    <w:rsid w:val="7F530D16"/>
    <w:rsid w:val="7F562DCC"/>
    <w:rsid w:val="7F95220D"/>
    <w:rsid w:val="7FBD5C60"/>
    <w:rsid w:val="7FD53136"/>
    <w:rsid w:val="7FF912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nhideWhenUsed="0" w:uiPriority="99" w:semiHidden="0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100" w:beforeAutospacing="1" w:after="100" w:afterAutospacing="1"/>
      <w:jc w:val="left"/>
    </w:pPr>
    <w:rPr>
      <w:rFonts w:hint="eastAsia" w:ascii="宋体" w:hAnsi="宋体" w:eastAsia="宋体" w:cs="宋体"/>
      <w:b/>
      <w:kern w:val="44"/>
      <w:sz w:val="48"/>
      <w:szCs w:val="48"/>
      <w:lang w:val="en-US" w:eastAsia="zh-CN" w:bidi="ar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7">
    <w:name w:val="Table Grid"/>
    <w:basedOn w:val="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9">
    <w:name w:val="页眉 字符"/>
    <w:basedOn w:val="8"/>
    <w:link w:val="4"/>
    <w:qFormat/>
    <w:uiPriority w:val="99"/>
    <w:rPr>
      <w:sz w:val="18"/>
      <w:szCs w:val="18"/>
    </w:rPr>
  </w:style>
  <w:style w:type="character" w:customStyle="1" w:styleId="10">
    <w:name w:val="页脚 字符"/>
    <w:basedOn w:val="8"/>
    <w:link w:val="3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1347</Words>
  <Characters>1623</Characters>
  <Lines>14</Lines>
  <Paragraphs>3</Paragraphs>
  <TotalTime>5</TotalTime>
  <ScaleCrop>false</ScaleCrop>
  <LinksUpToDate>false</LinksUpToDate>
  <CharactersWithSpaces>1736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2019-10-16T01:43:00Z</dcterms:created>
  <dc:creator>zhk</dc:creator>
  <cp:lastModifiedBy>其琛，</cp:lastModifiedBy>
  <cp:lastPrinted>2025-05-14T06:48:00Z</cp:lastPrinted>
  <dcterms:modified xsi:type="dcterms:W3CDTF">2025-05-14T07:15:04Z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368851CE6D04489497688EDC795D52BD_13</vt:lpwstr>
  </property>
  <property fmtid="{D5CDD505-2E9C-101B-9397-08002B2CF9AE}" pid="4" name="KSOTemplateDocerSaveRecord">
    <vt:lpwstr>eyJoZGlkIjoiMzhjYmE3NzYwZDNjMDRmYjRlNTkxYjhiMThjMTFkMzIiLCJ1c2VySWQiOiIzMTcwMTA5MjMifQ==</vt:lpwstr>
  </property>
</Properties>
</file>