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DB96BE">
      <w:pPr>
        <w:adjustRightInd w:val="0"/>
        <w:snapToGrid w:val="0"/>
        <w:spacing w:line="560" w:lineRule="exact"/>
        <w:rPr>
          <w:rFonts w:ascii="黑体" w:hAnsi="黑体" w:eastAsia="黑体" w:cs="黑体"/>
          <w:sz w:val="32"/>
          <w:szCs w:val="32"/>
        </w:rPr>
      </w:pPr>
      <w:r>
        <w:rPr>
          <w:rFonts w:hint="eastAsia" w:ascii="黑体" w:hAnsi="黑体" w:eastAsia="黑体" w:cs="黑体"/>
          <w:sz w:val="32"/>
          <w:szCs w:val="32"/>
        </w:rPr>
        <w:t>附件4</w:t>
      </w:r>
    </w:p>
    <w:p w14:paraId="5F32BA62">
      <w:pPr>
        <w:adjustRightInd w:val="0"/>
        <w:snapToGrid w:val="0"/>
        <w:spacing w:line="560" w:lineRule="exact"/>
        <w:rPr>
          <w:rFonts w:ascii="黑体" w:hAnsi="黑体" w:eastAsia="黑体" w:cs="黑体"/>
          <w:sz w:val="32"/>
          <w:szCs w:val="32"/>
        </w:rPr>
      </w:pPr>
    </w:p>
    <w:p w14:paraId="382526C1">
      <w:pPr>
        <w:snapToGrid w:val="0"/>
        <w:spacing w:line="560" w:lineRule="exact"/>
        <w:jc w:val="center"/>
        <w:rPr>
          <w:rFonts w:ascii="方正小标宋简体" w:hAnsi="方正小标宋简体" w:eastAsia="方正小标宋简体" w:cs="方正小标宋简体"/>
          <w:sz w:val="44"/>
          <w:szCs w:val="44"/>
        </w:rPr>
      </w:pPr>
      <w:bookmarkStart w:id="0" w:name="OLE_LINK4"/>
      <w:r>
        <w:rPr>
          <w:rFonts w:hint="eastAsia" w:ascii="方正小标宋简体" w:hAnsi="方正小标宋简体" w:eastAsia="方正小标宋简体" w:cs="方正小标宋简体"/>
          <w:sz w:val="44"/>
          <w:szCs w:val="44"/>
        </w:rPr>
        <w:t>石家庄市藁城区人民政府办公室</w:t>
      </w:r>
    </w:p>
    <w:p w14:paraId="044C9C33">
      <w:pPr>
        <w:snapToGrid w:val="0"/>
        <w:spacing w:line="560" w:lineRule="exact"/>
        <w:jc w:val="center"/>
        <w:rPr>
          <w:rFonts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sz w:val="44"/>
          <w:szCs w:val="44"/>
        </w:rPr>
        <w:t>2024年度整体支出绩效自评报告</w:t>
      </w:r>
    </w:p>
    <w:bookmarkEnd w:id="0"/>
    <w:p w14:paraId="487D5B6D">
      <w:pPr>
        <w:snapToGrid w:val="0"/>
        <w:spacing w:line="560" w:lineRule="exact"/>
        <w:jc w:val="center"/>
        <w:rPr>
          <w:rFonts w:ascii="仿宋_GB2312" w:hAnsi="仿宋_GB2312" w:eastAsia="仿宋_GB2312" w:cs="仿宋_GB2312"/>
          <w:sz w:val="32"/>
          <w:szCs w:val="32"/>
        </w:rPr>
      </w:pPr>
    </w:p>
    <w:p w14:paraId="0C2935AC">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贯彻落实区委区政府《关于全面落实预算绩效管理的实施意见》（藁发〔2019〕9号）文件精神，遵循“科学性、规范性、客观性和公正性”的原则，对石家庄市藁城区人民政府办公室2024年度整体支出情况实施了财政支出绩效自评价，形成本评价报告。</w:t>
      </w:r>
    </w:p>
    <w:p w14:paraId="23FCCF7E">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14:paraId="34B0DD9B">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42CA5BF3">
      <w:pPr>
        <w:autoSpaceDE w:val="0"/>
        <w:autoSpaceDN w:val="0"/>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仿宋" w:hAnsi="仿宋" w:eastAsia="仿宋" w:cs="宋体"/>
          <w:sz w:val="32"/>
          <w:szCs w:val="32"/>
        </w:rPr>
        <w:t>区政府办主要职责：协助区政府领导组织起草或审核上报市政府、市政府办公室和致函市政府各部门的公文，以及以区政府、区政府办公室名义发布的公文；负责区政府领导活动的组织和协调工作；研究区政府各部门和各乡镇（区）人民政府、街道办事处请示区政府的事项，提出审核意见，报区政府领导审批；组织承</w:t>
      </w:r>
      <w:r>
        <w:rPr>
          <w:rFonts w:hint="eastAsia" w:ascii="仿宋" w:hAnsi="仿宋" w:eastAsia="仿宋" w:cs="仿宋_GB2312"/>
          <w:color w:val="000000"/>
          <w:sz w:val="32"/>
          <w:szCs w:val="32"/>
          <w:shd w:val="clear" w:color="auto" w:fill="FFFFFF"/>
        </w:rPr>
        <w:t>办人大代表建议和政协委员提案工作；负责区政府值班工作，及时报告重要情况，传达和督促落实区政府领导工作要求；负责组织协调全区大气污染防治工作；完成区政府交办的其他任务。</w:t>
      </w:r>
    </w:p>
    <w:p w14:paraId="683657CC">
      <w:pPr>
        <w:autoSpaceDE w:val="0"/>
        <w:autoSpaceDN w:val="0"/>
        <w:adjustRightInd w:val="0"/>
        <w:snapToGrid w:val="0"/>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藁城区人民政府办公室规格为正科级，一级预算单位，无下属单位。核定行政编制33名，事业编为15名。资金保障形式为财政拨款。</w:t>
      </w:r>
    </w:p>
    <w:p w14:paraId="249CE9F7">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6DEAC1AD">
      <w:pPr>
        <w:snapToGrid w:val="0"/>
        <w:spacing w:line="560" w:lineRule="exact"/>
        <w:ind w:firstLine="640" w:firstLineChars="200"/>
        <w:rPr>
          <w:color w:val="000000" w:themeColor="text1"/>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2024年部门决算收支完成情况如下：</w:t>
      </w:r>
    </w:p>
    <w:p w14:paraId="6215070D">
      <w:pPr>
        <w:snapToGrid w:val="0"/>
        <w:spacing w:line="560" w:lineRule="exact"/>
        <w:ind w:firstLine="640" w:firstLineChars="200"/>
        <w:rPr>
          <w:rFonts w:ascii="仿宋" w:hAnsi="仿宋" w:eastAsia="仿宋" w:cs="仿宋"/>
          <w:b w:val="0"/>
          <w:bCs w:val="0"/>
          <w:color w:val="auto"/>
          <w:sz w:val="32"/>
          <w:szCs w:val="32"/>
        </w:rPr>
      </w:pPr>
      <w:r>
        <w:rPr>
          <w:rFonts w:hint="eastAsia" w:ascii="仿宋" w:hAnsi="仿宋" w:eastAsia="仿宋" w:cs="仿宋"/>
          <w:b w:val="0"/>
          <w:bCs w:val="0"/>
          <w:color w:val="auto"/>
          <w:sz w:val="32"/>
          <w:szCs w:val="32"/>
        </w:rPr>
        <w:t>1. 全年收入为</w:t>
      </w:r>
      <w:r>
        <w:rPr>
          <w:rFonts w:hint="eastAsia" w:ascii="仿宋" w:hAnsi="仿宋" w:eastAsia="仿宋"/>
          <w:b w:val="0"/>
          <w:bCs w:val="0"/>
          <w:color w:val="auto"/>
          <w:sz w:val="32"/>
          <w:szCs w:val="32"/>
        </w:rPr>
        <w:t>30902319.65</w:t>
      </w:r>
      <w:r>
        <w:rPr>
          <w:rFonts w:hint="eastAsia" w:ascii="仿宋" w:hAnsi="仿宋" w:eastAsia="仿宋" w:cs="仿宋"/>
          <w:b w:val="0"/>
          <w:bCs w:val="0"/>
          <w:color w:val="auto"/>
          <w:sz w:val="32"/>
          <w:szCs w:val="32"/>
        </w:rPr>
        <w:t>元，其中：财政</w:t>
      </w:r>
      <w:r>
        <w:rPr>
          <w:rFonts w:hint="eastAsia" w:ascii="仿宋" w:hAnsi="仿宋" w:eastAsia="仿宋" w:cs="仿宋"/>
          <w:b w:val="0"/>
          <w:bCs w:val="0"/>
          <w:color w:val="auto"/>
          <w:sz w:val="32"/>
          <w:szCs w:val="32"/>
          <w:lang w:eastAsia="zh-CN"/>
        </w:rPr>
        <w:t>拨款</w:t>
      </w:r>
      <w:bookmarkStart w:id="1" w:name="_GoBack"/>
      <w:bookmarkEnd w:id="1"/>
      <w:r>
        <w:rPr>
          <w:rFonts w:hint="eastAsia" w:ascii="仿宋" w:hAnsi="仿宋" w:eastAsia="仿宋" w:cs="仿宋"/>
          <w:b w:val="0"/>
          <w:bCs w:val="0"/>
          <w:color w:val="auto"/>
          <w:sz w:val="32"/>
          <w:szCs w:val="32"/>
        </w:rPr>
        <w:t>收入</w:t>
      </w:r>
      <w:r>
        <w:rPr>
          <w:rFonts w:hint="eastAsia" w:ascii="仿宋" w:hAnsi="仿宋" w:eastAsia="仿宋"/>
          <w:b w:val="0"/>
          <w:bCs w:val="0"/>
          <w:color w:val="auto"/>
          <w:sz w:val="32"/>
          <w:szCs w:val="32"/>
        </w:rPr>
        <w:t>30902319.65</w:t>
      </w:r>
      <w:r>
        <w:rPr>
          <w:rFonts w:hint="eastAsia" w:ascii="仿宋" w:hAnsi="仿宋" w:eastAsia="仿宋" w:cs="仿宋"/>
          <w:b w:val="0"/>
          <w:bCs w:val="0"/>
          <w:color w:val="auto"/>
          <w:sz w:val="32"/>
          <w:szCs w:val="32"/>
        </w:rPr>
        <w:t>元，非财政补助收入</w:t>
      </w:r>
      <w:r>
        <w:rPr>
          <w:rFonts w:hint="eastAsia" w:ascii="仿宋" w:hAnsi="仿宋" w:eastAsia="仿宋"/>
          <w:b w:val="0"/>
          <w:bCs w:val="0"/>
          <w:color w:val="auto"/>
          <w:sz w:val="32"/>
          <w:szCs w:val="32"/>
        </w:rPr>
        <w:t>0</w:t>
      </w:r>
      <w:r>
        <w:rPr>
          <w:rFonts w:hint="eastAsia" w:ascii="仿宋" w:hAnsi="仿宋" w:eastAsia="仿宋" w:cs="仿宋"/>
          <w:b w:val="0"/>
          <w:bCs w:val="0"/>
          <w:color w:val="auto"/>
          <w:sz w:val="32"/>
          <w:szCs w:val="32"/>
        </w:rPr>
        <w:t>元。</w:t>
      </w:r>
    </w:p>
    <w:p w14:paraId="5BBC6BA4">
      <w:pPr>
        <w:snapToGrid w:val="0"/>
        <w:spacing w:line="560" w:lineRule="exact"/>
        <w:ind w:firstLine="640" w:firstLineChars="200"/>
        <w:rPr>
          <w:rFonts w:ascii="仿宋" w:hAnsi="仿宋" w:eastAsia="仿宋" w:cs="仿宋"/>
          <w:b w:val="0"/>
          <w:bCs w:val="0"/>
          <w:color w:val="auto"/>
          <w:sz w:val="32"/>
          <w:szCs w:val="32"/>
        </w:rPr>
      </w:pPr>
      <w:r>
        <w:rPr>
          <w:rFonts w:hint="eastAsia" w:ascii="仿宋" w:hAnsi="仿宋" w:eastAsia="仿宋" w:cs="仿宋"/>
          <w:b w:val="0"/>
          <w:bCs w:val="0"/>
          <w:color w:val="auto"/>
          <w:sz w:val="32"/>
          <w:szCs w:val="32"/>
        </w:rPr>
        <w:t>2.全年支出为</w:t>
      </w:r>
      <w:r>
        <w:rPr>
          <w:rFonts w:hint="eastAsia" w:ascii="仿宋" w:hAnsi="仿宋" w:eastAsia="仿宋"/>
          <w:b w:val="0"/>
          <w:bCs w:val="0"/>
          <w:color w:val="auto"/>
          <w:sz w:val="32"/>
          <w:szCs w:val="32"/>
        </w:rPr>
        <w:t>30902319.65元。其中：行政支出：12861746.74元，项目支出18040572.91元。</w:t>
      </w:r>
    </w:p>
    <w:p w14:paraId="52C86C2C">
      <w:pPr>
        <w:snapToGrid w:val="0"/>
        <w:spacing w:line="56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3、资金结存情况：财政拨款结转结余0元，其中财政拨款结转（项目结转）0元，财政结余0元，非财政拨款收入0元。</w:t>
      </w:r>
    </w:p>
    <w:p w14:paraId="32C86EA4">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09A3D86A">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坚持以习近平新时代中国特色社会主义思想、区委、区政府的中心工作为指导，紧紧围绕区政府办的工作职责，各部门团结一致，保质保量的开展各项活动，快速高效的完成各项绩效指标。</w:t>
      </w:r>
    </w:p>
    <w:p w14:paraId="6F94BBC2">
      <w:pPr>
        <w:numPr>
          <w:ilvl w:val="0"/>
          <w:numId w:val="1"/>
        </w:num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自评工作开展情况</w:t>
      </w:r>
    </w:p>
    <w:p w14:paraId="37F3ED86">
      <w:pPr>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16E58681">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深入贯彻落实中共中央、国务院《关于全面实施预算绩效管理的意见》文件精神,根据石家庄市财政局《石家庄市市级部门预算绩效管理工作考核办法（试行）》的通知精神，强化预算支出责任，提高财政资金支出绩效，我办严格对照预算文本中制定的部门整体绩效目标，提早部署、分解任务、压实责任、严肃考评。按照《藁城区财政局关于开展2024年专项项目绩效自评工作的通知》要求，我部门高度重视绩效自评工作，成立了绩效评估工作小组，由我办主任石雷同志任组长，副主任郭洪涛担任副组长，财务人员彭建军、张云飞、于冉冉为小组成员，对2024年我办的30个项目进行绩效自评。</w:t>
      </w:r>
    </w:p>
    <w:p w14:paraId="307C0FE7">
      <w:pPr>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（二）自评的方法和过程</w:t>
      </w:r>
    </w:p>
    <w:p w14:paraId="510FD200">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办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的各种报表，由项目负责人介绍项目预期绩效目标及具体实施取得的实际效果，评价小组成员集中实地检查、核实佐证材料进行评价，绩效自评覆盖率达到了100% 。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一、二、三级指标所占权重应当根据指标重要程度、项目实施阶段等因素综合确定，准确反映预算项目的产出和效果。同类评价对象的指标权重设置应当基本一致，便于评价结果相互比较。通过部门项目绩效自评小组集中评审，我办开展的项目评价等级均达到优。</w:t>
      </w:r>
    </w:p>
    <w:p w14:paraId="227AED75">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三、部门整体支出绩效目标实现情况及指标分析</w:t>
      </w:r>
    </w:p>
    <w:p w14:paraId="60F4617E">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（一）总体绩效目标实现情况</w:t>
      </w:r>
    </w:p>
    <w:p w14:paraId="3626D09A">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2024年度我办共有30个项目，具体为：</w:t>
      </w:r>
      <w:r>
        <w:rPr>
          <w:rFonts w:hint="eastAsia" w:ascii="仿宋_GB2312" w:hAnsi="仿宋_GB2312" w:eastAsia="仿宋_GB2312" w:cs="宋体"/>
          <w:sz w:val="32"/>
          <w:szCs w:val="32"/>
        </w:rPr>
        <w:t>城建办工作经费1.35万元；金融办工作经费1.35万元；应急值班费2.7万元；政务公开专项工作经费3万元；政务新媒体运维专项经费10.8万元；律师顾问、诉讼费6万元；购置公务用车经费36.67万元；招聘劳务派遣人员工资36.97万元；大气办工作经费54.35万元等</w:t>
      </w:r>
      <w:r>
        <w:rPr>
          <w:rFonts w:hint="eastAsia" w:ascii="仿宋_GB2312" w:hAnsi="仿宋_GB2312" w:eastAsia="仿宋_GB2312" w:cs="仿宋_GB2312"/>
          <w:sz w:val="32"/>
          <w:szCs w:val="32"/>
        </w:rPr>
        <w:t>……每个项目目标完成情况的总体完成率均为100%；根据项目产出指标、效益指标、满意度指标的平分结果，评价等级均为优。</w:t>
      </w:r>
    </w:p>
    <w:p w14:paraId="169CA8B1">
      <w:pPr>
        <w:spacing w:line="560" w:lineRule="exact"/>
        <w:ind w:firstLine="640" w:firstLineChars="200"/>
        <w:rPr>
          <w:rFonts w:ascii="楷体" w:hAnsi="楷体" w:eastAsia="楷体" w:cs="Times New Roman"/>
          <w:bCs/>
          <w:sz w:val="32"/>
          <w:szCs w:val="32"/>
        </w:rPr>
      </w:pPr>
      <w:r>
        <w:rPr>
          <w:rFonts w:hint="eastAsia" w:ascii="楷体_GB2312" w:hAnsi="楷体_GB2312" w:eastAsia="楷体_GB2312" w:cs="楷体_GB2312"/>
          <w:bCs/>
          <w:sz w:val="32"/>
          <w:szCs w:val="32"/>
        </w:rPr>
        <w:t>（二）分项绩效目标实现情况及指标分析</w:t>
      </w:r>
    </w:p>
    <w:p w14:paraId="62C74EA5">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w:t>
      </w:r>
    </w:p>
    <w:p w14:paraId="0DCB2B3E">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四、评价结论和评价等级</w:t>
      </w:r>
    </w:p>
    <w:p w14:paraId="721A4DFE">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给出总得分，并得出综合绩效评价等级。我办每个项目目标完成情况的总体完成率均为100%；根据项目产出指标、效益指标、满意度指标的评分结果，评价等级均为优。</w:t>
      </w:r>
    </w:p>
    <w:p w14:paraId="1DAB9E8E">
      <w:pPr>
        <w:numPr>
          <w:ilvl w:val="0"/>
          <w:numId w:val="2"/>
        </w:numPr>
        <w:snapToGrid w:val="0"/>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存在的问题及改进措施</w:t>
      </w:r>
    </w:p>
    <w:p w14:paraId="58042D14">
      <w:pPr>
        <w:pStyle w:val="4"/>
        <w:numPr>
          <w:ilvl w:val="0"/>
          <w:numId w:val="3"/>
        </w:numPr>
        <w:adjustRightInd w:val="0"/>
        <w:snapToGrid w:val="0"/>
        <w:spacing w:line="620" w:lineRule="exact"/>
        <w:ind w:firstLineChars="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5BEE6927">
      <w:pPr>
        <w:adjustRightInd w:val="0"/>
        <w:snapToGrid w:val="0"/>
        <w:spacing w:line="620" w:lineRule="exact"/>
        <w:ind w:firstLine="640" w:firstLineChars="200"/>
        <w:rPr>
          <w:rFonts w:ascii="楷体_GB2312" w:hAnsi="楷体_GB2312" w:eastAsia="楷体_GB2312" w:cs="楷体_GB2312"/>
          <w:bCs/>
          <w:sz w:val="32"/>
          <w:szCs w:val="32"/>
        </w:rPr>
      </w:pPr>
      <w:r>
        <w:rPr>
          <w:rFonts w:hint="eastAsia" w:ascii="仿宋" w:hAnsi="仿宋" w:eastAsia="仿宋"/>
          <w:sz w:val="32"/>
          <w:szCs w:val="32"/>
        </w:rPr>
        <w:t>通过对部门整体支出绩效自评与分析，我办仍存在以下问题：随着防范重大风险工作的深入开展，现有预算经费紧张，不能更好满足当前工作需要。</w:t>
      </w:r>
    </w:p>
    <w:p w14:paraId="6444E684">
      <w:pPr>
        <w:pStyle w:val="4"/>
        <w:numPr>
          <w:ilvl w:val="0"/>
          <w:numId w:val="3"/>
        </w:numPr>
        <w:spacing w:line="560" w:lineRule="exact"/>
        <w:ind w:firstLineChars="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3B4844FC">
      <w:pPr>
        <w:adjustRightInd w:val="0"/>
        <w:snapToGrid w:val="0"/>
        <w:spacing w:line="620" w:lineRule="exact"/>
        <w:ind w:firstLine="640" w:firstLineChars="200"/>
        <w:rPr>
          <w:rFonts w:ascii="楷体_GB2312" w:hAnsi="楷体_GB2312" w:eastAsia="楷体_GB2312" w:cs="楷体_GB2312"/>
          <w:bCs/>
          <w:sz w:val="32"/>
          <w:szCs w:val="32"/>
        </w:rPr>
      </w:pPr>
      <w:r>
        <w:rPr>
          <w:rFonts w:hint="eastAsia" w:ascii="仿宋" w:hAnsi="仿宋" w:eastAsia="仿宋"/>
          <w:sz w:val="32"/>
          <w:szCs w:val="32"/>
        </w:rPr>
        <w:t>按照厉行节约的原则，进一步优化工作流程，降低工作成本，在现有预算基础上，圆满完成区委、区政府交办的各项工作任务。</w:t>
      </w:r>
    </w:p>
    <w:p w14:paraId="424C3EA1">
      <w:pPr>
        <w:snapToGrid w:val="0"/>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六、评价工作组人员名单及签字（姓名、工作单位、职务、职称）</w:t>
      </w:r>
    </w:p>
    <w:p w14:paraId="020B76D1">
      <w:pPr>
        <w:adjustRightInd w:val="0"/>
        <w:snapToGrid w:val="0"/>
        <w:spacing w:line="560" w:lineRule="exact"/>
        <w:ind w:firstLine="640" w:firstLineChars="200"/>
        <w:rPr>
          <w:rFonts w:ascii="黑体" w:hAnsi="黑体" w:eastAsia="黑体" w:cs="黑体"/>
          <w:sz w:val="32"/>
          <w:szCs w:val="32"/>
        </w:rPr>
      </w:pP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2871"/>
      </w:tblGrid>
      <w:tr w14:paraId="3A812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tcBorders>
              <w:top w:val="single" w:color="auto" w:sz="4" w:space="0"/>
              <w:left w:val="single" w:color="auto" w:sz="4" w:space="0"/>
              <w:bottom w:val="single" w:color="auto" w:sz="4" w:space="0"/>
              <w:right w:val="single" w:color="auto" w:sz="4" w:space="0"/>
            </w:tcBorders>
          </w:tcPr>
          <w:p w14:paraId="0CD9D89E">
            <w:pPr>
              <w:spacing w:line="560" w:lineRule="exact"/>
              <w:jc w:val="center"/>
              <w:rPr>
                <w:rFonts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Borders>
              <w:top w:val="single" w:color="auto" w:sz="4" w:space="0"/>
              <w:left w:val="single" w:color="auto" w:sz="4" w:space="0"/>
              <w:bottom w:val="single" w:color="auto" w:sz="4" w:space="0"/>
              <w:right w:val="single" w:color="auto" w:sz="4" w:space="0"/>
            </w:tcBorders>
          </w:tcPr>
          <w:p w14:paraId="1C57CAB8">
            <w:pPr>
              <w:spacing w:line="560" w:lineRule="exact"/>
              <w:jc w:val="center"/>
              <w:rPr>
                <w:rFonts w:ascii="仿宋_GB2312" w:hAnsi="仿宋" w:eastAsia="仿宋_GB2312" w:cs="仿宋_GB2312"/>
                <w:sz w:val="32"/>
                <w:szCs w:val="32"/>
              </w:rPr>
            </w:pPr>
            <w:r>
              <w:rPr>
                <w:rFonts w:hint="eastAsia" w:ascii="仿宋_GB2312" w:hAnsi="仿宋" w:eastAsia="仿宋_GB2312" w:cs="仿宋_GB2312"/>
                <w:sz w:val="32"/>
                <w:szCs w:val="32"/>
              </w:rPr>
              <w:t>职务/职称</w:t>
            </w:r>
          </w:p>
        </w:tc>
        <w:tc>
          <w:tcPr>
            <w:tcW w:w="2871" w:type="dxa"/>
            <w:tcBorders>
              <w:top w:val="single" w:color="auto" w:sz="4" w:space="0"/>
              <w:left w:val="single" w:color="auto" w:sz="4" w:space="0"/>
              <w:bottom w:val="single" w:color="auto" w:sz="4" w:space="0"/>
              <w:right w:val="single" w:color="auto" w:sz="4" w:space="0"/>
            </w:tcBorders>
          </w:tcPr>
          <w:p w14:paraId="6F08AA7B">
            <w:pPr>
              <w:spacing w:line="560" w:lineRule="exact"/>
              <w:jc w:val="center"/>
              <w:rPr>
                <w:rFonts w:ascii="仿宋_GB2312" w:hAnsi="仿宋" w:eastAsia="仿宋_GB2312" w:cs="仿宋_GB2312"/>
                <w:sz w:val="32"/>
                <w:szCs w:val="32"/>
              </w:rPr>
            </w:pPr>
            <w:r>
              <w:rPr>
                <w:rFonts w:hint="eastAsia" w:ascii="仿宋_GB2312" w:hAnsi="仿宋" w:eastAsia="仿宋_GB2312" w:cs="仿宋_GB2312"/>
                <w:sz w:val="32"/>
                <w:szCs w:val="32"/>
              </w:rPr>
              <w:t>姓名</w:t>
            </w:r>
          </w:p>
        </w:tc>
      </w:tr>
      <w:tr w14:paraId="255F5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tcBorders>
              <w:top w:val="single" w:color="auto" w:sz="4" w:space="0"/>
              <w:left w:val="single" w:color="auto" w:sz="4" w:space="0"/>
              <w:right w:val="single" w:color="auto" w:sz="4" w:space="0"/>
            </w:tcBorders>
          </w:tcPr>
          <w:p w14:paraId="0744CCE0">
            <w:pPr>
              <w:spacing w:line="560" w:lineRule="exact"/>
              <w:jc w:val="center"/>
              <w:rPr>
                <w:rFonts w:ascii="仿宋" w:hAnsi="仿宋" w:eastAsia="仿宋" w:cs="仿宋"/>
                <w:sz w:val="32"/>
                <w:szCs w:val="32"/>
              </w:rPr>
            </w:pPr>
          </w:p>
          <w:p w14:paraId="75745E3A">
            <w:pPr>
              <w:spacing w:line="560" w:lineRule="exact"/>
              <w:jc w:val="center"/>
              <w:rPr>
                <w:rFonts w:ascii="仿宋" w:hAnsi="仿宋" w:eastAsia="仿宋" w:cs="仿宋"/>
                <w:sz w:val="32"/>
                <w:szCs w:val="32"/>
              </w:rPr>
            </w:pPr>
            <w:r>
              <w:rPr>
                <w:rFonts w:hint="eastAsia" w:ascii="仿宋" w:hAnsi="仿宋" w:eastAsia="仿宋" w:cs="仿宋"/>
                <w:sz w:val="32"/>
                <w:szCs w:val="32"/>
              </w:rPr>
              <w:t>区政府办</w:t>
            </w:r>
          </w:p>
        </w:tc>
        <w:tc>
          <w:tcPr>
            <w:tcW w:w="2265" w:type="dxa"/>
            <w:tcBorders>
              <w:top w:val="single" w:color="auto" w:sz="4" w:space="0"/>
              <w:left w:val="single" w:color="auto" w:sz="4" w:space="0"/>
              <w:bottom w:val="single" w:color="auto" w:sz="4" w:space="0"/>
              <w:right w:val="single" w:color="auto" w:sz="4" w:space="0"/>
            </w:tcBorders>
          </w:tcPr>
          <w:p w14:paraId="0C4FC166">
            <w:pPr>
              <w:spacing w:line="560" w:lineRule="exact"/>
              <w:jc w:val="center"/>
              <w:rPr>
                <w:rFonts w:ascii="仿宋" w:hAnsi="仿宋" w:eastAsia="仿宋" w:cs="仿宋"/>
                <w:sz w:val="32"/>
                <w:szCs w:val="32"/>
              </w:rPr>
            </w:pPr>
            <w:r>
              <w:rPr>
                <w:rFonts w:hint="eastAsia" w:ascii="仿宋" w:hAnsi="仿宋" w:eastAsia="仿宋" w:cs="仿宋"/>
                <w:sz w:val="32"/>
                <w:szCs w:val="32"/>
              </w:rPr>
              <w:t>主任</w:t>
            </w:r>
          </w:p>
        </w:tc>
        <w:tc>
          <w:tcPr>
            <w:tcW w:w="2871" w:type="dxa"/>
            <w:tcBorders>
              <w:top w:val="single" w:color="auto" w:sz="4" w:space="0"/>
              <w:left w:val="single" w:color="auto" w:sz="4" w:space="0"/>
              <w:bottom w:val="single" w:color="auto" w:sz="4" w:space="0"/>
              <w:right w:val="single" w:color="auto" w:sz="4" w:space="0"/>
            </w:tcBorders>
          </w:tcPr>
          <w:p w14:paraId="6ABB0FF0">
            <w:pPr>
              <w:spacing w:line="560" w:lineRule="exact"/>
              <w:jc w:val="center"/>
              <w:rPr>
                <w:rFonts w:ascii="仿宋_GB2312" w:hAnsi="仿宋" w:eastAsia="仿宋_GB2312" w:cs="仿宋_GB2312"/>
                <w:sz w:val="32"/>
                <w:szCs w:val="32"/>
              </w:rPr>
            </w:pPr>
            <w:r>
              <w:rPr>
                <w:rFonts w:hint="eastAsia" w:ascii="仿宋" w:hAnsi="仿宋" w:eastAsia="仿宋" w:cs="仿宋"/>
                <w:sz w:val="32"/>
                <w:szCs w:val="32"/>
              </w:rPr>
              <w:t>石雷</w:t>
            </w:r>
          </w:p>
        </w:tc>
      </w:tr>
      <w:tr w14:paraId="42A10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left w:val="single" w:color="auto" w:sz="4" w:space="0"/>
              <w:right w:val="single" w:color="auto" w:sz="4" w:space="0"/>
            </w:tcBorders>
            <w:vAlign w:val="center"/>
          </w:tcPr>
          <w:p w14:paraId="55D80EA6">
            <w:pPr>
              <w:spacing w:line="560" w:lineRule="exact"/>
              <w:jc w:val="center"/>
              <w:rPr>
                <w:rFonts w:ascii="仿宋" w:hAnsi="仿宋" w:eastAsia="仿宋" w:cs="仿宋"/>
                <w:sz w:val="32"/>
                <w:szCs w:val="32"/>
              </w:rPr>
            </w:pPr>
          </w:p>
        </w:tc>
        <w:tc>
          <w:tcPr>
            <w:tcW w:w="2265" w:type="dxa"/>
            <w:tcBorders>
              <w:top w:val="single" w:color="auto" w:sz="4" w:space="0"/>
              <w:left w:val="single" w:color="auto" w:sz="4" w:space="0"/>
              <w:bottom w:val="single" w:color="auto" w:sz="4" w:space="0"/>
              <w:right w:val="single" w:color="auto" w:sz="4" w:space="0"/>
            </w:tcBorders>
          </w:tcPr>
          <w:p w14:paraId="5CB6E14D">
            <w:pPr>
              <w:spacing w:line="560" w:lineRule="exact"/>
              <w:jc w:val="center"/>
              <w:rPr>
                <w:rFonts w:ascii="仿宋" w:hAnsi="仿宋" w:eastAsia="仿宋" w:cs="仿宋"/>
                <w:sz w:val="32"/>
                <w:szCs w:val="32"/>
              </w:rPr>
            </w:pPr>
            <w:r>
              <w:rPr>
                <w:rFonts w:hint="eastAsia" w:ascii="仿宋" w:hAnsi="仿宋" w:eastAsia="仿宋" w:cs="仿宋"/>
                <w:sz w:val="32"/>
                <w:szCs w:val="32"/>
              </w:rPr>
              <w:t>副主任</w:t>
            </w:r>
          </w:p>
        </w:tc>
        <w:tc>
          <w:tcPr>
            <w:tcW w:w="2871" w:type="dxa"/>
            <w:tcBorders>
              <w:top w:val="single" w:color="auto" w:sz="4" w:space="0"/>
              <w:left w:val="single" w:color="auto" w:sz="4" w:space="0"/>
              <w:bottom w:val="single" w:color="auto" w:sz="4" w:space="0"/>
              <w:right w:val="single" w:color="auto" w:sz="4" w:space="0"/>
            </w:tcBorders>
          </w:tcPr>
          <w:p w14:paraId="6EEE2F7F">
            <w:pPr>
              <w:spacing w:line="560" w:lineRule="exact"/>
              <w:jc w:val="center"/>
              <w:rPr>
                <w:rFonts w:ascii="仿宋_GB2312" w:hAnsi="仿宋" w:eastAsia="仿宋_GB2312" w:cs="仿宋_GB2312"/>
                <w:sz w:val="32"/>
                <w:szCs w:val="32"/>
              </w:rPr>
            </w:pPr>
            <w:r>
              <w:rPr>
                <w:rFonts w:hint="eastAsia" w:ascii="仿宋" w:hAnsi="仿宋" w:eastAsia="仿宋" w:cs="仿宋"/>
                <w:sz w:val="32"/>
                <w:szCs w:val="32"/>
              </w:rPr>
              <w:t>郭洪涛</w:t>
            </w:r>
          </w:p>
        </w:tc>
      </w:tr>
      <w:tr w14:paraId="7B944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tcBorders>
              <w:left w:val="single" w:color="auto" w:sz="4" w:space="0"/>
              <w:right w:val="single" w:color="auto" w:sz="4" w:space="0"/>
            </w:tcBorders>
            <w:vAlign w:val="center"/>
          </w:tcPr>
          <w:p w14:paraId="361EF2C2">
            <w:pPr>
              <w:spacing w:line="560" w:lineRule="exact"/>
              <w:jc w:val="center"/>
              <w:rPr>
                <w:rFonts w:ascii="仿宋" w:hAnsi="仿宋" w:eastAsia="仿宋" w:cs="仿宋"/>
                <w:sz w:val="32"/>
                <w:szCs w:val="32"/>
              </w:rPr>
            </w:pPr>
          </w:p>
        </w:tc>
        <w:tc>
          <w:tcPr>
            <w:tcW w:w="2265" w:type="dxa"/>
            <w:tcBorders>
              <w:top w:val="single" w:color="auto" w:sz="4" w:space="0"/>
              <w:left w:val="single" w:color="auto" w:sz="4" w:space="0"/>
              <w:bottom w:val="single" w:color="auto" w:sz="4" w:space="0"/>
              <w:right w:val="single" w:color="auto" w:sz="4" w:space="0"/>
            </w:tcBorders>
          </w:tcPr>
          <w:p w14:paraId="5C53C767">
            <w:pPr>
              <w:spacing w:line="560" w:lineRule="exact"/>
              <w:jc w:val="center"/>
              <w:rPr>
                <w:rFonts w:ascii="仿宋" w:hAnsi="仿宋" w:eastAsia="仿宋" w:cs="仿宋"/>
                <w:sz w:val="32"/>
                <w:szCs w:val="32"/>
              </w:rPr>
            </w:pPr>
            <w:r>
              <w:rPr>
                <w:rFonts w:hint="eastAsia" w:ascii="仿宋" w:hAnsi="仿宋" w:eastAsia="仿宋" w:cs="仿宋"/>
                <w:sz w:val="32"/>
                <w:szCs w:val="32"/>
              </w:rPr>
              <w:t>科员</w:t>
            </w:r>
          </w:p>
        </w:tc>
        <w:tc>
          <w:tcPr>
            <w:tcW w:w="2871" w:type="dxa"/>
            <w:tcBorders>
              <w:top w:val="single" w:color="auto" w:sz="4" w:space="0"/>
              <w:left w:val="single" w:color="auto" w:sz="4" w:space="0"/>
              <w:bottom w:val="single" w:color="auto" w:sz="4" w:space="0"/>
              <w:right w:val="single" w:color="auto" w:sz="4" w:space="0"/>
            </w:tcBorders>
          </w:tcPr>
          <w:p w14:paraId="1515ACD6">
            <w:pPr>
              <w:spacing w:line="560" w:lineRule="exact"/>
              <w:jc w:val="center"/>
              <w:rPr>
                <w:rFonts w:ascii="仿宋_GB2312" w:hAnsi="仿宋" w:eastAsia="仿宋_GB2312" w:cs="仿宋_GB2312"/>
                <w:sz w:val="32"/>
                <w:szCs w:val="32"/>
              </w:rPr>
            </w:pPr>
            <w:r>
              <w:rPr>
                <w:rFonts w:hint="eastAsia" w:ascii="仿宋" w:hAnsi="仿宋" w:eastAsia="仿宋" w:cs="仿宋"/>
                <w:sz w:val="32"/>
                <w:szCs w:val="32"/>
              </w:rPr>
              <w:t>彭建军</w:t>
            </w:r>
          </w:p>
        </w:tc>
      </w:tr>
      <w:tr w14:paraId="31495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3589" w:type="dxa"/>
            <w:vMerge w:val="continue"/>
            <w:tcBorders>
              <w:left w:val="single" w:color="auto" w:sz="4" w:space="0"/>
              <w:right w:val="single" w:color="auto" w:sz="4" w:space="0"/>
            </w:tcBorders>
          </w:tcPr>
          <w:p w14:paraId="31EB7737">
            <w:pPr>
              <w:spacing w:line="560" w:lineRule="exact"/>
              <w:jc w:val="center"/>
              <w:rPr>
                <w:rFonts w:ascii="仿宋" w:hAnsi="仿宋" w:eastAsia="仿宋" w:cs="仿宋"/>
                <w:sz w:val="32"/>
                <w:szCs w:val="32"/>
              </w:rPr>
            </w:pPr>
          </w:p>
        </w:tc>
        <w:tc>
          <w:tcPr>
            <w:tcW w:w="2265" w:type="dxa"/>
            <w:tcBorders>
              <w:left w:val="single" w:color="auto" w:sz="4" w:space="0"/>
            </w:tcBorders>
          </w:tcPr>
          <w:p w14:paraId="50A5E9E1">
            <w:pPr>
              <w:spacing w:line="560" w:lineRule="exact"/>
              <w:jc w:val="center"/>
              <w:rPr>
                <w:rFonts w:ascii="仿宋" w:hAnsi="仿宋" w:eastAsia="仿宋" w:cs="仿宋"/>
                <w:sz w:val="32"/>
                <w:szCs w:val="32"/>
              </w:rPr>
            </w:pPr>
            <w:r>
              <w:rPr>
                <w:rFonts w:hint="eastAsia" w:ascii="仿宋" w:hAnsi="仿宋" w:eastAsia="仿宋" w:cs="仿宋"/>
                <w:sz w:val="32"/>
                <w:szCs w:val="32"/>
              </w:rPr>
              <w:t>科员</w:t>
            </w:r>
          </w:p>
        </w:tc>
        <w:tc>
          <w:tcPr>
            <w:tcW w:w="2871" w:type="dxa"/>
          </w:tcPr>
          <w:p w14:paraId="0388093C">
            <w:pPr>
              <w:spacing w:line="560" w:lineRule="exact"/>
              <w:jc w:val="center"/>
              <w:rPr>
                <w:rFonts w:ascii="仿宋_GB2312" w:hAnsi="仿宋_GB2312" w:eastAsia="仿宋_GB2312" w:cs="仿宋_GB2312"/>
                <w:sz w:val="32"/>
                <w:szCs w:val="32"/>
              </w:rPr>
            </w:pPr>
            <w:r>
              <w:rPr>
                <w:rFonts w:hint="eastAsia" w:ascii="仿宋" w:hAnsi="仿宋" w:eastAsia="仿宋" w:cs="仿宋"/>
                <w:sz w:val="32"/>
                <w:szCs w:val="32"/>
              </w:rPr>
              <w:t>张云飞</w:t>
            </w:r>
          </w:p>
        </w:tc>
      </w:tr>
      <w:tr w14:paraId="2B5E3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3589" w:type="dxa"/>
            <w:vMerge w:val="continue"/>
            <w:tcBorders>
              <w:left w:val="single" w:color="auto" w:sz="4" w:space="0"/>
              <w:right w:val="single" w:color="auto" w:sz="4" w:space="0"/>
            </w:tcBorders>
          </w:tcPr>
          <w:p w14:paraId="298340EB">
            <w:pPr>
              <w:spacing w:line="560" w:lineRule="exact"/>
              <w:jc w:val="center"/>
              <w:rPr>
                <w:rFonts w:ascii="仿宋" w:hAnsi="仿宋" w:eastAsia="仿宋" w:cs="仿宋"/>
                <w:sz w:val="32"/>
                <w:szCs w:val="32"/>
              </w:rPr>
            </w:pPr>
          </w:p>
        </w:tc>
        <w:tc>
          <w:tcPr>
            <w:tcW w:w="2265" w:type="dxa"/>
            <w:tcBorders>
              <w:left w:val="single" w:color="auto" w:sz="4" w:space="0"/>
            </w:tcBorders>
          </w:tcPr>
          <w:p w14:paraId="03591FB3">
            <w:pPr>
              <w:spacing w:line="560" w:lineRule="exact"/>
              <w:jc w:val="center"/>
              <w:rPr>
                <w:rFonts w:ascii="仿宋" w:hAnsi="仿宋" w:eastAsia="仿宋" w:cs="仿宋"/>
                <w:sz w:val="32"/>
                <w:szCs w:val="32"/>
              </w:rPr>
            </w:pPr>
            <w:r>
              <w:rPr>
                <w:rFonts w:hint="eastAsia" w:ascii="仿宋" w:hAnsi="仿宋" w:eastAsia="仿宋" w:cs="仿宋"/>
                <w:sz w:val="32"/>
                <w:szCs w:val="32"/>
              </w:rPr>
              <w:t>科员</w:t>
            </w:r>
          </w:p>
        </w:tc>
        <w:tc>
          <w:tcPr>
            <w:tcW w:w="2871" w:type="dxa"/>
          </w:tcPr>
          <w:p w14:paraId="4EC24466">
            <w:pPr>
              <w:spacing w:line="560" w:lineRule="exact"/>
              <w:jc w:val="center"/>
              <w:rPr>
                <w:rFonts w:ascii="仿宋" w:hAnsi="仿宋" w:eastAsia="仿宋" w:cs="仿宋"/>
                <w:sz w:val="32"/>
                <w:szCs w:val="32"/>
              </w:rPr>
            </w:pPr>
            <w:r>
              <w:rPr>
                <w:rFonts w:hint="eastAsia" w:ascii="仿宋" w:hAnsi="仿宋" w:eastAsia="仿宋" w:cs="仿宋"/>
                <w:sz w:val="32"/>
                <w:szCs w:val="32"/>
              </w:rPr>
              <w:t>于冉冉</w:t>
            </w:r>
          </w:p>
        </w:tc>
      </w:tr>
    </w:tbl>
    <w:p w14:paraId="540BB96F"/>
    <w:sectPr>
      <w:pgSz w:w="11906" w:h="16838"/>
      <w:pgMar w:top="2098" w:right="1474" w:bottom="1984"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altName w:val="Arial Unicode MS"/>
    <w:panose1 w:val="00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pPr>
        <w:ind w:left="0" w:firstLine="0"/>
      </w:pPr>
    </w:lvl>
  </w:abstractNum>
  <w:abstractNum w:abstractNumId="1">
    <w:nsid w:val="330718AF"/>
    <w:multiLevelType w:val="singleLevel"/>
    <w:tmpl w:val="330718AF"/>
    <w:lvl w:ilvl="0" w:tentative="0">
      <w:start w:val="5"/>
      <w:numFmt w:val="chineseCounting"/>
      <w:suff w:val="nothing"/>
      <w:lvlText w:val="%1、"/>
      <w:lvlJc w:val="left"/>
      <w:pPr>
        <w:ind w:left="0" w:firstLine="0"/>
      </w:pPr>
    </w:lvl>
  </w:abstractNum>
  <w:abstractNum w:abstractNumId="2">
    <w:nsid w:val="3B061E53"/>
    <w:multiLevelType w:val="multilevel"/>
    <w:tmpl w:val="3B061E53"/>
    <w:lvl w:ilvl="0" w:tentative="0">
      <w:start w:val="1"/>
      <w:numFmt w:val="japaneseCounting"/>
      <w:lvlText w:val="（%1）"/>
      <w:lvlJc w:val="left"/>
      <w:pPr>
        <w:ind w:left="1720" w:hanging="108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lvlOverride w:ilvl="0">
      <w:startOverride w:val="2"/>
    </w:lvlOverride>
  </w:num>
  <w:num w:numId="2">
    <w:abstractNumId w:val="1"/>
    <w:lvlOverride w:ilvl="0">
      <w:startOverride w:val="5"/>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FDF5C99"/>
    <w:rsid w:val="000A2113"/>
    <w:rsid w:val="000D58C8"/>
    <w:rsid w:val="000E0782"/>
    <w:rsid w:val="000F20BA"/>
    <w:rsid w:val="0015468B"/>
    <w:rsid w:val="001A0A60"/>
    <w:rsid w:val="001E302B"/>
    <w:rsid w:val="00221292"/>
    <w:rsid w:val="003601E4"/>
    <w:rsid w:val="004F2846"/>
    <w:rsid w:val="004F6423"/>
    <w:rsid w:val="00537C11"/>
    <w:rsid w:val="00557461"/>
    <w:rsid w:val="005A5E4B"/>
    <w:rsid w:val="005C4403"/>
    <w:rsid w:val="00743305"/>
    <w:rsid w:val="007C16FA"/>
    <w:rsid w:val="008A5E17"/>
    <w:rsid w:val="00A501CD"/>
    <w:rsid w:val="00A848D4"/>
    <w:rsid w:val="00BE6CC0"/>
    <w:rsid w:val="00CC3C31"/>
    <w:rsid w:val="00D27789"/>
    <w:rsid w:val="00D824C5"/>
    <w:rsid w:val="00DB092A"/>
    <w:rsid w:val="00E056FF"/>
    <w:rsid w:val="00F271A3"/>
    <w:rsid w:val="00F73BF6"/>
    <w:rsid w:val="03896242"/>
    <w:rsid w:val="05C11562"/>
    <w:rsid w:val="0F44530B"/>
    <w:rsid w:val="105E23FD"/>
    <w:rsid w:val="133E0E6F"/>
    <w:rsid w:val="13B654E2"/>
    <w:rsid w:val="15BB3E4D"/>
    <w:rsid w:val="1BCF32EA"/>
    <w:rsid w:val="1D4F73DC"/>
    <w:rsid w:val="1F3E1C79"/>
    <w:rsid w:val="22456F79"/>
    <w:rsid w:val="22682C67"/>
    <w:rsid w:val="28FC6193"/>
    <w:rsid w:val="2B726905"/>
    <w:rsid w:val="30FB140A"/>
    <w:rsid w:val="35BF6BEA"/>
    <w:rsid w:val="35E7459E"/>
    <w:rsid w:val="3BE61375"/>
    <w:rsid w:val="3DF23056"/>
    <w:rsid w:val="43A667E6"/>
    <w:rsid w:val="463B406B"/>
    <w:rsid w:val="479C269D"/>
    <w:rsid w:val="51A229BD"/>
    <w:rsid w:val="59D856C7"/>
    <w:rsid w:val="5F827E14"/>
    <w:rsid w:val="68ED3493"/>
    <w:rsid w:val="6972388D"/>
    <w:rsid w:val="69EA352F"/>
    <w:rsid w:val="6B2EF20D"/>
    <w:rsid w:val="6D2217FC"/>
    <w:rsid w:val="6E890338"/>
    <w:rsid w:val="6F4E4C4C"/>
    <w:rsid w:val="717C3606"/>
    <w:rsid w:val="71B0505E"/>
    <w:rsid w:val="71D451F0"/>
    <w:rsid w:val="72B53767"/>
    <w:rsid w:val="77E12415"/>
    <w:rsid w:val="7C9E6B26"/>
    <w:rsid w:val="7CDD3E5F"/>
    <w:rsid w:val="7DE753BF"/>
    <w:rsid w:val="7EF50554"/>
    <w:rsid w:val="7F560CC1"/>
    <w:rsid w:val="7F96E4AD"/>
    <w:rsid w:val="7FB72F38"/>
    <w:rsid w:val="BFDF5C99"/>
    <w:rsid w:val="DDEFE0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2210</Words>
  <Characters>2333</Characters>
  <Lines>17</Lines>
  <Paragraphs>4</Paragraphs>
  <TotalTime>44</TotalTime>
  <ScaleCrop>false</ScaleCrop>
  <LinksUpToDate>false</LinksUpToDate>
  <CharactersWithSpaces>2337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2025-04-29T20:04:00Z</dcterms:created>
  <dc:creator>kylin</dc:creator>
  <cp:lastModifiedBy>13323011735</cp:lastModifiedBy>
  <cp:lastPrinted>2025-04-29T04:52:00Z</cp:lastPrinted>
  <dcterms:modified xsi:type="dcterms:W3CDTF">2025-05-16T08:26:06Z</dcterms:modified>
  <cp:revision>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4FF8F54F79A0271BCC4F1068A44CEDA5</vt:lpwstr>
  </property>
  <property fmtid="{D5CDD505-2E9C-101B-9397-08002B2CF9AE}" pid="4" name="KSOTemplateDocerSaveRecord">
    <vt:lpwstr>eyJoZGlkIjoiYTRkZjYwODQyN2QxOTU4Mzc5MDkyZjcyNTA5NjE4M2QiLCJ1c2VySWQiOiIxNTUwMjQwMDk2In0=</vt:lpwstr>
  </property>
</Properties>
</file>