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5F694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20860DFB">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rPr>
      </w:pPr>
      <w:r>
        <w:rPr>
          <w:rFonts w:hint="eastAsia" w:ascii="方正小标宋简体" w:hAnsi="方正小标宋简体" w:eastAsia="方正小标宋简体" w:cs="方正小标宋简体"/>
          <w:b w:val="0"/>
          <w:bCs w:val="0"/>
          <w:sz w:val="44"/>
          <w:szCs w:val="44"/>
          <w:lang w:val="en-US" w:eastAsia="zh-CN"/>
        </w:rPr>
        <w:t>中共石家庄市藁城区委宣传部部门</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则，对中共石家庄市藁城区委宣传部部门202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5683B5D7">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i w:val="0"/>
          <w:iCs w:val="0"/>
          <w:caps w:val="0"/>
          <w:color w:val="000000"/>
          <w:spacing w:val="0"/>
          <w:sz w:val="32"/>
          <w:szCs w:val="32"/>
          <w:lang w:eastAsia="zh-CN"/>
        </w:rPr>
      </w:pPr>
      <w:r>
        <w:rPr>
          <w:rFonts w:hint="eastAsia" w:ascii="仿宋_GB2312" w:hAnsi="仿宋_GB2312" w:eastAsia="仿宋_GB2312" w:cs="仿宋_GB2312"/>
          <w:i w:val="0"/>
          <w:iCs w:val="0"/>
          <w:caps w:val="0"/>
          <w:color w:val="000000"/>
          <w:spacing w:val="0"/>
          <w:sz w:val="32"/>
          <w:szCs w:val="32"/>
          <w:lang w:val="en-US" w:eastAsia="zh-CN"/>
        </w:rPr>
        <w:t>中共石家庄市藁城区委员会宣传部为区委主管意识形态方面工作的职能部门，</w:t>
      </w:r>
      <w:r>
        <w:rPr>
          <w:rFonts w:hint="eastAsia" w:ascii="仿宋_GB2312" w:hAnsi="仿宋_GB2312" w:eastAsia="仿宋_GB2312" w:cs="仿宋_GB2312"/>
          <w:i w:val="0"/>
          <w:iCs w:val="0"/>
          <w:caps w:val="0"/>
          <w:color w:val="000000"/>
          <w:spacing w:val="0"/>
          <w:sz w:val="32"/>
          <w:szCs w:val="32"/>
        </w:rPr>
        <w:t>设有办公室、理论教育股、新闻股、宣传股、外宣股、文明创建股、国防教育办公室等股室，下辖股级事业单位藁城区新时代文明实践指导中心。</w:t>
      </w:r>
      <w:r>
        <w:rPr>
          <w:rFonts w:hint="eastAsia" w:ascii="仿宋_GB2312" w:hAnsi="仿宋_GB2312" w:eastAsia="仿宋_GB2312" w:cs="仿宋_GB2312"/>
          <w:i w:val="0"/>
          <w:iCs w:val="0"/>
          <w:caps w:val="0"/>
          <w:color w:val="000000"/>
          <w:spacing w:val="0"/>
          <w:sz w:val="32"/>
          <w:szCs w:val="32"/>
          <w:lang w:eastAsia="zh-CN"/>
        </w:rPr>
        <w:t>分管事业单位梅花惨案纪念馆。</w:t>
      </w:r>
      <w:r>
        <w:rPr>
          <w:rFonts w:hint="eastAsia" w:ascii="仿宋_GB2312" w:hAnsi="仿宋_GB2312" w:eastAsia="仿宋_GB2312" w:cs="仿宋_GB2312"/>
          <w:i w:val="0"/>
          <w:iCs w:val="0"/>
          <w:caps w:val="0"/>
          <w:color w:val="000000"/>
          <w:spacing w:val="0"/>
          <w:sz w:val="32"/>
          <w:szCs w:val="32"/>
          <w:lang w:val="en-US" w:eastAsia="zh-CN"/>
        </w:rPr>
        <w:t>部门收入全部为财政资金，我部门严格按照财政收支管理规定全部支出专项资金。</w:t>
      </w:r>
    </w:p>
    <w:p w14:paraId="7EE05842">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（二）部门收支预决算情况</w:t>
      </w:r>
    </w:p>
    <w:p w14:paraId="1CC2A63B">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2024年预算收入852.06万元，其中：一般公共预算收入797.76万元，上级一般公共预算安排转移支付收入29.93万元，政府性基金收入34万元，财政专户核拨收入0万元，其他来源收入0万元。</w:t>
      </w:r>
    </w:p>
    <w:p w14:paraId="5A14DDC5">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2024年部门</w:t>
      </w:r>
      <w:r>
        <w:rPr>
          <w:rFonts w:hint="eastAsia" w:ascii="仿宋_GB2312" w:hAnsi="仿宋_GB2312" w:eastAsia="仿宋_GB2312" w:cs="仿宋_GB2312"/>
          <w:sz w:val="32"/>
          <w:szCs w:val="32"/>
          <w:lang w:eastAsia="zh-CN"/>
        </w:rPr>
        <w:t>决算收入</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val="en-US" w:eastAsia="zh-CN"/>
        </w:rPr>
        <w:t>951.92</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决算支出为</w:t>
      </w:r>
      <w:r>
        <w:rPr>
          <w:rFonts w:hint="eastAsia" w:ascii="仿宋_GB2312" w:hAnsi="仿宋_GB2312" w:eastAsia="仿宋_GB2312" w:cs="仿宋_GB2312"/>
          <w:sz w:val="32"/>
          <w:szCs w:val="32"/>
          <w:lang w:val="en-US" w:eastAsia="zh-CN"/>
        </w:rPr>
        <w:t>951.92万元。</w:t>
      </w:r>
      <w:r>
        <w:rPr>
          <w:rFonts w:hint="eastAsia" w:ascii="仿宋_GB2312" w:hAnsi="仿宋_GB2312" w:eastAsia="仿宋_GB2312" w:cs="仿宋_GB2312"/>
          <w:sz w:val="32"/>
          <w:szCs w:val="32"/>
        </w:rPr>
        <w:t>其中基本支出</w:t>
      </w:r>
      <w:r>
        <w:rPr>
          <w:rFonts w:hint="eastAsia" w:ascii="仿宋_GB2312" w:hAnsi="仿宋_GB2312" w:eastAsia="仿宋_GB2312" w:cs="仿宋_GB2312"/>
          <w:sz w:val="32"/>
          <w:szCs w:val="32"/>
          <w:lang w:val="en-US" w:eastAsia="zh-CN"/>
        </w:rPr>
        <w:t>502.55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449.37</w:t>
      </w:r>
      <w:r>
        <w:rPr>
          <w:rFonts w:hint="eastAsia" w:ascii="仿宋_GB2312" w:hAnsi="仿宋_GB2312" w:eastAsia="仿宋_GB2312" w:cs="仿宋_GB2312"/>
          <w:sz w:val="32"/>
          <w:szCs w:val="32"/>
        </w:rPr>
        <w:t>万元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00242CB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按照区委统一部署、协调宣传思想文化系统各部门之间的工作。拟定全区宣传思想文化工作重大方针政策和事业发展总体规划，贯彻落实区委关于意识形态工作决策部署，统筹协调推进宣传思想文化领域法治建设，规划组织全区全局性思想政治工作任务，指导协调全区理论研究、理论学习、理论宣传工作，分析研判和引导全区社会舆论，协调组织全区突发公共事件应急新闻工作、对外宣传工作，指导协调全区哲学社会科学发展工作，研究拟定有关全区精神文明建设的方针政策，规划部署全区精神文明建设工作，拟定全区新闻出版业的管理政策并督促落实，管理新闻出版行政事务，统筹</w:t>
      </w:r>
      <w:bookmarkStart w:id="0" w:name="_GoBack"/>
      <w:bookmarkEnd w:id="0"/>
      <w:r>
        <w:rPr>
          <w:rFonts w:hint="eastAsia" w:ascii="仿宋_GB2312" w:hAnsi="仿宋_GB2312" w:eastAsia="仿宋_GB2312" w:cs="仿宋_GB2312"/>
          <w:sz w:val="32"/>
          <w:szCs w:val="32"/>
          <w:highlight w:val="none"/>
          <w:lang w:eastAsia="zh-CN"/>
        </w:rPr>
        <w:t>规划和指导协调新闻出版事业、产业发展，监督管理出版物内容和质量等，指导协调全区互联网宣传和信息内容管理工作，对全区新闻出版、广播影视、文化艺术业改革发展研究提出政策性建议。</w:t>
      </w:r>
    </w:p>
    <w:p w14:paraId="6428DC04">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0614EF4D">
      <w:pPr>
        <w:widowControl w:val="0"/>
        <w:wordWrap/>
        <w:adjustRightInd/>
        <w:snapToGrid w:val="0"/>
        <w:spacing w:line="560" w:lineRule="exact"/>
        <w:ind w:left="0" w:leftChars="0" w:right="0" w:firstLine="640" w:firstLineChars="200"/>
        <w:textAlignment w:val="auto"/>
        <w:outlineLvl w:val="9"/>
        <w:rPr>
          <w:rFonts w:hint="eastAsia"/>
          <w:lang w:eastAsia="zh-CN"/>
        </w:rPr>
      </w:pPr>
      <w:r>
        <w:rPr>
          <w:rFonts w:hint="eastAsia" w:ascii="仿宋" w:hAnsi="仿宋" w:eastAsia="仿宋" w:cs="仿宋"/>
          <w:sz w:val="32"/>
          <w:szCs w:val="32"/>
          <w:lang w:val="en-US" w:eastAsia="zh-CN"/>
        </w:rPr>
        <w:t>藁城区委宣传部成立了由常务副部长张建岗任组长、主管领导任副组长，办公室主任和财务人员为成员的绩效自评工作小组。</w:t>
      </w:r>
    </w:p>
    <w:p w14:paraId="416C2E9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48C2814D">
      <w:pPr>
        <w:widowControl w:val="0"/>
        <w:wordWrap/>
        <w:adjustRightInd/>
        <w:snapToGrid w:val="0"/>
        <w:spacing w:line="560" w:lineRule="exact"/>
        <w:ind w:left="0" w:leftChars="0" w:right="0" w:firstLine="640" w:firstLineChars="200"/>
        <w:textAlignment w:val="auto"/>
        <w:outlineLvl w:val="9"/>
        <w:rPr>
          <w:rFonts w:hint="eastAsia"/>
        </w:rPr>
      </w:pPr>
      <w:r>
        <w:rPr>
          <w:rFonts w:hint="eastAsia" w:ascii="仿宋" w:hAnsi="仿宋" w:eastAsia="仿宋" w:cs="仿宋"/>
          <w:sz w:val="32"/>
          <w:szCs w:val="32"/>
          <w:lang w:val="en-US" w:eastAsia="zh-CN"/>
        </w:rPr>
        <w:t>通过科室沟通、核对账务对2024年项目资金的收入、支出、日常财务管理等项目绩效实施情况作了系统、全面的评价。</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33FEB06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color w:val="auto"/>
          <w:sz w:val="32"/>
          <w:szCs w:val="32"/>
          <w:lang w:val="en-US" w:eastAsia="zh-CN"/>
        </w:rPr>
        <w:t>今年以来，藁城区委宣传部始终坚持以习近平新时代中国特色社会主义思想为指导，全面贯彻落实党的二十大和二十届三中全会精神，深入学习贯彻习近平文化思想，认真落实习近平总书记视察河北、视察石家庄重要讲话和重要指示精神，落实河北省委十届六次全会、石家庄市委十一届七次全会和藁城区委三届六次全会部署要求，深刻领悟“两个确立”的决定性意义，增强“四个意识”、坚定“四个自信”、做到“两个维护”，</w:t>
      </w:r>
      <w:r>
        <w:rPr>
          <w:rFonts w:hint="eastAsia" w:ascii="仿宋_GB2312" w:hAnsi="仿宋_GB2312" w:eastAsia="仿宋_GB2312" w:cs="仿宋_GB2312"/>
          <w:b w:val="0"/>
          <w:bCs w:val="0"/>
          <w:color w:val="auto"/>
          <w:sz w:val="32"/>
          <w:szCs w:val="32"/>
          <w:highlight w:val="none"/>
        </w:rPr>
        <w:t>推动宣传思想工作开创新局面、干出新业绩</w:t>
      </w:r>
      <w:r>
        <w:rPr>
          <w:rFonts w:hint="eastAsia" w:ascii="仿宋_GB2312" w:hAnsi="仿宋_GB2312" w:eastAsia="仿宋_GB2312" w:cs="仿宋_GB2312"/>
          <w:b w:val="0"/>
          <w:bCs w:val="0"/>
          <w:color w:val="auto"/>
          <w:sz w:val="32"/>
          <w:szCs w:val="32"/>
          <w:highlight w:val="none"/>
          <w:lang w:eastAsia="zh-CN"/>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区文明办在全市文明办主任会议会议上作典型发言；我区理论宣讲团队在全市第五届理论宣讲大赛获得三等奖；成功推荐我区宫灯企业参加今年的深圳文博会；争引2024年度石家庄市级文化繁荣发展资金20万元，有力促进了文化繁荣发展；我部被</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石家庄记协、石家庄日报社评为新闻报道工作先进集体；</w:t>
      </w:r>
      <w:r>
        <w:rPr>
          <w:rFonts w:hint="eastAsia" w:ascii="仿宋_GB2312" w:hAnsi="仿宋_GB2312" w:eastAsia="仿宋_GB2312" w:cs="仿宋_GB2312"/>
          <w:b w:val="0"/>
          <w:bCs w:val="0"/>
          <w:color w:val="000000" w:themeColor="text1"/>
          <w:sz w:val="32"/>
          <w:szCs w:val="32"/>
          <w:highlight w:val="none"/>
          <w:lang w:val="en-US" w:eastAsia="zh-CN"/>
          <w14:textFill>
            <w14:solidFill>
              <w14:schemeClr w14:val="tx1"/>
            </w14:solidFill>
          </w14:textFill>
        </w:rPr>
        <w:t>在2024年全市文明办移风易俗工作专题培训班作典型发言；我区</w:t>
      </w:r>
      <w:r>
        <w:rPr>
          <w:rFonts w:hint="default" w:ascii="仿宋_GB2312" w:hAnsi="仿宋_GB2312" w:eastAsia="仿宋_GB2312" w:cs="仿宋_GB2312"/>
          <w:b w:val="0"/>
          <w:color w:val="000000" w:themeColor="text1"/>
          <w:kern w:val="2"/>
          <w:sz w:val="32"/>
          <w:szCs w:val="32"/>
          <w:lang w:val="en-US" w:eastAsia="zh-CN" w:bidi="ar-SA"/>
          <w14:textFill>
            <w14:solidFill>
              <w14:schemeClr w14:val="tx1"/>
            </w14:solidFill>
          </w14:textFill>
        </w:rPr>
        <w:t>原创视频《息屏遇到爱》在</w:t>
      </w:r>
      <w:r>
        <w:rPr>
          <w:rFonts w:hint="eastAsia" w:ascii="仿宋_GB2312" w:hAnsi="仿宋_GB2312" w:eastAsia="仿宋_GB2312" w:cs="仿宋_GB2312"/>
          <w:b w:val="0"/>
          <w:color w:val="000000" w:themeColor="text1"/>
          <w:kern w:val="2"/>
          <w:sz w:val="32"/>
          <w:szCs w:val="32"/>
          <w:lang w:val="en-US" w:eastAsia="zh-CN" w:bidi="ar-SA"/>
          <w14:textFill>
            <w14:solidFill>
              <w14:schemeClr w14:val="tx1"/>
            </w14:solidFill>
          </w14:textFill>
        </w:rPr>
        <w:t>河北</w:t>
      </w:r>
      <w:r>
        <w:rPr>
          <w:rFonts w:hint="default" w:ascii="仿宋_GB2312" w:hAnsi="仿宋_GB2312" w:eastAsia="仿宋_GB2312" w:cs="仿宋_GB2312"/>
          <w:b w:val="0"/>
          <w:color w:val="000000" w:themeColor="text1"/>
          <w:kern w:val="2"/>
          <w:sz w:val="32"/>
          <w:szCs w:val="32"/>
          <w:lang w:val="en-US" w:eastAsia="zh-CN" w:bidi="ar-SA"/>
          <w14:textFill>
            <w14:solidFill>
              <w14:schemeClr w14:val="tx1"/>
            </w14:solidFill>
          </w14:textFill>
        </w:rPr>
        <w:t>省未成年人网络保护微视频征集活动中荣获一等奖</w:t>
      </w:r>
      <w:r>
        <w:rPr>
          <w:rFonts w:hint="eastAsia" w:ascii="仿宋_GB2312" w:hAnsi="仿宋_GB2312" w:eastAsia="仿宋_GB2312" w:cs="仿宋_GB2312"/>
          <w:b w:val="0"/>
          <w:color w:val="000000" w:themeColor="text1"/>
          <w:kern w:val="2"/>
          <w:sz w:val="32"/>
          <w:szCs w:val="32"/>
          <w:lang w:val="en-US" w:eastAsia="zh-CN" w:bidi="ar-SA"/>
          <w14:textFill>
            <w14:solidFill>
              <w14:schemeClr w14:val="tx1"/>
            </w14:solidFill>
          </w14:textFill>
        </w:rPr>
        <w:t>；我区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《聚焦“四个宣传圈” 筑牢“清朗燕赵净网”坚实防线》典型做法被中央广电总台国际在线转载推广。</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（二）分项绩效目标实现情况及指标分析</w:t>
      </w:r>
    </w:p>
    <w:p w14:paraId="0E4CE82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深入学习贯彻习近平文化思想。制定《202</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年全区党委（党组）理论学习中心组专题学习重点内容安排》，将习近平新时代中国特色社会主义思想、</w:t>
      </w:r>
      <w:r>
        <w:rPr>
          <w:rFonts w:hint="eastAsia" w:ascii="仿宋_GB2312" w:hAnsi="仿宋_GB2312" w:eastAsia="仿宋_GB2312" w:cs="仿宋_GB2312"/>
          <w:color w:val="auto"/>
          <w:sz w:val="32"/>
          <w:szCs w:val="32"/>
          <w:lang w:eastAsia="zh-CN"/>
        </w:rPr>
        <w:t>党的二十大精神、党的二十届三中全会精神、</w:t>
      </w:r>
      <w:r>
        <w:rPr>
          <w:rFonts w:hint="eastAsia" w:ascii="仿宋_GB2312" w:hAnsi="仿宋_GB2312" w:eastAsia="仿宋_GB2312" w:cs="仿宋_GB2312"/>
          <w:color w:val="auto"/>
          <w:sz w:val="32"/>
          <w:szCs w:val="32"/>
        </w:rPr>
        <w:t>习近平总书记关于维护意识形态安全的重要论述</w:t>
      </w:r>
      <w:r>
        <w:rPr>
          <w:rFonts w:hint="eastAsia" w:ascii="仿宋_GB2312" w:hAnsi="仿宋_GB2312" w:eastAsia="仿宋_GB2312" w:cs="仿宋_GB2312"/>
          <w:color w:val="auto"/>
          <w:sz w:val="32"/>
          <w:szCs w:val="32"/>
          <w:lang w:eastAsia="zh-CN"/>
        </w:rPr>
        <w:t>和习近平文化思想</w:t>
      </w:r>
      <w:r>
        <w:rPr>
          <w:rFonts w:hint="eastAsia" w:ascii="仿宋_GB2312" w:hAnsi="仿宋_GB2312" w:eastAsia="仿宋_GB2312" w:cs="仿宋_GB2312"/>
          <w:color w:val="auto"/>
          <w:sz w:val="32"/>
          <w:szCs w:val="32"/>
        </w:rPr>
        <w:t>等内容，纳入学习重点，认真组织学习。围绕学习贯彻习近平文化思想，组织开展教育培训</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要求各单位通过河北省干部网络学院平台，观看《深入学习贯彻习近平文化思想》，进一步提升全区党员干部宣传文化思想工作水平</w:t>
      </w:r>
      <w:r>
        <w:rPr>
          <w:rFonts w:hint="eastAsia" w:ascii="仿宋_GB2312" w:hAnsi="仿宋_GB2312" w:eastAsia="仿宋_GB2312" w:cs="仿宋_GB2312"/>
          <w:color w:val="auto"/>
          <w:sz w:val="32"/>
          <w:szCs w:val="32"/>
        </w:rPr>
        <w:t>。</w:t>
      </w:r>
    </w:p>
    <w:p w14:paraId="30439A2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rPr>
        <w:t>完善突发事件应急响应机制。</w:t>
      </w:r>
      <w:r>
        <w:rPr>
          <w:rFonts w:hint="eastAsia" w:ascii="仿宋_GB2312" w:hAnsi="仿宋_GB2312" w:eastAsia="仿宋_GB2312" w:cs="仿宋_GB2312"/>
          <w:color w:val="auto"/>
          <w:sz w:val="32"/>
          <w:szCs w:val="32"/>
          <w:lang w:eastAsia="zh-CN"/>
        </w:rPr>
        <w:t>建立完善工作机制。藁城区委宣传部</w:t>
      </w:r>
      <w:r>
        <w:rPr>
          <w:rFonts w:hint="eastAsia" w:ascii="仿宋_GB2312" w:hAnsi="仿宋_GB2312" w:eastAsia="仿宋_GB2312" w:cs="仿宋_GB2312"/>
          <w:color w:val="auto"/>
          <w:sz w:val="32"/>
          <w:szCs w:val="32"/>
        </w:rPr>
        <w:t>高度重视突发事件舆情应对处置工作，</w:t>
      </w:r>
      <w:r>
        <w:rPr>
          <w:rFonts w:hint="eastAsia" w:ascii="仿宋_GB2312" w:hAnsi="仿宋_GB2312" w:eastAsia="仿宋_GB2312" w:cs="仿宋_GB2312"/>
          <w:color w:val="auto"/>
          <w:sz w:val="32"/>
          <w:szCs w:val="32"/>
          <w:lang w:eastAsia="zh-CN"/>
        </w:rPr>
        <w:t>按照上级要求，区委宣传部印发了《藁城区突发事件新闻报道总体应急预案》《关于进一步加强热点敏感问题舆论引导的办法》《区级重大舆情应对处置工作机制》等文件，制定了藁城区</w:t>
      </w:r>
      <w:r>
        <w:rPr>
          <w:rFonts w:hint="eastAsia" w:ascii="仿宋_GB2312" w:hAnsi="仿宋_GB2312" w:eastAsia="仿宋_GB2312" w:cs="仿宋_GB2312"/>
          <w:color w:val="auto"/>
          <w:sz w:val="32"/>
          <w:szCs w:val="32"/>
        </w:rPr>
        <w:t>《突发事件舆情应对处置协调联动机制》</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指导各</w:t>
      </w:r>
      <w:r>
        <w:rPr>
          <w:rFonts w:hint="eastAsia" w:ascii="仿宋_GB2312" w:hAnsi="仿宋_GB2312" w:eastAsia="仿宋_GB2312" w:cs="仿宋_GB2312"/>
          <w:color w:val="auto"/>
          <w:sz w:val="32"/>
          <w:szCs w:val="32"/>
          <w:lang w:eastAsia="zh-CN"/>
        </w:rPr>
        <w:t>乡镇、区直各</w:t>
      </w:r>
      <w:r>
        <w:rPr>
          <w:rFonts w:hint="eastAsia" w:ascii="仿宋_GB2312" w:hAnsi="仿宋_GB2312" w:eastAsia="仿宋_GB2312" w:cs="仿宋_GB2312"/>
          <w:color w:val="auto"/>
          <w:sz w:val="32"/>
          <w:szCs w:val="32"/>
        </w:rPr>
        <w:t>部门认真贯彻落实</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进一步明确各</w:t>
      </w:r>
      <w:r>
        <w:rPr>
          <w:rFonts w:hint="eastAsia" w:ascii="仿宋_GB2312" w:hAnsi="仿宋_GB2312" w:eastAsia="仿宋_GB2312" w:cs="仿宋_GB2312"/>
          <w:color w:val="auto"/>
          <w:sz w:val="32"/>
          <w:szCs w:val="32"/>
          <w:lang w:eastAsia="zh-CN"/>
        </w:rPr>
        <w:t>有关</w:t>
      </w:r>
      <w:r>
        <w:rPr>
          <w:rFonts w:hint="eastAsia" w:ascii="仿宋_GB2312" w:hAnsi="仿宋_GB2312" w:eastAsia="仿宋_GB2312" w:cs="仿宋_GB2312"/>
          <w:color w:val="auto"/>
          <w:sz w:val="32"/>
          <w:szCs w:val="32"/>
        </w:rPr>
        <w:t>部门的职责和协作流程</w:t>
      </w:r>
      <w:r>
        <w:rPr>
          <w:rFonts w:hint="eastAsia" w:ascii="仿宋_GB2312" w:hAnsi="仿宋_GB2312" w:eastAsia="仿宋_GB2312" w:cs="仿宋_GB2312"/>
          <w:color w:val="auto"/>
          <w:sz w:val="32"/>
          <w:szCs w:val="32"/>
          <w:lang w:eastAsia="zh-CN"/>
        </w:rPr>
        <w:t>，不断提升全区引导管控的科学化精准化水平，把握正确舆论导向。</w:t>
      </w:r>
    </w:p>
    <w:p w14:paraId="5FD54835">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lang w:eastAsia="zh-CN"/>
        </w:rPr>
      </w:pPr>
      <w:r>
        <w:rPr>
          <w:rFonts w:hint="eastAsia" w:ascii="仿宋_GB2312" w:hAnsi="仿宋_GB2312" w:eastAsia="仿宋_GB2312" w:cs="仿宋_GB2312"/>
          <w:color w:val="auto"/>
          <w:sz w:val="32"/>
          <w:szCs w:val="32"/>
        </w:rPr>
        <w:t>开展丰富多彩的文艺演出</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制定并下发《关于学习贯彻习近平文化思想广泛开展2024年文化科技卫生“三下乡”活动的通知》《石家庄市藁城区2024年“我们的中国梦——文化进万家”暨第三十一届“彩色周末”文化活动总体方案》，5月24日—11月1日共开展24场藁城区2024年“我们的中国梦——文化进万家”暨第三十一届“彩色周末”文化活动。组织开展“文化进万家 非遗过大年”、“名家和你过大年”、第二十六届“战鼓催春”展演活动、“双争有我—书法进校园活动”、“藁城区文化进基层‘六进’惠民演出”、“德伦口腔”杯广场舞大赛海选赛、“四季村晚”“戏曲进校园”等惠民活动100余场，我区南黄家庄金钹战鼓队荣获石家庄第十届新春鼓王争霸赛“铜鼓王”称号。</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5F1B7185">
      <w:pPr>
        <w:pStyle w:val="16"/>
        <w:rPr>
          <w:rFonts w:hint="eastAsia"/>
          <w:lang w:eastAsia="zh-CN"/>
        </w:rPr>
      </w:pPr>
      <w:r>
        <w:rPr>
          <w:rFonts w:hint="eastAsia" w:ascii="仿宋_GB2312" w:hAnsi="仿宋_GB2312" w:eastAsia="仿宋_GB2312" w:cs="仿宋_GB2312"/>
          <w:sz w:val="32"/>
          <w:szCs w:val="32"/>
          <w:lang w:val="en-US" w:eastAsia="zh-CN"/>
        </w:rPr>
        <w:t>通过2024年绩效自评，2024年年初绩效目标设定质量较好，</w:t>
      </w:r>
      <w:r>
        <w:rPr>
          <w:rFonts w:hint="eastAsia" w:ascii="仿宋_GB2312" w:hAnsi="仿宋_GB2312" w:eastAsia="仿宋_GB2312" w:cs="仿宋_GB2312"/>
          <w:sz w:val="32"/>
          <w:szCs w:val="32"/>
        </w:rPr>
        <w:t>绩效目标设定</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清晰准确，绩效指标</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全面完整、科学合理，绩效标准</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恰当适宜、易于评价</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我部门</w:t>
      </w:r>
      <w:r>
        <w:rPr>
          <w:rFonts w:hint="eastAsia" w:ascii="仿宋" w:hAnsi="仿宋" w:eastAsia="仿宋" w:cs="仿宋"/>
          <w:sz w:val="32"/>
          <w:szCs w:val="32"/>
        </w:rPr>
        <w:t>专项资金</w:t>
      </w:r>
      <w:r>
        <w:rPr>
          <w:rFonts w:hint="eastAsia" w:ascii="仿宋" w:hAnsi="仿宋" w:eastAsia="仿宋" w:cs="仿宋"/>
          <w:sz w:val="32"/>
          <w:szCs w:val="32"/>
          <w:lang w:val="en-US" w:eastAsia="zh-CN"/>
        </w:rPr>
        <w:t>到位率和支出率均达到100%，各</w:t>
      </w:r>
      <w:r>
        <w:rPr>
          <w:rFonts w:hint="eastAsia" w:ascii="仿宋" w:hAnsi="仿宋" w:eastAsia="仿宋" w:cs="仿宋"/>
          <w:sz w:val="32"/>
          <w:szCs w:val="32"/>
        </w:rPr>
        <w:t>项目的预期绩效目标完成</w:t>
      </w:r>
      <w:r>
        <w:rPr>
          <w:rFonts w:hint="eastAsia" w:ascii="仿宋" w:hAnsi="仿宋" w:eastAsia="仿宋" w:cs="仿宋"/>
          <w:sz w:val="32"/>
          <w:szCs w:val="32"/>
          <w:lang w:val="en-US" w:eastAsia="zh-CN"/>
        </w:rPr>
        <w:t>率在90%以上，评价结果为优秀。</w:t>
      </w:r>
    </w:p>
    <w:p w14:paraId="37744A8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75DD9118">
      <w:pPr>
        <w:pStyle w:val="12"/>
        <w:rPr>
          <w:rFonts w:hint="eastAsia" w:eastAsia="楷体_GB2312"/>
          <w:lang w:eastAsia="zh-CN"/>
        </w:rPr>
      </w:pPr>
      <w:r>
        <w:rPr>
          <w:rFonts w:hint="eastAsia" w:ascii="楷体_GB2312" w:hAnsi="楷体_GB2312" w:eastAsia="楷体_GB2312" w:cs="楷体_GB2312"/>
          <w:bCs/>
          <w:sz w:val="32"/>
          <w:szCs w:val="32"/>
          <w:lang w:eastAsia="zh-CN"/>
        </w:rPr>
        <w:t>无</w:t>
      </w:r>
    </w:p>
    <w:p w14:paraId="6E19DF3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57D0FA33">
      <w:pPr>
        <w:pStyle w:val="12"/>
        <w:rPr>
          <w:rFonts w:hint="eastAsia" w:eastAsia="楷体_GB2312"/>
          <w:lang w:eastAsia="zh-CN"/>
        </w:rPr>
      </w:pPr>
      <w:r>
        <w:rPr>
          <w:rFonts w:hint="eastAsia" w:ascii="楷体_GB2312" w:hAnsi="楷体_GB2312" w:eastAsia="楷体_GB2312" w:cs="楷体_GB2312"/>
          <w:bCs/>
          <w:sz w:val="32"/>
          <w:szCs w:val="32"/>
          <w:lang w:eastAsia="zh-CN"/>
        </w:rPr>
        <w:t>无</w:t>
      </w:r>
    </w:p>
    <w:p w14:paraId="60D862A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1F0E8756">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p w14:paraId="2745E44B">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p w14:paraId="140F4B67">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89"/>
        <w:gridCol w:w="2265"/>
        <w:gridCol w:w="2867"/>
      </w:tblGrid>
      <w:tr w14:paraId="6EB7E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tcPr>
          <w:p w14:paraId="633AC170">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265" w:type="dxa"/>
          </w:tcPr>
          <w:p w14:paraId="68A7055D">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2867" w:type="dxa"/>
          </w:tcPr>
          <w:p w14:paraId="346C86FE">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r>
      <w:tr w14:paraId="5023C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restart"/>
          </w:tcPr>
          <w:p w14:paraId="70F07F59">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p w14:paraId="67292E2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藁城区委宣传部</w:t>
            </w:r>
          </w:p>
        </w:tc>
        <w:tc>
          <w:tcPr>
            <w:tcW w:w="2265" w:type="dxa"/>
            <w:tcBorders>
              <w:left w:val="single" w:color="auto" w:sz="4" w:space="0"/>
            </w:tcBorders>
          </w:tcPr>
          <w:p w14:paraId="46E1533C">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常务副部长</w:t>
            </w:r>
          </w:p>
        </w:tc>
        <w:tc>
          <w:tcPr>
            <w:tcW w:w="2867" w:type="dxa"/>
            <w:tcBorders>
              <w:left w:val="single" w:color="auto" w:sz="4" w:space="0"/>
            </w:tcBorders>
          </w:tcPr>
          <w:p w14:paraId="4620EE22">
            <w:pPr>
              <w:pBdr>
                <w:top w:val="none" w:color="auto" w:sz="0" w:space="0"/>
                <w:left w:val="none" w:color="auto" w:sz="0" w:space="0"/>
                <w:bottom w:val="none" w:color="auto" w:sz="0" w:space="0"/>
                <w:right w:val="none" w:color="auto" w:sz="0" w:space="0"/>
              </w:pBdr>
              <w:wordWrap/>
              <w:spacing w:line="560" w:lineRule="exact"/>
              <w:ind w:left="0"/>
              <w:jc w:val="left"/>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张建岗</w:t>
            </w:r>
          </w:p>
        </w:tc>
      </w:tr>
      <w:tr w14:paraId="5F596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652316CE">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eastAsia="zh-CN"/>
              </w:rPr>
            </w:pPr>
          </w:p>
        </w:tc>
        <w:tc>
          <w:tcPr>
            <w:tcW w:w="2265" w:type="dxa"/>
            <w:tcBorders>
              <w:left w:val="single" w:color="auto" w:sz="4" w:space="0"/>
            </w:tcBorders>
          </w:tcPr>
          <w:p w14:paraId="01EF6ADB">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主管领导</w:t>
            </w:r>
          </w:p>
        </w:tc>
        <w:tc>
          <w:tcPr>
            <w:tcW w:w="2867" w:type="dxa"/>
            <w:tcBorders>
              <w:left w:val="single" w:color="auto" w:sz="4" w:space="0"/>
            </w:tcBorders>
          </w:tcPr>
          <w:p w14:paraId="56A653BE">
            <w:pPr>
              <w:pBdr>
                <w:top w:val="none" w:color="auto" w:sz="0" w:space="0"/>
                <w:left w:val="none" w:color="auto" w:sz="0" w:space="0"/>
                <w:bottom w:val="none" w:color="auto" w:sz="0" w:space="0"/>
                <w:right w:val="none" w:color="auto" w:sz="0" w:space="0"/>
              </w:pBdr>
              <w:wordWrap/>
              <w:spacing w:line="560" w:lineRule="exact"/>
              <w:ind w:left="0"/>
              <w:jc w:val="left"/>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白丽</w:t>
            </w:r>
          </w:p>
        </w:tc>
      </w:tr>
      <w:tr w14:paraId="7DA6B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5645151D"/>
        </w:tc>
        <w:tc>
          <w:tcPr>
            <w:tcW w:w="2265" w:type="dxa"/>
            <w:tcBorders>
              <w:left w:val="single" w:color="auto" w:sz="4" w:space="0"/>
            </w:tcBorders>
          </w:tcPr>
          <w:p w14:paraId="1329A5A1">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办公室主任</w:t>
            </w:r>
          </w:p>
        </w:tc>
        <w:tc>
          <w:tcPr>
            <w:tcW w:w="2867" w:type="dxa"/>
            <w:tcBorders>
              <w:left w:val="single" w:color="auto" w:sz="4" w:space="0"/>
            </w:tcBorders>
          </w:tcPr>
          <w:p w14:paraId="70BBC39E">
            <w:pPr>
              <w:pBdr>
                <w:top w:val="none" w:color="auto" w:sz="0" w:space="0"/>
                <w:left w:val="none" w:color="auto" w:sz="0" w:space="0"/>
                <w:bottom w:val="none" w:color="auto" w:sz="0" w:space="0"/>
                <w:right w:val="none" w:color="auto" w:sz="0" w:space="0"/>
              </w:pBdr>
              <w:wordWrap/>
              <w:spacing w:line="560" w:lineRule="exact"/>
              <w:ind w:left="0"/>
              <w:jc w:val="left"/>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李紫烨</w:t>
            </w:r>
          </w:p>
        </w:tc>
      </w:tr>
      <w:tr w14:paraId="4AAD4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113D24BD"/>
        </w:tc>
        <w:tc>
          <w:tcPr>
            <w:tcW w:w="2265" w:type="dxa"/>
            <w:tcBorders>
              <w:left w:val="single" w:color="auto" w:sz="4" w:space="0"/>
            </w:tcBorders>
          </w:tcPr>
          <w:p w14:paraId="72E76826">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财务</w:t>
            </w:r>
          </w:p>
        </w:tc>
        <w:tc>
          <w:tcPr>
            <w:tcW w:w="2867" w:type="dxa"/>
            <w:tcBorders>
              <w:left w:val="single" w:color="auto" w:sz="4" w:space="0"/>
            </w:tcBorders>
          </w:tcPr>
          <w:p w14:paraId="12D67A58">
            <w:pPr>
              <w:pBdr>
                <w:top w:val="none" w:color="auto" w:sz="0" w:space="0"/>
                <w:left w:val="none" w:color="auto" w:sz="0" w:space="0"/>
                <w:bottom w:val="none" w:color="auto" w:sz="0" w:space="0"/>
                <w:right w:val="none" w:color="auto" w:sz="0" w:space="0"/>
              </w:pBdr>
              <w:wordWrap/>
              <w:spacing w:line="560" w:lineRule="exact"/>
              <w:ind w:left="0"/>
              <w:jc w:val="left"/>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eastAsia="zh-CN"/>
              </w:rPr>
              <w:t>郭聪</w:t>
            </w:r>
          </w:p>
        </w:tc>
      </w:tr>
    </w:tbl>
    <w:p w14:paraId="38526132">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717A79F-17A2-4B21-80BD-EE9753A4790D}"/>
  </w:font>
  <w:font w:name="黑体">
    <w:panose1 w:val="02010609060101010101"/>
    <w:charset w:val="86"/>
    <w:family w:val="auto"/>
    <w:pitch w:val="default"/>
    <w:sig w:usb0="800002BF" w:usb1="38CF7CFA" w:usb2="00000016" w:usb3="00000000" w:csb0="00040001" w:csb1="00000000"/>
    <w:embedRegular r:id="rId2" w:fontKey="{F414184D-ED18-49BA-8777-1E25BC163A9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00000001" w:usb1="08000000" w:usb2="00000000" w:usb3="00000000" w:csb0="00040000" w:csb1="00000000"/>
    <w:embedRegular r:id="rId3" w:fontKey="{1BDB2C70-06AC-47D2-886C-4E93FEF10EEC}"/>
  </w:font>
  <w:font w:name="方正小标宋_GBK">
    <w:panose1 w:val="03000509000000000000"/>
    <w:charset w:val="86"/>
    <w:family w:val="auto"/>
    <w:pitch w:val="default"/>
    <w:sig w:usb0="00000001" w:usb1="080E0000" w:usb2="00000000" w:usb3="00000000" w:csb0="00040000" w:csb1="00000000"/>
    <w:embedRegular r:id="rId4" w:fontKey="{1FDF4171-5DF8-4E0C-9767-83AE621574F3}"/>
  </w:font>
  <w:font w:name="仿宋_GB2312">
    <w:panose1 w:val="02010609030101010101"/>
    <w:charset w:val="86"/>
    <w:family w:val="auto"/>
    <w:pitch w:val="default"/>
    <w:sig w:usb0="00000001" w:usb1="080E0000" w:usb2="00000000" w:usb3="00000000" w:csb0="00040000" w:csb1="00000000"/>
    <w:embedRegular r:id="rId5" w:fontKey="{A606FD5C-1592-41F9-83F1-A09A46B91C1F}"/>
  </w:font>
  <w:font w:name="楷体_GB2312">
    <w:panose1 w:val="02010609030101010101"/>
    <w:charset w:val="86"/>
    <w:family w:val="auto"/>
    <w:pitch w:val="default"/>
    <w:sig w:usb0="00000001" w:usb1="080E0000" w:usb2="00000000" w:usb3="00000000" w:csb0="00040000" w:csb1="00000000"/>
    <w:embedRegular r:id="rId6" w:fontKey="{FB7CA196-CA03-4F7E-8E7B-A49BF5F27938}"/>
  </w:font>
  <w:font w:name="仿宋">
    <w:panose1 w:val="02010609060101010101"/>
    <w:charset w:val="86"/>
    <w:family w:val="auto"/>
    <w:pitch w:val="default"/>
    <w:sig w:usb0="800002BF" w:usb1="38CF7CFA" w:usb2="00000016" w:usb3="00000000" w:csb0="00040001" w:csb1="00000000"/>
    <w:embedRegular r:id="rId7" w:fontKey="{049179A2-A945-4F53-BAC2-71C0DEE3B35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040C25C7"/>
    <w:rsid w:val="05ED6429"/>
    <w:rsid w:val="0B5649B3"/>
    <w:rsid w:val="0B9515C3"/>
    <w:rsid w:val="10D92F4B"/>
    <w:rsid w:val="134F6B82"/>
    <w:rsid w:val="13955CCA"/>
    <w:rsid w:val="13B56FD5"/>
    <w:rsid w:val="1D6D29A0"/>
    <w:rsid w:val="20657B97"/>
    <w:rsid w:val="2A614C6F"/>
    <w:rsid w:val="2B9E42C4"/>
    <w:rsid w:val="2CF6225B"/>
    <w:rsid w:val="3DDE37D0"/>
    <w:rsid w:val="42B745C7"/>
    <w:rsid w:val="43CE64CC"/>
    <w:rsid w:val="469204C7"/>
    <w:rsid w:val="52345885"/>
    <w:rsid w:val="558D675A"/>
    <w:rsid w:val="58B8456C"/>
    <w:rsid w:val="59057984"/>
    <w:rsid w:val="5A182956"/>
    <w:rsid w:val="5D431D2B"/>
    <w:rsid w:val="6626043C"/>
    <w:rsid w:val="69206851"/>
    <w:rsid w:val="6A1D1083"/>
    <w:rsid w:val="6FE61B3E"/>
    <w:rsid w:val="73970283"/>
    <w:rsid w:val="772751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 w:type="paragraph" w:customStyle="1" w:styleId="12">
    <w:name w:val="NormalIndent"/>
    <w:basedOn w:val="1"/>
    <w:autoRedefine/>
    <w:qFormat/>
    <w:uiPriority w:val="0"/>
    <w:pPr>
      <w:ind w:firstLine="420" w:firstLineChars="200"/>
      <w:jc w:val="both"/>
      <w:textAlignment w:val="baseline"/>
    </w:pPr>
  </w:style>
  <w:style w:type="paragraph" w:customStyle="1" w:styleId="13">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Body Text First Indent 21"/>
    <w:basedOn w:val="17"/>
    <w:qFormat/>
    <w:uiPriority w:val="0"/>
    <w:pPr>
      <w:ind w:firstLine="420"/>
    </w:pPr>
    <w:rPr>
      <w:rFonts w:ascii="Calibri" w:hAnsi="Calibri" w:eastAsia="宋体" w:cs="Times New Roman"/>
    </w:rPr>
  </w:style>
  <w:style w:type="paragraph" w:customStyle="1" w:styleId="17">
    <w:name w:val="Body Text Indent1"/>
    <w:basedOn w:val="1"/>
    <w:qFormat/>
    <w:uiPriority w:val="0"/>
    <w:pPr>
      <w:spacing w:line="360" w:lineRule="auto"/>
      <w:ind w:firstLine="200" w:firstLineChars="200"/>
      <w:textAlignment w:val="baseline"/>
    </w:pPr>
    <w:rPr>
      <w:rFonts w:ascii="Calibri" w:hAnsi="Calibri" w:eastAsia="宋体" w:cs="Times New Roman"/>
      <w:sz w:val="21"/>
      <w:szCs w:val="21"/>
    </w:rPr>
  </w:style>
  <w:style w:type="paragraph" w:customStyle="1" w:styleId="18">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6</Pages>
  <Words>2403</Words>
  <Characters>2492</Characters>
  <Lines>0</Lines>
  <Paragraphs>31</Paragraphs>
  <TotalTime>19</TotalTime>
  <ScaleCrop>false</ScaleCrop>
  <LinksUpToDate>false</LinksUpToDate>
  <CharactersWithSpaces>2494</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2025-05-12T09:15:30Z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550338F0EC9147EB9C3A2E1F662B7A57_13</vt:lpwstr>
  </property>
  <property fmtid="{D5CDD505-2E9C-101B-9397-08002B2CF9AE}" pid="4" name="KSOTemplateDocerSaveRecord">
    <vt:lpwstr>eyJoZGlkIjoiZTNhMzhmNjU3NDU2YjNiYWExNDJlM2Y4YTNjMzYyNWIiLCJ1c2VySWQiOiIxNTUwMjQwMDk2In0=</vt:lpwstr>
  </property>
</Properties>
</file>